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Hershman George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SOLV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16680 WEST BERNARDO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SOLV Energy, Inc.</w:t>
              </w:r>
            </w:hyperlink>
            <w:r>
              <w:rPr/>
              <w:t xml:space="preserve"> [ </w:t>
            </w:r>
            <w:r>
              <w:rPr>
                <w:rFonts w:ascii="Times;serif" w:hAnsi="Times;serif"/>
                <w:color w:val="0000FF"/>
                <w:sz w:val="24"/>
                <w:shd w:fill="FFFFFF" w:val="clear"/>
              </w:rPr>
              <w:t>MWH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84" w:type="dxa"/>
        <w:jc w:val="left"/>
        <w:tblInd w:w="-7" w:type="dxa"/>
        <w:tblLayout w:type="fixed"/>
        <w:tblCellMar>
          <w:top w:w="60" w:type="dxa"/>
          <w:left w:w="60" w:type="dxa"/>
          <w:bottom w:w="60" w:type="dxa"/>
          <w:right w:w="60" w:type="dxa"/>
        </w:tblCellMar>
      </w:tblPr>
      <w:tblGrid>
        <w:gridCol w:w="1220"/>
        <w:gridCol w:w="861"/>
        <w:gridCol w:w="891"/>
        <w:gridCol w:w="771"/>
        <w:gridCol w:w="591"/>
        <w:gridCol w:w="300"/>
        <w:gridCol w:w="276"/>
        <w:gridCol w:w="771"/>
        <w:gridCol w:w="906"/>
        <w:gridCol w:w="801"/>
        <w:gridCol w:w="891"/>
        <w:gridCol w:w="861"/>
        <w:gridCol w:w="801"/>
        <w:gridCol w:w="96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SOLV Energy Management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55,257</w:t>
            </w:r>
            <w:r>
              <w:rPr>
                <w:rFonts w:ascii="Times;serif" w:hAnsi="Times;serif"/>
                <w:color w:val="008000"/>
                <w:position w:val="7"/>
                <w:sz w:val="16"/>
                <w:sz w:val="20"/>
                <w:shd w:fill="FFFFFF" w:val="clear"/>
              </w:rPr>
              <w:t>(3)</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55,257</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3,968,063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(Continued from footnote 1) Upon a redemption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accordance with the terms of the MH LPA and Opco LLCA, represents the required, automatic and non-discretionary pro rata direct redemption for cash of 55,257 MH Units held by the Reporting Person (and the corresponding (i) surrender of an equal number of Opco LLC Interests held by MH and (ii) cancellation of an equal number of shares of Class B common stock of the Issuer held by MH)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price per MH Unit equal to the public offering price in the Follow-On Offering of $36.00 per share of Class A common stock, net of underwriting discounts and commissions.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S. Forman,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9549" TargetMode="External"/><Relationship Id="rId5" Type="http://schemas.openxmlformats.org/officeDocument/2006/relationships/hyperlink" Target="http://www.sec.gov/cgi-bin/browse-edgar?action=getcompany&amp;CIK=00020656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973</Words>
  <Characters>5058</Characters>
  <CharactersWithSpaces>5967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