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2759d8k.htm"/>
      <w:bookmarkStart w:id="1" w:name="ksd8275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 of</w:t>
      </w:r>
    </w:p>
    <w:p>
      <w:pPr>
        <w:pStyle w:val="TextBody"/>
        <w:bidi w:val="0"/>
        <w:spacing w:before="0" w:after="0"/>
        <w:jc w:val="center"/>
        <w:rPr>
          <w:rFonts w:ascii="Times New Roman" w:hAnsi="Times New Roman"/>
          <w:b/>
          <w:sz w:val="24"/>
        </w:rPr>
      </w:pPr>
      <w:r>
        <w:rPr>
          <w:rFonts w:ascii="Times New Roman" w:hAnsi="Times New Roman"/>
          <w:b/>
          <w:sz w:val="24"/>
        </w:rPr>
        <w:t>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SOLV Energy,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001-43117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33-4537250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16680 West Bernardo Drive</w:t>
      </w:r>
    </w:p>
    <w:p>
      <w:pPr>
        <w:pStyle w:val="TextBody"/>
        <w:bidi w:val="0"/>
        <w:spacing w:before="0" w:after="0"/>
        <w:jc w:val="center"/>
        <w:rPr>
          <w:rFonts w:ascii="Times New Roman" w:hAnsi="Times New Roman"/>
          <w:b/>
          <w:sz w:val="20"/>
        </w:rPr>
      </w:pPr>
      <w:r>
        <w:rPr>
          <w:rFonts w:ascii="Times New Roman" w:hAnsi="Times New Roman"/>
          <w:b/>
          <w:sz w:val="20"/>
        </w:rPr>
        <w:t>San Diego, CA 92127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(858) 251-4888</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775" w:type="dxa"/>
        <w:jc w:val="left"/>
        <w:tblInd w:w="0" w:type="dxa"/>
        <w:tblLayout w:type="fixed"/>
        <w:tblCellMar>
          <w:top w:w="0" w:type="dxa"/>
          <w:left w:w="0" w:type="dxa"/>
          <w:bottom w:w="0" w:type="dxa"/>
          <w:right w:w="0" w:type="dxa"/>
        </w:tblCellMar>
      </w:tblPr>
      <w:tblGrid>
        <w:gridCol w:w="4970"/>
        <w:gridCol w:w="60"/>
        <w:gridCol w:w="635"/>
        <w:gridCol w:w="60"/>
        <w:gridCol w:w="3050"/>
      </w:tblGrid>
      <w:tr>
        <w:trPr/>
        <w:tc>
          <w:tcPr>
            <w:tcW w:w="4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9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70" w:type="dxa"/>
            <w:tcBorders/>
            <w:vAlign w:val="center"/>
          </w:tcPr>
          <w:p>
            <w:pPr>
              <w:pStyle w:val="TableContents"/>
              <w:bidi w:val="0"/>
              <w:spacing w:before="0" w:after="283"/>
              <w:jc w:val="center"/>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MWH</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13, 2026, SOLV Energy, Inc. (the “Company”) issued a press release announcing its financial results for the quarter ended June 30, 2026. A copy of the press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with this Item 2.02, including Exhibit 99.1, shall not be deemed “filed” for purposes of Section 18 of the Securities Exchange Act of 1934, as amended (the “Exchange Act”), or otherwise subject to the liability of that section, and shall not be deemed incorporated by reference in any registration statement or other document filed under the Securities Act of 1933, as amended, or the Exchange Act, except as shall be expressly set forth by specific reference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2759dex991.htm">
              <w:r>
                <w:rPr>
                  <w:rStyle w:val="InternetLink"/>
                </w:rPr>
                <w:t xml:space="preserve">Press Release, dated August 13, 2026, issued by SOLV Energy, Inc.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by the undersigned hereunto duly authorized. </w:t>
      </w:r>
    </w:p>
    <w:p>
      <w:pPr>
        <w:pStyle w:val="TextBody"/>
        <w:bidi w:val="0"/>
        <w:spacing w:before="0" w:after="0"/>
        <w:jc w:val="left"/>
        <w:rPr/>
      </w:pPr>
      <w:r>
        <w:rPr/>
        <w:t> </w:t>
      </w:r>
    </w:p>
    <w:tbl>
      <w:tblPr>
        <w:tblW w:w="4858" w:type="dxa"/>
        <w:jc w:val="left"/>
        <w:tblInd w:w="0" w:type="dxa"/>
        <w:tblLayout w:type="fixed"/>
        <w:tblCellMar>
          <w:top w:w="0" w:type="dxa"/>
          <w:left w:w="0" w:type="dxa"/>
          <w:bottom w:w="0" w:type="dxa"/>
          <w:right w:w="0" w:type="dxa"/>
        </w:tblCellMar>
      </w:tblPr>
      <w:tblGrid>
        <w:gridCol w:w="688"/>
        <w:gridCol w:w="1087"/>
        <w:gridCol w:w="418"/>
        <w:gridCol w:w="60"/>
        <w:gridCol w:w="650"/>
        <w:gridCol w:w="60"/>
        <w:gridCol w:w="1895"/>
      </w:tblGrid>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vAlign w:val="center"/>
          </w:tcPr>
          <w:p>
            <w:pPr>
              <w:pStyle w:val="TableContents"/>
              <w:bidi w:val="0"/>
              <w:spacing w:before="0" w:after="283"/>
              <w:jc w:val="left"/>
              <w:rPr/>
            </w:pPr>
            <w:r>
              <w:rPr/>
              <w:t>Date: August 13, 2026</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b/>
              </w:rPr>
            </w:pPr>
            <w:r>
              <w:rPr>
                <w:b/>
              </w:rPr>
              <w:t xml:space="preserve">SOLV ENERGY, INC. </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1955"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Forman</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Adam Forman</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Chief Legal Officer</w:t>
            </w:r>
          </w:p>
        </w:tc>
      </w:tr>
    </w:tbl>
    <w:p>
      <w:pPr>
        <w:pStyle w:val="TextBody"/>
        <w:bidi w:val="0"/>
        <w:spacing w:before="0" w:after="0"/>
        <w:jc w:val="right"/>
        <w:rPr>
          <w:rFonts w:ascii="Times New Roman" w:hAnsi="Times New Roman"/>
          <w:b/>
          <w:sz w:val="20"/>
        </w:rPr>
      </w:pPr>
      <w:bookmarkStart w:id="2" w:name="d82759dex991.htm"/>
      <w:bookmarkStart w:id="3" w:name="ksd82759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SOLV Energy Reports Second Quarter 2026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SAN DIEGO, California – August 13, 2026 – (GLOBE NEWSWIRE) – SOLV Energy, Inc. (“SOLV” or the “Company”) (Nasdaq: MWH), a leading provider of infrastructure services to the power industry, today announced financial results for the second quarter ended June 30, 2026. </w:t>
      </w:r>
    </w:p>
    <w:p>
      <w:pPr>
        <w:pStyle w:val="TextBody"/>
        <w:bidi w:val="0"/>
        <w:spacing w:before="240" w:after="0"/>
        <w:jc w:val="left"/>
        <w:rPr>
          <w:rFonts w:ascii="Times New Roman" w:hAnsi="Times New Roman"/>
          <w:b/>
          <w:sz w:val="20"/>
        </w:rPr>
      </w:pPr>
      <w:r>
        <w:rPr>
          <w:rFonts w:ascii="Times New Roman" w:hAnsi="Times New Roman"/>
          <w:b/>
          <w:sz w:val="20"/>
        </w:rPr>
        <w:t xml:space="preserve">Financial Summary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23"/>
        <w:gridCol w:w="245"/>
        <w:gridCol w:w="137"/>
        <w:gridCol w:w="1025"/>
        <w:gridCol w:w="635"/>
        <w:gridCol w:w="243"/>
        <w:gridCol w:w="137"/>
        <w:gridCol w:w="1028"/>
        <w:gridCol w:w="275"/>
        <w:gridCol w:w="167"/>
        <w:gridCol w:w="114"/>
        <w:gridCol w:w="1078"/>
        <w:gridCol w:w="529"/>
        <w:gridCol w:w="220"/>
        <w:gridCol w:w="114"/>
        <w:gridCol w:w="837"/>
        <w:gridCol w:w="281"/>
      </w:tblGrid>
      <w:tr>
        <w:trPr/>
        <w:tc>
          <w:tcPr>
            <w:tcW w:w="2323"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323" w:type="dxa"/>
            <w:tcBorders/>
            <w:vAlign w:val="bottom"/>
          </w:tcPr>
          <w:p>
            <w:pPr>
              <w:pStyle w:val="TableContents"/>
              <w:bidi w:val="0"/>
              <w:spacing w:before="0" w:after="283"/>
              <w:jc w:val="left"/>
              <w:rPr>
                <w:b/>
              </w:rPr>
            </w:pPr>
            <w:r>
              <w:rPr>
                <w:b/>
              </w:rPr>
              <w:t>(in $ millions except percentages)</w:t>
            </w:r>
          </w:p>
        </w:tc>
        <w:tc>
          <w:tcPr>
            <w:tcW w:w="245" w:type="dxa"/>
            <w:tcBorders/>
            <w:vAlign w:val="bottom"/>
          </w:tcPr>
          <w:p>
            <w:pPr>
              <w:pStyle w:val="TableContents"/>
              <w:bidi w:val="0"/>
              <w:spacing w:before="0" w:after="283"/>
              <w:jc w:val="left"/>
              <w:rPr/>
            </w:pPr>
            <w:r>
              <w:rPr/>
              <w:t>  </w:t>
            </w:r>
          </w:p>
        </w:tc>
        <w:tc>
          <w:tcPr>
            <w:tcW w:w="32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8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281" w:type="dxa"/>
            <w:tcBorders/>
            <w:vAlign w:val="bottom"/>
          </w:tcPr>
          <w:p>
            <w:pPr>
              <w:pStyle w:val="TableContents"/>
              <w:bidi w:val="0"/>
              <w:spacing w:before="0" w:after="283"/>
              <w:jc w:val="left"/>
              <w:rPr/>
            </w:pPr>
            <w:r>
              <w:rPr/>
              <w:t> </w:t>
            </w:r>
          </w:p>
        </w:tc>
      </w:tr>
      <w:tr>
        <w:trPr/>
        <w:tc>
          <w:tcPr>
            <w:tcW w:w="232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3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52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1" w:type="dxa"/>
            <w:tcBorders/>
            <w:vAlign w:val="bottom"/>
          </w:tcPr>
          <w:p>
            <w:pPr>
              <w:pStyle w:val="TableContents"/>
              <w:bidi w:val="0"/>
              <w:spacing w:before="0" w:after="283"/>
              <w:jc w:val="left"/>
              <w:rPr/>
            </w:pPr>
            <w:r>
              <w:rPr/>
              <w:t> </w:t>
            </w:r>
          </w:p>
        </w:tc>
      </w:tr>
      <w:tr>
        <w:trPr/>
        <w:tc>
          <w:tcPr>
            <w:tcW w:w="23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4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951</w:t>
            </w:r>
          </w:p>
        </w:tc>
        <w:tc>
          <w:tcPr>
            <w:tcW w:w="63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536</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1,628</w:t>
            </w:r>
          </w:p>
        </w:tc>
        <w:tc>
          <w:tcPr>
            <w:tcW w:w="52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944</w:t>
            </w:r>
          </w:p>
        </w:tc>
        <w:tc>
          <w:tcPr>
            <w:tcW w:w="281" w:type="dxa"/>
            <w:tcBorders/>
            <w:shd w:fill="CCEEFF" w:val="clear"/>
            <w:vAlign w:val="bottom"/>
          </w:tcPr>
          <w:p>
            <w:pPr>
              <w:pStyle w:val="TableContents"/>
              <w:bidi w:val="0"/>
              <w:spacing w:before="0" w:after="283"/>
              <w:jc w:val="left"/>
              <w:rPr/>
            </w:pPr>
            <w:r>
              <w:rPr/>
              <w:t> </w:t>
            </w:r>
          </w:p>
        </w:tc>
      </w:tr>
      <w:tr>
        <w:trPr/>
        <w:tc>
          <w:tcPr>
            <w:tcW w:w="2323"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Profit1</w:t>
            </w:r>
          </w:p>
        </w:tc>
        <w:tc>
          <w:tcPr>
            <w:tcW w:w="24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140</w:t>
            </w:r>
          </w:p>
        </w:tc>
        <w:tc>
          <w:tcPr>
            <w:tcW w:w="63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113</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259</w:t>
            </w:r>
          </w:p>
        </w:tc>
        <w:tc>
          <w:tcPr>
            <w:tcW w:w="52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172</w:t>
            </w:r>
          </w:p>
        </w:tc>
        <w:tc>
          <w:tcPr>
            <w:tcW w:w="281" w:type="dxa"/>
            <w:tcBorders/>
            <w:vAlign w:val="bottom"/>
          </w:tcPr>
          <w:p>
            <w:pPr>
              <w:pStyle w:val="TableContents"/>
              <w:bidi w:val="0"/>
              <w:spacing w:before="0" w:after="283"/>
              <w:jc w:val="left"/>
              <w:rPr/>
            </w:pPr>
            <w:r>
              <w:rPr/>
              <w:t> </w:t>
            </w:r>
          </w:p>
        </w:tc>
      </w:tr>
      <w:tr>
        <w:trPr/>
        <w:tc>
          <w:tcPr>
            <w:tcW w:w="23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Margin1</w:t>
            </w:r>
          </w:p>
        </w:tc>
        <w:tc>
          <w:tcPr>
            <w:tcW w:w="24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14.7</w:t>
            </w:r>
          </w:p>
        </w:tc>
        <w:tc>
          <w:tcPr>
            <w:tcW w:w="63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21.1</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15.9</w:t>
            </w:r>
          </w:p>
        </w:tc>
        <w:tc>
          <w:tcPr>
            <w:tcW w:w="52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18.2</w:t>
            </w:r>
          </w:p>
        </w:tc>
        <w:tc>
          <w:tcPr>
            <w:tcW w:w="281" w:type="dxa"/>
            <w:tcBorders/>
            <w:shd w:fill="CCEEFF" w:val="clear"/>
            <w:vAlign w:val="bottom"/>
          </w:tcPr>
          <w:p>
            <w:pPr>
              <w:pStyle w:val="TableContents"/>
              <w:bidi w:val="0"/>
              <w:spacing w:before="0" w:after="283"/>
              <w:jc w:val="left"/>
              <w:rPr/>
            </w:pPr>
            <w:r>
              <w:rPr/>
              <w:t>% </w:t>
            </w:r>
          </w:p>
        </w:tc>
      </w:tr>
      <w:tr>
        <w:trPr/>
        <w:tc>
          <w:tcPr>
            <w:tcW w:w="2323"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Income2</w:t>
            </w:r>
          </w:p>
        </w:tc>
        <w:tc>
          <w:tcPr>
            <w:tcW w:w="24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67</w:t>
            </w:r>
          </w:p>
        </w:tc>
        <w:tc>
          <w:tcPr>
            <w:tcW w:w="63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45</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39</w:t>
            </w:r>
          </w:p>
        </w:tc>
        <w:tc>
          <w:tcPr>
            <w:tcW w:w="52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44</w:t>
            </w:r>
          </w:p>
        </w:tc>
        <w:tc>
          <w:tcPr>
            <w:tcW w:w="281" w:type="dxa"/>
            <w:tcBorders/>
            <w:vAlign w:val="bottom"/>
          </w:tcPr>
          <w:p>
            <w:pPr>
              <w:pStyle w:val="TableContents"/>
              <w:bidi w:val="0"/>
              <w:spacing w:before="0" w:after="283"/>
              <w:jc w:val="left"/>
              <w:rPr/>
            </w:pPr>
            <w:r>
              <w:rPr/>
              <w:t> </w:t>
            </w:r>
          </w:p>
        </w:tc>
      </w:tr>
      <w:tr>
        <w:trPr/>
        <w:tc>
          <w:tcPr>
            <w:tcW w:w="23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Gross Profit3</w:t>
            </w:r>
          </w:p>
        </w:tc>
        <w:tc>
          <w:tcPr>
            <w:tcW w:w="24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145</w:t>
            </w:r>
          </w:p>
        </w:tc>
        <w:tc>
          <w:tcPr>
            <w:tcW w:w="63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113</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269</w:t>
            </w:r>
          </w:p>
        </w:tc>
        <w:tc>
          <w:tcPr>
            <w:tcW w:w="52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172</w:t>
            </w:r>
          </w:p>
        </w:tc>
        <w:tc>
          <w:tcPr>
            <w:tcW w:w="281" w:type="dxa"/>
            <w:tcBorders/>
            <w:shd w:fill="CCEEFF" w:val="clear"/>
            <w:vAlign w:val="bottom"/>
          </w:tcPr>
          <w:p>
            <w:pPr>
              <w:pStyle w:val="TableContents"/>
              <w:bidi w:val="0"/>
              <w:spacing w:before="0" w:after="283"/>
              <w:jc w:val="left"/>
              <w:rPr/>
            </w:pPr>
            <w:r>
              <w:rPr/>
              <w:t> </w:t>
            </w:r>
          </w:p>
        </w:tc>
      </w:tr>
      <w:tr>
        <w:trPr/>
        <w:tc>
          <w:tcPr>
            <w:tcW w:w="2323"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Gross Margin3</w:t>
            </w:r>
          </w:p>
        </w:tc>
        <w:tc>
          <w:tcPr>
            <w:tcW w:w="24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15.2</w:t>
            </w:r>
          </w:p>
        </w:tc>
        <w:tc>
          <w:tcPr>
            <w:tcW w:w="63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21.1</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16.5</w:t>
            </w:r>
          </w:p>
        </w:tc>
        <w:tc>
          <w:tcPr>
            <w:tcW w:w="52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18.2</w:t>
            </w:r>
          </w:p>
        </w:tc>
        <w:tc>
          <w:tcPr>
            <w:tcW w:w="281" w:type="dxa"/>
            <w:tcBorders/>
            <w:vAlign w:val="bottom"/>
          </w:tcPr>
          <w:p>
            <w:pPr>
              <w:pStyle w:val="TableContents"/>
              <w:bidi w:val="0"/>
              <w:spacing w:before="0" w:after="283"/>
              <w:jc w:val="left"/>
              <w:rPr/>
            </w:pPr>
            <w:r>
              <w:rPr/>
              <w:t>% </w:t>
            </w:r>
          </w:p>
        </w:tc>
      </w:tr>
      <w:tr>
        <w:trPr/>
        <w:tc>
          <w:tcPr>
            <w:tcW w:w="23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24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117</w:t>
            </w:r>
          </w:p>
        </w:tc>
        <w:tc>
          <w:tcPr>
            <w:tcW w:w="63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86</w:t>
            </w:r>
          </w:p>
        </w:tc>
        <w:tc>
          <w:tcPr>
            <w:tcW w:w="27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210</w:t>
            </w:r>
          </w:p>
        </w:tc>
        <w:tc>
          <w:tcPr>
            <w:tcW w:w="52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120</w:t>
            </w:r>
          </w:p>
        </w:tc>
        <w:tc>
          <w:tcPr>
            <w:tcW w:w="281" w:type="dxa"/>
            <w:tcBorders/>
            <w:shd w:fill="CCEEFF" w:val="clear"/>
            <w:vAlign w:val="bottom"/>
          </w:tcPr>
          <w:p>
            <w:pPr>
              <w:pStyle w:val="TableContents"/>
              <w:bidi w:val="0"/>
              <w:spacing w:before="0" w:after="283"/>
              <w:jc w:val="left"/>
              <w:rPr/>
            </w:pPr>
            <w:r>
              <w:rPr/>
              <w:t> </w:t>
            </w:r>
          </w:p>
        </w:tc>
      </w:tr>
      <w:tr>
        <w:trPr/>
        <w:tc>
          <w:tcPr>
            <w:tcW w:w="2323"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 Margin</w:t>
            </w:r>
          </w:p>
        </w:tc>
        <w:tc>
          <w:tcPr>
            <w:tcW w:w="24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12.4</w:t>
            </w:r>
          </w:p>
        </w:tc>
        <w:tc>
          <w:tcPr>
            <w:tcW w:w="63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16.1</w:t>
            </w:r>
          </w:p>
        </w:tc>
        <w:tc>
          <w:tcPr>
            <w:tcW w:w="27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12.9</w:t>
            </w:r>
          </w:p>
        </w:tc>
        <w:tc>
          <w:tcPr>
            <w:tcW w:w="52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12.7</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Beginning with the second quarter of 2026, the Company classified certain annual incentive compensation within Cost of Revenue instead of Selling, general &amp; administrative expense. This change affects the presentation of Gross Profit, Gross Margin and Adjusted Gross Margin but has no impact on Net Income, Adjusted EBITDA, or cash flows.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Net Income before Non-Controlling Interest.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and Adjusted Gross Margin exclude the impact of the allocation of non-cash compensation expense to cost of revenue.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Financial and 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Last twelve month safety metrics continue to track well below industry benchmarks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financial performance in the first half of 2026, with revenue up 72% year over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backlog as of June 30, 2026 of approximately $8.9 billion, or 44% growth year over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 23 GW now under contract for O&amp;M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Closed acquisition of Roberson Waite Electric on July 1, 2026 </w:t>
            </w:r>
          </w:p>
        </w:tc>
      </w:tr>
    </w:tbl>
    <w:p>
      <w:pPr>
        <w:pStyle w:val="TextBody"/>
        <w:bidi w:val="0"/>
        <w:spacing w:before="240" w:after="0"/>
        <w:jc w:val="left"/>
        <w:rPr/>
      </w:pPr>
      <w:r>
        <w:rPr/>
        <w:t>“</w:t>
      </w:r>
      <w:r>
        <w:rPr>
          <w:rFonts w:ascii="Times New Roman" w:hAnsi="Times New Roman"/>
          <w:sz w:val="20"/>
        </w:rPr>
        <w:t xml:space="preserve">SOLV delivered record financial results through the first half of 2026, driven by strong execution across the business and continued demand from customers who rely on us to build, maintain, and enhance critical energy infrastructure,” said George Hershman, Chief Executive Officer of SOLV Energy. “The addition of Roberson Waite Electric further strengthens our platform and expands the solutions we can provide to our customers. With a growing backlog, strong momentum across our operations, and continued focus on execution, we are well positioned for the remainder of the year and are raising our full-year financial guidance.”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Revenue for the second quarter of 2026 increased 77% year over year to $951 million, bringing first half revenue to $1.628 billion, or an increase of 72% year over year. This growth was primarily driven by an increase in new construction activity and the contribution from M&amp;A activity. </w:t>
      </w:r>
    </w:p>
    <w:p>
      <w:pPr>
        <w:pStyle w:val="TextBody"/>
        <w:bidi w:val="0"/>
        <w:spacing w:before="240" w:after="0"/>
        <w:jc w:val="left"/>
        <w:rPr>
          <w:rFonts w:ascii="Times New Roman" w:hAnsi="Times New Roman"/>
          <w:sz w:val="20"/>
        </w:rPr>
      </w:pPr>
      <w:r>
        <w:rPr>
          <w:rFonts w:ascii="Times New Roman" w:hAnsi="Times New Roman"/>
          <w:sz w:val="20"/>
        </w:rPr>
        <w:t xml:space="preserve">During the second quarter of 2026, gross profit was $140 million, bringing first half results to $259 million. On an adjusted basis, or excluding non-cash compensation expense in cost of revenue, Adjusted Gross Profit was $145 million, bringing first half 2026 results to $269 million. </w:t>
      </w:r>
    </w:p>
    <w:p>
      <w:pPr>
        <w:pStyle w:val="TextBody"/>
        <w:bidi w:val="0"/>
        <w:spacing w:before="240" w:after="0"/>
        <w:jc w:val="left"/>
        <w:rPr>
          <w:rFonts w:ascii="Times New Roman" w:hAnsi="Times New Roman"/>
          <w:sz w:val="20"/>
        </w:rPr>
      </w:pPr>
      <w:r>
        <w:rPr>
          <w:rFonts w:ascii="Times New Roman" w:hAnsi="Times New Roman"/>
          <w:sz w:val="20"/>
        </w:rPr>
        <w:t xml:space="preserve">Gross and Adjusted Gross Margin in the second quarter of 2026 was 14.7% and 15.2%, respectively, compared to 21.1% in the prior-year period. Through the first half of 2026, Gross and Adjusted Gross Margin was 15.9% and 16.5%, respectively, as compared to 18.2% in the prior year period. </w:t>
      </w:r>
    </w:p>
    <w:p>
      <w:pPr>
        <w:pStyle w:val="TextBody"/>
        <w:bidi w:val="0"/>
        <w:spacing w:before="240" w:after="0"/>
        <w:jc w:val="left"/>
        <w:rPr>
          <w:rFonts w:ascii="Times New Roman" w:hAnsi="Times New Roman"/>
          <w:sz w:val="20"/>
        </w:rPr>
      </w:pPr>
      <w:r>
        <w:rPr>
          <w:rFonts w:ascii="Times New Roman" w:hAnsi="Times New Roman"/>
          <w:sz w:val="20"/>
        </w:rPr>
        <w:t xml:space="preserve">The year over year variance in margin includes the contribution in 2025 from large repair projects relative to existing infrastructure services and development-related sales that are no longer part of ordinary course business operations. Additionally, and commencing in the second quarter of 2026, Gross and Adjusted Gross Margin now reflect a prospective classification change of certain annual bonus compensation expense to cost of revenue from selling, general and administrative expense; the impact of which is over 60 basis points to Gross and Adjusted Gross Margin in the first half 2026. </w:t>
      </w:r>
    </w:p>
    <w:p>
      <w:pPr>
        <w:pStyle w:val="TextBody"/>
        <w:bidi w:val="0"/>
        <w:spacing w:before="240" w:after="0"/>
        <w:jc w:val="left"/>
        <w:rPr>
          <w:rFonts w:ascii="Times New Roman" w:hAnsi="Times New Roman"/>
          <w:sz w:val="20"/>
        </w:rPr>
      </w:pPr>
      <w:r>
        <w:rPr>
          <w:rFonts w:ascii="Times New Roman" w:hAnsi="Times New Roman"/>
          <w:sz w:val="20"/>
        </w:rPr>
        <w:t xml:space="preserve">Net income was $67 million for the second quarter of 2026, compared to $45 million in the prior-year period, reflecting higher operating income driven by revenue growth and a reduction in interest expense following the repayment of term debt in connection with the February 2026 IPO. Net income for the first half was $39 million, compared to $44 million in the prior-year period. First-half net income reflects the benefit of higher operating income and substantially lower interest expense, partially offset by a $11 million non-cash loss on extinguishment of the term debt repaid at the IPO and a $52 million one-time non-cash compensation charge related to the modification and accelerated vesting of legacy equity awards in connection with the IPO.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for the second quarter of 2026 was $117 million bringing first half performance to $210 million, or 12.4% and 12.9% of revenue, respectively. See the reconciliation of net income to Adjusted EBITDA in the financial tables included in this press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Closed the Acquisition of Roberson Waite Electric </w:t>
      </w:r>
    </w:p>
    <w:p>
      <w:pPr>
        <w:pStyle w:val="TextBody"/>
        <w:bidi w:val="0"/>
        <w:spacing w:before="120" w:after="0"/>
        <w:jc w:val="left"/>
        <w:rPr>
          <w:rFonts w:ascii="Times New Roman" w:hAnsi="Times New Roman"/>
          <w:sz w:val="20"/>
        </w:rPr>
      </w:pPr>
      <w:r>
        <w:rPr>
          <w:rFonts w:ascii="Times New Roman" w:hAnsi="Times New Roman"/>
          <w:sz w:val="20"/>
        </w:rPr>
        <w:t xml:space="preserve">On July 1, 2026, the Company completed the previously-announced acquisition of Roberson Waite Electric, a California-based provider of utility substation construction, testing, commissioning, and related infrastructure services, for $40.9 million in cash, including closing adjustments, and up to $9.0 million payable in subsequent years, subject to certain performance criteria. Roberson Waite Electric brings deep, long-standing relationships with major California utilities and specialized expertise in turnkey substation construction and battery storage deployments, capabilities that directly complement SOLV’s existing transmission and distribution platform.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Financial Outlook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updating its financial outlook for 2026 reflecting first half results, the anticipated contribution from the Roberson Waite Electric acquisition, the full-year impact of the prospective classification change in certain annual performance based compensation from SG&amp;A to cost of revenue, and the current view of project performance from new construction activity in the second half of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Company’s updated full-year 2026 financial guidance for the year ending December 31, 2026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09"/>
        <w:gridCol w:w="195"/>
        <w:gridCol w:w="1527"/>
        <w:gridCol w:w="195"/>
        <w:gridCol w:w="1529"/>
      </w:tblGrid>
      <w:tr>
        <w:trPr/>
        <w:tc>
          <w:tcPr>
            <w:tcW w:w="4309"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430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 in millions, unless noted otherwise)</w:t>
            </w:r>
          </w:p>
        </w:tc>
        <w:tc>
          <w:tcPr>
            <w:tcW w:w="195" w:type="dxa"/>
            <w:tcBorders/>
            <w:vAlign w:val="bottom"/>
          </w:tcPr>
          <w:p>
            <w:pPr>
              <w:pStyle w:val="TableContents"/>
              <w:bidi w:val="0"/>
              <w:spacing w:before="0" w:after="283"/>
              <w:jc w:val="left"/>
              <w:rPr/>
            </w:pPr>
            <w:r>
              <w:rPr/>
              <w:t>  </w:t>
            </w:r>
          </w:p>
        </w:tc>
        <w:tc>
          <w:tcPr>
            <w:tcW w:w="1527" w:type="dxa"/>
            <w:tcBorders>
              <w:bottom w:val="single" w:sz="8" w:space="0" w:color="000000"/>
            </w:tcBorders>
            <w:tcMar>
              <w:bottom w:w="28" w:type="dxa"/>
            </w:tcMar>
            <w:vAlign w:val="bottom"/>
          </w:tcPr>
          <w:p>
            <w:pPr>
              <w:pStyle w:val="TableContents"/>
              <w:bidi w:val="0"/>
              <w:spacing w:before="0" w:after="283"/>
              <w:jc w:val="center"/>
              <w:rPr>
                <w:b/>
              </w:rPr>
            </w:pPr>
            <w:r>
              <w:rPr>
                <w:b/>
              </w:rPr>
              <w:t>Updated</w:t>
            </w:r>
          </w:p>
        </w:tc>
        <w:tc>
          <w:tcPr>
            <w:tcW w:w="195" w:type="dxa"/>
            <w:tcBorders/>
            <w:vAlign w:val="bottom"/>
          </w:tcPr>
          <w:p>
            <w:pPr>
              <w:pStyle w:val="TableContents"/>
              <w:bidi w:val="0"/>
              <w:spacing w:before="0" w:after="283"/>
              <w:jc w:val="left"/>
              <w:rPr/>
            </w:pPr>
            <w:r>
              <w:rPr/>
              <w:t>  </w:t>
            </w:r>
          </w:p>
        </w:tc>
        <w:tc>
          <w:tcPr>
            <w:tcW w:w="1529" w:type="dxa"/>
            <w:tcBorders>
              <w:bottom w:val="single" w:sz="8" w:space="0" w:color="000000"/>
            </w:tcBorders>
            <w:tcMar>
              <w:bottom w:w="28" w:type="dxa"/>
            </w:tcMar>
            <w:vAlign w:val="bottom"/>
          </w:tcPr>
          <w:p>
            <w:pPr>
              <w:pStyle w:val="TableContents"/>
              <w:bidi w:val="0"/>
              <w:spacing w:before="0" w:after="283"/>
              <w:jc w:val="center"/>
              <w:rPr>
                <w:b/>
              </w:rPr>
            </w:pPr>
            <w:r>
              <w:rPr>
                <w:b/>
              </w:rPr>
              <w:t>Previous1</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95" w:type="dxa"/>
            <w:tcBorders/>
            <w:shd w:fill="CCEEFF" w:val="clear"/>
            <w:vAlign w:val="bottom"/>
          </w:tcPr>
          <w:p>
            <w:pPr>
              <w:pStyle w:val="TableContents"/>
              <w:bidi w:val="0"/>
              <w:spacing w:before="0" w:after="283"/>
              <w:jc w:val="left"/>
              <w:rPr/>
            </w:pPr>
            <w:r>
              <w:rPr/>
              <w:t>  </w:t>
            </w:r>
          </w:p>
        </w:tc>
        <w:tc>
          <w:tcPr>
            <w:tcW w:w="1527" w:type="dxa"/>
            <w:tcBorders/>
            <w:shd w:fill="CCEEFF" w:val="clear"/>
            <w:vAlign w:val="bottom"/>
          </w:tcPr>
          <w:p>
            <w:pPr>
              <w:pStyle w:val="TableContents"/>
              <w:bidi w:val="0"/>
              <w:spacing w:before="0" w:after="283"/>
              <w:jc w:val="center"/>
              <w:rPr/>
            </w:pPr>
            <w:r>
              <w:rPr/>
              <w:t>$3,870 - $3,970</w:t>
            </w:r>
          </w:p>
        </w:tc>
        <w:tc>
          <w:tcPr>
            <w:tcW w:w="195"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center"/>
              <w:rPr/>
            </w:pPr>
            <w:r>
              <w:rPr/>
              <w:t>$3,720 - $3,820</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Adjusted Gross Profit2</w:t>
            </w:r>
          </w:p>
        </w:tc>
        <w:tc>
          <w:tcPr>
            <w:tcW w:w="195" w:type="dxa"/>
            <w:tcBorders/>
            <w:vAlign w:val="bottom"/>
          </w:tcPr>
          <w:p>
            <w:pPr>
              <w:pStyle w:val="TableContents"/>
              <w:bidi w:val="0"/>
              <w:spacing w:before="0" w:after="283"/>
              <w:jc w:val="left"/>
              <w:rPr/>
            </w:pPr>
            <w:r>
              <w:rPr/>
              <w:t>  </w:t>
            </w:r>
          </w:p>
        </w:tc>
        <w:tc>
          <w:tcPr>
            <w:tcW w:w="1527" w:type="dxa"/>
            <w:tcBorders/>
            <w:vAlign w:val="bottom"/>
          </w:tcPr>
          <w:p>
            <w:pPr>
              <w:pStyle w:val="TableContents"/>
              <w:bidi w:val="0"/>
              <w:spacing w:before="0" w:after="283"/>
              <w:jc w:val="center"/>
              <w:rPr/>
            </w:pPr>
            <w:r>
              <w:rPr/>
              <w:t>$620 - $660</w:t>
            </w:r>
          </w:p>
        </w:tc>
        <w:tc>
          <w:tcPr>
            <w:tcW w:w="195"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center"/>
              <w:rPr/>
            </w:pPr>
            <w:r>
              <w:rPr/>
              <w:t>$610 - $650</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Gross Margin (%)2</w:t>
            </w:r>
          </w:p>
        </w:tc>
        <w:tc>
          <w:tcPr>
            <w:tcW w:w="195" w:type="dxa"/>
            <w:tcBorders/>
            <w:shd w:fill="CCEEFF" w:val="clear"/>
            <w:vAlign w:val="bottom"/>
          </w:tcPr>
          <w:p>
            <w:pPr>
              <w:pStyle w:val="TableContents"/>
              <w:bidi w:val="0"/>
              <w:spacing w:before="0" w:after="283"/>
              <w:jc w:val="left"/>
              <w:rPr/>
            </w:pPr>
            <w:r>
              <w:rPr/>
              <w:t>  </w:t>
            </w:r>
          </w:p>
        </w:tc>
        <w:tc>
          <w:tcPr>
            <w:tcW w:w="1527" w:type="dxa"/>
            <w:tcBorders/>
            <w:shd w:fill="CCEEFF" w:val="clear"/>
            <w:vAlign w:val="bottom"/>
          </w:tcPr>
          <w:p>
            <w:pPr>
              <w:pStyle w:val="TableContents"/>
              <w:bidi w:val="0"/>
              <w:spacing w:before="0" w:after="283"/>
              <w:jc w:val="center"/>
              <w:rPr/>
            </w:pPr>
            <w:r>
              <w:rPr/>
              <w:t>16.0% - 16.6%</w:t>
            </w:r>
          </w:p>
        </w:tc>
        <w:tc>
          <w:tcPr>
            <w:tcW w:w="195"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center"/>
              <w:rPr/>
            </w:pPr>
            <w:r>
              <w:rPr/>
              <w:t>16.4% - 17.0%</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95" w:type="dxa"/>
            <w:tcBorders/>
            <w:vAlign w:val="bottom"/>
          </w:tcPr>
          <w:p>
            <w:pPr>
              <w:pStyle w:val="TableContents"/>
              <w:bidi w:val="0"/>
              <w:spacing w:before="0" w:after="283"/>
              <w:jc w:val="left"/>
              <w:rPr/>
            </w:pPr>
            <w:r>
              <w:rPr/>
              <w:t>  </w:t>
            </w:r>
          </w:p>
        </w:tc>
        <w:tc>
          <w:tcPr>
            <w:tcW w:w="1527" w:type="dxa"/>
            <w:tcBorders/>
            <w:vAlign w:val="bottom"/>
          </w:tcPr>
          <w:p>
            <w:pPr>
              <w:pStyle w:val="TableContents"/>
              <w:bidi w:val="0"/>
              <w:spacing w:before="0" w:after="283"/>
              <w:jc w:val="center"/>
              <w:rPr/>
            </w:pPr>
            <w:r>
              <w:rPr/>
              <w:t>$485 - $505</w:t>
            </w:r>
          </w:p>
        </w:tc>
        <w:tc>
          <w:tcPr>
            <w:tcW w:w="195"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center"/>
              <w:rPr/>
            </w:pPr>
            <w:r>
              <w:rPr/>
              <w:t>$435 - $455</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w:t>
            </w:r>
          </w:p>
        </w:tc>
        <w:tc>
          <w:tcPr>
            <w:tcW w:w="195" w:type="dxa"/>
            <w:tcBorders/>
            <w:shd w:fill="CCEEFF" w:val="clear"/>
            <w:vAlign w:val="bottom"/>
          </w:tcPr>
          <w:p>
            <w:pPr>
              <w:pStyle w:val="TableContents"/>
              <w:bidi w:val="0"/>
              <w:spacing w:before="0" w:after="283"/>
              <w:jc w:val="left"/>
              <w:rPr/>
            </w:pPr>
            <w:r>
              <w:rPr/>
              <w:t>  </w:t>
            </w:r>
          </w:p>
        </w:tc>
        <w:tc>
          <w:tcPr>
            <w:tcW w:w="1527" w:type="dxa"/>
            <w:tcBorders/>
            <w:shd w:fill="CCEEFF" w:val="clear"/>
            <w:vAlign w:val="bottom"/>
          </w:tcPr>
          <w:p>
            <w:pPr>
              <w:pStyle w:val="TableContents"/>
              <w:bidi w:val="0"/>
              <w:spacing w:before="0" w:after="283"/>
              <w:jc w:val="center"/>
              <w:rPr/>
            </w:pPr>
            <w:r>
              <w:rPr/>
              <w:t>12.5% - 12.7%</w:t>
            </w:r>
          </w:p>
        </w:tc>
        <w:tc>
          <w:tcPr>
            <w:tcW w:w="195"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center"/>
              <w:rPr/>
            </w:pPr>
            <w:r>
              <w:rPr/>
              <w:t>11.7% - 11.9%</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previously presented on the Company’s first quarter 2026 earnings press release.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and Adjusted Gross Margin exclude the impact of the allocation of non-cash compensation expense to cost of revenue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Webcast Information </w:t>
      </w:r>
    </w:p>
    <w:p>
      <w:pPr>
        <w:pStyle w:val="TextBody"/>
        <w:bidi w:val="0"/>
        <w:spacing w:before="120" w:after="0"/>
        <w:jc w:val="left"/>
        <w:rPr>
          <w:rFonts w:ascii="Times New Roman" w:hAnsi="Times New Roman"/>
          <w:sz w:val="20"/>
        </w:rPr>
      </w:pPr>
      <w:r>
        <w:rPr>
          <w:rFonts w:ascii="Times New Roman" w:hAnsi="Times New Roman"/>
          <w:sz w:val="20"/>
        </w:rPr>
        <w:t xml:space="preserve">Management will present results during a conference call today August 13, 2026, at 8:30 a.m. Eastern time. </w:t>
      </w:r>
    </w:p>
    <w:p>
      <w:pPr>
        <w:pStyle w:val="TextBody"/>
        <w:bidi w:val="0"/>
        <w:spacing w:before="240" w:after="0"/>
        <w:jc w:val="left"/>
        <w:rPr>
          <w:rFonts w:ascii="Times New Roman" w:hAnsi="Times New Roman"/>
          <w:sz w:val="20"/>
        </w:rPr>
      </w:pPr>
      <w:r>
        <w:rPr>
          <w:rFonts w:ascii="Times New Roman" w:hAnsi="Times New Roman"/>
          <w:sz w:val="20"/>
        </w:rPr>
        <w:t xml:space="preserve">A live webcast of the conference call, including presentation materials, can be accessed through the Company’s website at https://investors.solvenergy.com and clicking on “News &amp; Events” under the Investor Relations section. The webcast will be archived on the site for those unable to listen in real time. </w:t>
      </w:r>
    </w:p>
    <w:p>
      <w:pPr>
        <w:pStyle w:val="TextBody"/>
        <w:bidi w:val="0"/>
        <w:spacing w:before="360" w:after="0"/>
        <w:jc w:val="left"/>
        <w:rPr>
          <w:rFonts w:ascii="Times New Roman" w:hAnsi="Times New Roman"/>
          <w:b/>
          <w:sz w:val="20"/>
        </w:rPr>
      </w:pPr>
      <w:r>
        <w:rPr>
          <w:rFonts w:ascii="Times New Roman" w:hAnsi="Times New Roman"/>
          <w:b/>
          <w:sz w:val="20"/>
        </w:rPr>
        <w:t xml:space="preserve">About SOLV </w:t>
      </w:r>
    </w:p>
    <w:p>
      <w:pPr>
        <w:pStyle w:val="TextBody"/>
        <w:bidi w:val="0"/>
        <w:spacing w:before="120" w:after="0"/>
        <w:jc w:val="left"/>
        <w:rPr>
          <w:rFonts w:ascii="Times New Roman" w:hAnsi="Times New Roman"/>
          <w:sz w:val="20"/>
        </w:rPr>
      </w:pPr>
      <w:r>
        <w:rPr>
          <w:rFonts w:ascii="Times New Roman" w:hAnsi="Times New Roman"/>
          <w:sz w:val="20"/>
        </w:rPr>
        <w:t xml:space="preserve">SOLV Energy (Nasdaq: MWH) is a leading provider of infrastructure services to the power industry, including engineering, procurement, construction, testing, commissioning, operations, maintenance and repowering. Since 2008, we have built more than 500 power plants, representing over 22 GW of generating capacity. SOLV Energy also provides operations and maintenance (O&amp;M) services to 152 power plants, representing over 23 GW of generating capacity. In addition to EPC and O&amp;M for utility-scale power plants and related T&amp;D infrastructure, we offer large-scale repair, emergency response and repowering services and install end-to-end SCADA and network infrastructure solutions to maximize project performance and energy availability.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for purposes of the safe harbor provisions under the Private Securities Litigation Reform Act of 1995, which are subject to known and unknown risks, uncertainties and other important factors that may cause actual results to be materially different from the statements made herein. All statements other than statements of historical fact contained in this press release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press release in the context of the risks and uncertainties disclosed herein, in our Annual Report on Form 10-K and Quarterly Reports on Form 10-Q, including “Risk Factors” and “Management’s Discussion and Analysis of Financial Condition and Results of Operations,” and our other filings with the SEC, accessible on the SEC’s website at www.sec.gov and the Investors Relations section of the Company’s website at https://investors.solvenergy.com/financial-information/sec-filings. Important factors that could cause actual results to differ materially from those in the forward-looking statements include regional, national or global political, economic, business, competitive, market and regulatory conditions and the following: a wide range of factors, many that are beyond our control, can impact the timing, performance or profitability of our projects, any of which can result in additional costs to us, reductions or delays in revenues, the payment of liquidated damages by us or project termination; our results of operations, financial condition and other financial and operational disclosures are based upon estimates and assumptions that may differ from actual results or future outcomes; changes in estimates related to revenues and costs associated with our contracts with customers could result in a reduction or elimination of revenues, a reduction of profits or the recognition of losses; backlog may not be realized or may not result in profits and may not accurately represent future revenue; the imposition of additional duties and tariffs and other trade barriers and retaliatory countermeasures implemented by the U.S. and other governments; our results of operations may vary significantly from quarter to quarter; the reduction, elimination or expiration of government incentives for, or regulations mandating the use of, renewable energy and battery storage specifically; limitations on the availability or an increase in the price of materials, equipment and subcontractors that we and our customers depend on to complete and maintain projects; our business is labor-intensive, and we may be unable to attract and retain qualified employees or we may incur significant costs in the event we are unable to efficiently manage our workforce or the cost of labor increases; the loss, or reduction in business from, certain significant customers; many of our contracts may be canceled or suspended on short notice or may not be renewed upon completion or expiration, and we may be unsuccessful in replacing our contracts; we may fail to adequately recover on contract modifications against project owners for payment or performance; the nature of our business exposes us to potential liability for warranty, engineering and other related claims; during the ordinary course of our business, we are subject to lawsuits, claims and other legal proceedings, as well as bonding claims and related reimbursement requirements; we can incur liabilities or suffer negative financial or reputational impacts relating to health and safety matters; disruptions to our information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technology systems or our failure to adequately protect critical data, sensitive information and technology systems; we have identified material weaknesses in our internal control over financial reporting and if our remediation of the material weaknesses is not effective, or if we otherwise fail to maintain effective internal control over financial reporting in the future, we may not be able to accurately or timely report our financial condition or results of operations; any deterioration in the quality or reputation of our brands, which can be exacerbated by the effect of social media or significant media coverage; the loss of, or our inability to attract or keep, key personnel could disrupt our business; our inability to successfully execute our acquisition strategy; we may be unable to compete for projects if we are not able to obtain surety bonds, letters of credit or bank guarantees; we are generally paid in arrears for our services and may enter into other arrangements with certain of our customers, which could subject us to potential credit or investment risk and the risk of client defaults; insurance and claims expenses, as well as the unavailability or cancellation of third-party insurance coverage; our business and results of operations are subject to physical risks including those associated with climate change; our business is subject to operational hazards, including, among others, damage from severe weather conditions and electrical hazards, that can result in significant liabilities, and we may not be insured against all potential liabilities; increasing scrutiny and changing expectations from various stakeholders with respect to corporate sustainability practices may impose additional costs on us or expose us to reputational or other risks; our unionized workforce and related obligations; our inability to maintain, protect or enforce our rights in intellectual property; we may be subject to intellectual property rights claims by third parties, which are extremely costly to defend, could require us to pay significant damages and could limit our ability to use certain technologies; we use artificial intelligence technologies in our business, and the deployment, use, and maintenance of these technologies involve significant technological and legal risks; negative macroeconomic conditions and industry-specific market conditions; fluctuations in economic, political, financial, industry and market conditions on a regional, national or global basis, including as a result of, among other things, inflationary pressure that impacts our costs associated with labor, equipment and materials, increased interest rates, default or threat of default by the U.S. federal government with respect to its debt obligations, U.S. government shutdowns, natural disasters and other emergencies (e.g., wildfires, weather-related events or pandemics), deterioration of global or specific trade relationships, or acts of war, including but not limited to conflicts in the Middle East, geopolitical conflicts and political unrest; projects in our industry can have long sales cycles requiring significant upfront investment of resources; our revenues and profitability can be negatively impacted if our customers encounter financial difficulties or file for bankruptcy or disputes arise with our customers; the highly competitive nature of our business; technological advancements in other forms of power generation could negatively affect our business; regulatory requirements applicable to our industry and changes in current and potential legislative and regulatory initiatives may adversely affect demand for our services; we are subject to complex federal, state and other environmental, health and safety laws and regulations that could adversely affect the cost, manner or feasibility of conducting our operations or expose us to significant liabilities; we are subject to various specific regulatory regimes and requirements that could result in significant compliance costs and liabilities; any actual or perceived failure to comply with new or existing laws, regulations or other requirements relating to the privacy, security and processing of personal information; changes in tax laws or our tax estimates or positions; failure to comply with anti-corruption,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anti-bribery and/or international trade laws; violations of export control and/or economic sanctions laws and regulations to which we are subject and changes to U.S. foreign trade policy; immigration laws, including our inability to verify employment eligibility; our variable rate indebtedness subjects us to interest rate risk, which could cause our debt service obligations to increase significantly; our failure to comply with the covenants contained in the credit agreement could result in an event of default that could cause repayment of our debt to be accelerated; we may incur substantial additional indebtedness in the future and may not be able to generate sufficient cash to service such indebtedness, and may be forced to take other actions to satisfy our obligations under such indebtedness, which may not be successful; and the expenses that are required in order to operate as a public company could be material. For additional discussion of factors that could impact our operational and financial results, please refer to our filings with the SEC, accessible on the SEC’s website at www.sec.gov and the Investors Relations section of the Company’s website at https://investors.solvenergy.com/financial-information/sec-filings. The Company assumes no responsibility to update forward-looking statements made herein or otherwise.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Non-GAAP Information </w:t>
      </w:r>
    </w:p>
    <w:p>
      <w:pPr>
        <w:pStyle w:val="TextBody"/>
        <w:bidi w:val="0"/>
        <w:spacing w:before="120" w:after="0"/>
        <w:jc w:val="left"/>
        <w:rPr>
          <w:rFonts w:ascii="Times New Roman" w:hAnsi="Times New Roman"/>
          <w:sz w:val="20"/>
        </w:rPr>
      </w:pPr>
      <w:r>
        <w:rPr>
          <w:rFonts w:ascii="Times New Roman" w:hAnsi="Times New Roman"/>
          <w:sz w:val="20"/>
        </w:rPr>
        <w:t xml:space="preserve">Included in this press release are certain financial measures, including EBITDA, Adjusted EBITDA, Adjusted Gross Profit, and Adjusted Gross Margin that are not required by or prepared in accordance with U.S. generally accepted accounting principles (“GAAP”), and are designed to supplement, and not substitute, the Company’s financial information presented in accordance with GAAP. Our board of directors, management and investors use EBITDA, Adjusted EBITDA, Adjusted Gross Profit, and Adjusted Gross Margin to assess our financial performance because such measures allow them to compare our operating performance on a consistent basis across periods by removing the effects of our capital structure (such as varying levels of interest expense), asset base (such as depreciation and amortization) and items outside the control of our management team (such as income taxes). The non-GAAP measures as defined by the Company may not be comparable to similar non-GAAP measures presented by other companies. The presentation of such measures, which may include adjustments to exclude unusual or non-recurring items, should not be construed as an inference that the Company’s future results, cash flows or leverage will be unaffected by other unusual or nonrecurring items. Please see the financial tables included with this press release for reconciliations thereof to the most directly comparable GAAP measures.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reconcile its forward-looking non-GAAP financial measures to the corresponding GAAP measures, due to variability and difficulty in making accurate forecasts and projections and/or certain information not being ascertainable or accessible; and because not all of the information, such as provisions for income taxes necessary for a quantitative reconciliation of these forward-looking non-GAAP financial measures to the most directly comparable GAAP financial measure, is available to the Company without unreasonable efforts. For the same reasons, the Company is unable to address the probable significance of the unavailable information. The Company provides non-GAAP financial measures that it believes will be achieved, however it cannot predict all of the components of the adjusted calculations and the GAAP measures may be materially different than the non-GAAP measures.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Mike Adams </w:t>
      </w:r>
    </w:p>
    <w:p>
      <w:pPr>
        <w:pStyle w:val="TextBody"/>
        <w:bidi w:val="0"/>
        <w:spacing w:before="120" w:after="0"/>
        <w:jc w:val="left"/>
        <w:rPr>
          <w:rFonts w:ascii="Times New Roman" w:hAnsi="Times New Roman"/>
          <w:sz w:val="20"/>
        </w:rPr>
      </w:pPr>
      <w:r>
        <w:rPr>
          <w:rFonts w:ascii="Times New Roman" w:hAnsi="Times New Roman"/>
          <w:sz w:val="20"/>
        </w:rPr>
        <w:t xml:space="preserve">InvestorRelations@solvenergy.com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Ashley McCarthy </w:t>
      </w:r>
    </w:p>
    <w:p>
      <w:pPr>
        <w:pStyle w:val="TextBody"/>
        <w:bidi w:val="0"/>
        <w:spacing w:before="120" w:after="0"/>
        <w:jc w:val="left"/>
        <w:rPr>
          <w:rFonts w:ascii="Times New Roman" w:hAnsi="Times New Roman"/>
          <w:sz w:val="20"/>
        </w:rPr>
      </w:pPr>
      <w:r>
        <w:rPr>
          <w:rFonts w:ascii="Times New Roman" w:hAnsi="Times New Roman"/>
          <w:sz w:val="20"/>
        </w:rPr>
        <w:t xml:space="preserve">media@solvenergy.com </w:t>
      </w:r>
    </w:p>
    <w:p>
      <w:pPr>
        <w:pStyle w:val="TextBody"/>
        <w:bidi w:val="0"/>
        <w:spacing w:before="240" w:after="0"/>
        <w:jc w:val="center"/>
        <w:rPr>
          <w:rFonts w:ascii="Times New Roman" w:hAnsi="Times New Roman"/>
          <w:i/>
          <w:sz w:val="20"/>
        </w:rPr>
      </w:pPr>
      <w:r>
        <w:rPr>
          <w:rFonts w:ascii="Times New Roman" w:hAnsi="Times New Roman"/>
          <w:i/>
          <w:sz w:val="20"/>
        </w:rPr>
        <w:t xml:space="preserve">(financial tables to follow)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240" w:after="0"/>
        <w:jc w:val="center"/>
        <w:rPr>
          <w:rFonts w:ascii="Times New Roman" w:hAnsi="Times New Roman"/>
          <w:b/>
          <w:sz w:val="20"/>
        </w:rPr>
      </w:pPr>
      <w:r>
        <w:rPr>
          <w:rFonts w:ascii="Times New Roman" w:hAnsi="Times New Roman"/>
          <w:b/>
          <w:sz w:val="20"/>
        </w:rPr>
        <w:t xml:space="preserve">(in thousands, except share and per share amounts,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59"/>
        <w:gridCol w:w="139"/>
        <w:gridCol w:w="204"/>
        <w:gridCol w:w="1179"/>
        <w:gridCol w:w="226"/>
        <w:gridCol w:w="111"/>
        <w:gridCol w:w="204"/>
        <w:gridCol w:w="1182"/>
        <w:gridCol w:w="155"/>
        <w:gridCol w:w="88"/>
        <w:gridCol w:w="170"/>
        <w:gridCol w:w="1197"/>
        <w:gridCol w:w="188"/>
        <w:gridCol w:w="98"/>
        <w:gridCol w:w="169"/>
        <w:gridCol w:w="975"/>
        <w:gridCol w:w="161"/>
      </w:tblGrid>
      <w:tr>
        <w:trPr/>
        <w:tc>
          <w:tcPr>
            <w:tcW w:w="375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5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31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7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1" w:type="dxa"/>
            <w:tcBorders/>
            <w:vAlign w:val="bottom"/>
          </w:tcPr>
          <w:p>
            <w:pPr>
              <w:pStyle w:val="TableContents"/>
              <w:bidi w:val="0"/>
              <w:spacing w:before="0" w:after="283"/>
              <w:jc w:val="left"/>
              <w:rPr/>
            </w:pPr>
            <w:r>
              <w:rPr/>
              <w:t> </w:t>
            </w:r>
          </w:p>
        </w:tc>
      </w:tr>
      <w:tr>
        <w:trPr/>
        <w:tc>
          <w:tcPr>
            <w:tcW w:w="375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2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8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3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3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951,243</w:t>
            </w:r>
          </w:p>
        </w:tc>
        <w:tc>
          <w:tcPr>
            <w:tcW w:w="22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535,952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1,628,048</w:t>
            </w:r>
          </w:p>
        </w:tc>
        <w:tc>
          <w:tcPr>
            <w:tcW w:w="18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943,799</w:t>
            </w:r>
          </w:p>
        </w:tc>
        <w:tc>
          <w:tcPr>
            <w:tcW w:w="161" w:type="dxa"/>
            <w:tcBorders/>
            <w:shd w:fill="CCEEFF" w:val="clear"/>
            <w:vAlign w:val="bottom"/>
          </w:tcPr>
          <w:p>
            <w:pPr>
              <w:pStyle w:val="TableContents"/>
              <w:bidi w:val="0"/>
              <w:spacing w:before="0" w:after="283"/>
              <w:jc w:val="left"/>
              <w:rPr/>
            </w:pPr>
            <w:r>
              <w:rPr/>
              <w:t> </w:t>
            </w:r>
          </w:p>
        </w:tc>
      </w:tr>
      <w:tr>
        <w:trPr/>
        <w:tc>
          <w:tcPr>
            <w:tcW w:w="3759"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3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811,630</w:t>
            </w:r>
          </w:p>
        </w:tc>
        <w:tc>
          <w:tcPr>
            <w:tcW w:w="22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422,891</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1,369,362</w:t>
            </w:r>
          </w:p>
        </w:tc>
        <w:tc>
          <w:tcPr>
            <w:tcW w:w="18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771,639</w:t>
            </w:r>
          </w:p>
        </w:tc>
        <w:tc>
          <w:tcPr>
            <w:tcW w:w="161" w:type="dxa"/>
            <w:tcBorders/>
            <w:vAlign w:val="bottom"/>
          </w:tcPr>
          <w:p>
            <w:pPr>
              <w:pStyle w:val="TableContents"/>
              <w:bidi w:val="0"/>
              <w:spacing w:before="0" w:after="283"/>
              <w:jc w:val="left"/>
              <w:rPr/>
            </w:pPr>
            <w:r>
              <w:rPr/>
              <w:t> </w:t>
            </w:r>
          </w:p>
        </w:tc>
      </w:tr>
      <w:tr>
        <w:trPr/>
        <w:tc>
          <w:tcPr>
            <w:tcW w:w="375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88"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3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139,613</w:t>
            </w:r>
          </w:p>
        </w:tc>
        <w:tc>
          <w:tcPr>
            <w:tcW w:w="22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113,061</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258,686</w:t>
            </w:r>
          </w:p>
        </w:tc>
        <w:tc>
          <w:tcPr>
            <w:tcW w:w="18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172,160</w:t>
            </w:r>
          </w:p>
        </w:tc>
        <w:tc>
          <w:tcPr>
            <w:tcW w:w="161" w:type="dxa"/>
            <w:tcBorders/>
            <w:shd w:fill="CCEEFF" w:val="clear"/>
            <w:vAlign w:val="bottom"/>
          </w:tcPr>
          <w:p>
            <w:pPr>
              <w:pStyle w:val="TableContents"/>
              <w:bidi w:val="0"/>
              <w:spacing w:before="0" w:after="283"/>
              <w:jc w:val="left"/>
              <w:rPr/>
            </w:pPr>
            <w:r>
              <w:rPr/>
              <w:t> </w:t>
            </w:r>
          </w:p>
        </w:tc>
      </w:tr>
      <w:tr>
        <w:trPr/>
        <w:tc>
          <w:tcPr>
            <w:tcW w:w="375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3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52,649</w:t>
            </w:r>
          </w:p>
        </w:tc>
        <w:tc>
          <w:tcPr>
            <w:tcW w:w="22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41,157</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164,024</w:t>
            </w:r>
          </w:p>
        </w:tc>
        <w:tc>
          <w:tcPr>
            <w:tcW w:w="18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77,227</w:t>
            </w:r>
          </w:p>
        </w:tc>
        <w:tc>
          <w:tcPr>
            <w:tcW w:w="161" w:type="dxa"/>
            <w:tcBorders/>
            <w:vAlign w:val="bottom"/>
          </w:tcPr>
          <w:p>
            <w:pPr>
              <w:pStyle w:val="TableContents"/>
              <w:bidi w:val="0"/>
              <w:spacing w:before="0" w:after="283"/>
              <w:jc w:val="left"/>
              <w:rPr/>
            </w:pPr>
            <w:r>
              <w:rPr/>
              <w:t> </w:t>
            </w:r>
          </w:p>
        </w:tc>
      </w:tr>
      <w:tr>
        <w:trPr/>
        <w:tc>
          <w:tcPr>
            <w:tcW w:w="3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3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17,281</w:t>
            </w:r>
          </w:p>
        </w:tc>
        <w:tc>
          <w:tcPr>
            <w:tcW w:w="22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13,768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32,160</w:t>
            </w:r>
          </w:p>
        </w:tc>
        <w:tc>
          <w:tcPr>
            <w:tcW w:w="18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27,536</w:t>
            </w:r>
          </w:p>
        </w:tc>
        <w:tc>
          <w:tcPr>
            <w:tcW w:w="161" w:type="dxa"/>
            <w:tcBorders/>
            <w:shd w:fill="CCEEFF" w:val="clear"/>
            <w:vAlign w:val="bottom"/>
          </w:tcPr>
          <w:p>
            <w:pPr>
              <w:pStyle w:val="TableContents"/>
              <w:bidi w:val="0"/>
              <w:spacing w:before="0" w:after="283"/>
              <w:jc w:val="left"/>
              <w:rPr/>
            </w:pPr>
            <w:r>
              <w:rPr/>
              <w:t> </w:t>
            </w:r>
          </w:p>
        </w:tc>
      </w:tr>
      <w:tr>
        <w:trPr/>
        <w:tc>
          <w:tcPr>
            <w:tcW w:w="375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88"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9"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3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69,930</w:t>
            </w:r>
          </w:p>
        </w:tc>
        <w:tc>
          <w:tcPr>
            <w:tcW w:w="22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54,925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196,184</w:t>
            </w:r>
          </w:p>
        </w:tc>
        <w:tc>
          <w:tcPr>
            <w:tcW w:w="18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104,763</w:t>
            </w:r>
          </w:p>
        </w:tc>
        <w:tc>
          <w:tcPr>
            <w:tcW w:w="161" w:type="dxa"/>
            <w:tcBorders/>
            <w:vAlign w:val="bottom"/>
          </w:tcPr>
          <w:p>
            <w:pPr>
              <w:pStyle w:val="TableContents"/>
              <w:bidi w:val="0"/>
              <w:spacing w:before="0" w:after="283"/>
              <w:jc w:val="left"/>
              <w:rPr/>
            </w:pPr>
            <w:r>
              <w:rPr/>
              <w:t> </w:t>
            </w:r>
          </w:p>
        </w:tc>
      </w:tr>
      <w:tr>
        <w:trPr/>
        <w:tc>
          <w:tcPr>
            <w:tcW w:w="375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88"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3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69,683</w:t>
            </w:r>
          </w:p>
        </w:tc>
        <w:tc>
          <w:tcPr>
            <w:tcW w:w="22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58,136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62,502</w:t>
            </w:r>
          </w:p>
        </w:tc>
        <w:tc>
          <w:tcPr>
            <w:tcW w:w="18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67,397</w:t>
            </w:r>
          </w:p>
        </w:tc>
        <w:tc>
          <w:tcPr>
            <w:tcW w:w="161" w:type="dxa"/>
            <w:tcBorders/>
            <w:shd w:fill="CCEEFF" w:val="clear"/>
            <w:vAlign w:val="bottom"/>
          </w:tcPr>
          <w:p>
            <w:pPr>
              <w:pStyle w:val="TableContents"/>
              <w:bidi w:val="0"/>
              <w:spacing w:before="0" w:after="283"/>
              <w:jc w:val="left"/>
              <w:rPr/>
            </w:pPr>
            <w:r>
              <w:rPr/>
              <w:t> </w:t>
            </w:r>
          </w:p>
        </w:tc>
      </w:tr>
      <w:tr>
        <w:trPr/>
        <w:tc>
          <w:tcPr>
            <w:tcW w:w="3759" w:type="dxa"/>
            <w:tcBorders/>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13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22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10,688</w:t>
            </w:r>
          </w:p>
        </w:tc>
        <w:tc>
          <w:tcPr>
            <w:tcW w:w="18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3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1,402</w:t>
            </w:r>
          </w:p>
        </w:tc>
        <w:tc>
          <w:tcPr>
            <w:tcW w:w="22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14,062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8,299</w:t>
            </w:r>
          </w:p>
        </w:tc>
        <w:tc>
          <w:tcPr>
            <w:tcW w:w="18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26,753</w:t>
            </w:r>
          </w:p>
        </w:tc>
        <w:tc>
          <w:tcPr>
            <w:tcW w:w="161" w:type="dxa"/>
            <w:tcBorders/>
            <w:shd w:fill="CCEEFF" w:val="clear"/>
            <w:vAlign w:val="bottom"/>
          </w:tcPr>
          <w:p>
            <w:pPr>
              <w:pStyle w:val="TableContents"/>
              <w:bidi w:val="0"/>
              <w:spacing w:before="0" w:after="283"/>
              <w:jc w:val="left"/>
              <w:rPr/>
            </w:pPr>
            <w:r>
              <w:rPr/>
              <w:t> </w:t>
            </w:r>
          </w:p>
        </w:tc>
      </w:tr>
      <w:tr>
        <w:trPr/>
        <w:tc>
          <w:tcPr>
            <w:tcW w:w="375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3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(1,843</w:t>
            </w:r>
          </w:p>
        </w:tc>
        <w:tc>
          <w:tcPr>
            <w:tcW w:w="22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(1,583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(3,293</w:t>
            </w:r>
          </w:p>
        </w:tc>
        <w:tc>
          <w:tcPr>
            <w:tcW w:w="18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(4,855</w:t>
            </w:r>
          </w:p>
        </w:tc>
        <w:tc>
          <w:tcPr>
            <w:tcW w:w="161" w:type="dxa"/>
            <w:tcBorders/>
            <w:vAlign w:val="bottom"/>
          </w:tcPr>
          <w:p>
            <w:pPr>
              <w:pStyle w:val="TableContents"/>
              <w:bidi w:val="0"/>
              <w:spacing w:before="0" w:after="283"/>
              <w:jc w:val="left"/>
              <w:rPr/>
            </w:pPr>
            <w:r>
              <w:rPr/>
              <w:t>) </w:t>
            </w:r>
          </w:p>
        </w:tc>
      </w:tr>
      <w:tr>
        <w:trPr/>
        <w:tc>
          <w:tcPr>
            <w:tcW w:w="3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loss, net</w:t>
            </w:r>
          </w:p>
        </w:tc>
        <w:tc>
          <w:tcPr>
            <w:tcW w:w="13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(2,532</w:t>
            </w:r>
          </w:p>
        </w:tc>
        <w:tc>
          <w:tcPr>
            <w:tcW w:w="22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(2,600</w:t>
            </w:r>
          </w:p>
        </w:tc>
        <w:tc>
          <w:tcPr>
            <w:tcW w:w="18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60</w:t>
            </w:r>
          </w:p>
        </w:tc>
        <w:tc>
          <w:tcPr>
            <w:tcW w:w="161" w:type="dxa"/>
            <w:tcBorders/>
            <w:shd w:fill="CCEEFF" w:val="clear"/>
            <w:vAlign w:val="bottom"/>
          </w:tcPr>
          <w:p>
            <w:pPr>
              <w:pStyle w:val="TableContents"/>
              <w:bidi w:val="0"/>
              <w:spacing w:before="0" w:after="283"/>
              <w:jc w:val="left"/>
              <w:rPr/>
            </w:pPr>
            <w:r>
              <w:rPr/>
              <w:t> </w:t>
            </w:r>
          </w:p>
        </w:tc>
      </w:tr>
      <w:tr>
        <w:trPr/>
        <w:tc>
          <w:tcPr>
            <w:tcW w:w="375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88"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9"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3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72,656</w:t>
            </w:r>
          </w:p>
        </w:tc>
        <w:tc>
          <w:tcPr>
            <w:tcW w:w="22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45,679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49,408</w:t>
            </w:r>
          </w:p>
        </w:tc>
        <w:tc>
          <w:tcPr>
            <w:tcW w:w="18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45,439</w:t>
            </w:r>
          </w:p>
        </w:tc>
        <w:tc>
          <w:tcPr>
            <w:tcW w:w="161" w:type="dxa"/>
            <w:tcBorders/>
            <w:vAlign w:val="bottom"/>
          </w:tcPr>
          <w:p>
            <w:pPr>
              <w:pStyle w:val="TableContents"/>
              <w:bidi w:val="0"/>
              <w:spacing w:before="0" w:after="283"/>
              <w:jc w:val="left"/>
              <w:rPr/>
            </w:pPr>
            <w:r>
              <w:rPr/>
              <w:t> </w:t>
            </w:r>
          </w:p>
        </w:tc>
      </w:tr>
      <w:tr>
        <w:trPr/>
        <w:tc>
          <w:tcPr>
            <w:tcW w:w="3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3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5,823</w:t>
            </w:r>
          </w:p>
        </w:tc>
        <w:tc>
          <w:tcPr>
            <w:tcW w:w="22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1,047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9,989</w:t>
            </w:r>
          </w:p>
        </w:tc>
        <w:tc>
          <w:tcPr>
            <w:tcW w:w="18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1,309</w:t>
            </w:r>
          </w:p>
        </w:tc>
        <w:tc>
          <w:tcPr>
            <w:tcW w:w="161" w:type="dxa"/>
            <w:tcBorders/>
            <w:shd w:fill="CCEEFF" w:val="clear"/>
            <w:vAlign w:val="bottom"/>
          </w:tcPr>
          <w:p>
            <w:pPr>
              <w:pStyle w:val="TableContents"/>
              <w:bidi w:val="0"/>
              <w:spacing w:before="0" w:after="283"/>
              <w:jc w:val="left"/>
              <w:rPr/>
            </w:pPr>
            <w:r>
              <w:rPr/>
              <w:t> </w:t>
            </w:r>
          </w:p>
        </w:tc>
      </w:tr>
      <w:tr>
        <w:trPr/>
        <w:tc>
          <w:tcPr>
            <w:tcW w:w="375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88"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9"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3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79" w:type="dxa"/>
            <w:tcBorders/>
            <w:vAlign w:val="bottom"/>
          </w:tcPr>
          <w:p>
            <w:pPr>
              <w:pStyle w:val="TableContents"/>
              <w:bidi w:val="0"/>
              <w:spacing w:before="0" w:after="283"/>
              <w:jc w:val="right"/>
              <w:rPr/>
            </w:pPr>
            <w:r>
              <w:rPr/>
              <w:t>66,833</w:t>
            </w:r>
          </w:p>
        </w:tc>
        <w:tc>
          <w:tcPr>
            <w:tcW w:w="22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44,632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1197" w:type="dxa"/>
            <w:tcBorders/>
            <w:vAlign w:val="bottom"/>
          </w:tcPr>
          <w:p>
            <w:pPr>
              <w:pStyle w:val="TableContents"/>
              <w:bidi w:val="0"/>
              <w:spacing w:before="0" w:after="283"/>
              <w:jc w:val="right"/>
              <w:rPr/>
            </w:pPr>
            <w:r>
              <w:rPr/>
              <w:t>39,419</w:t>
            </w:r>
          </w:p>
        </w:tc>
        <w:tc>
          <w:tcPr>
            <w:tcW w:w="18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44,130</w:t>
            </w:r>
          </w:p>
        </w:tc>
        <w:tc>
          <w:tcPr>
            <w:tcW w:w="161" w:type="dxa"/>
            <w:tcBorders/>
            <w:vAlign w:val="bottom"/>
          </w:tcPr>
          <w:p>
            <w:pPr>
              <w:pStyle w:val="TableContents"/>
              <w:bidi w:val="0"/>
              <w:spacing w:before="0" w:after="283"/>
              <w:jc w:val="left"/>
              <w:rPr/>
            </w:pPr>
            <w:r>
              <w:rPr/>
              <w:t> </w:t>
            </w:r>
          </w:p>
        </w:tc>
      </w:tr>
      <w:tr>
        <w:trPr/>
        <w:tc>
          <w:tcPr>
            <w:tcW w:w="3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 and LLC members prior to IPO</w:t>
            </w:r>
          </w:p>
        </w:tc>
        <w:tc>
          <w:tcPr>
            <w:tcW w:w="13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29,219</w:t>
            </w:r>
          </w:p>
        </w:tc>
        <w:tc>
          <w:tcPr>
            <w:tcW w:w="22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377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25,163</w:t>
            </w:r>
          </w:p>
        </w:tc>
        <w:tc>
          <w:tcPr>
            <w:tcW w:w="18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589</w:t>
            </w:r>
          </w:p>
        </w:tc>
        <w:tc>
          <w:tcPr>
            <w:tcW w:w="161" w:type="dxa"/>
            <w:tcBorders/>
            <w:shd w:fill="CCEEFF" w:val="clear"/>
            <w:vAlign w:val="bottom"/>
          </w:tcPr>
          <w:p>
            <w:pPr>
              <w:pStyle w:val="TableContents"/>
              <w:bidi w:val="0"/>
              <w:spacing w:before="0" w:after="283"/>
              <w:jc w:val="left"/>
              <w:rPr/>
            </w:pPr>
            <w:r>
              <w:rPr/>
              <w:t> </w:t>
            </w:r>
          </w:p>
        </w:tc>
      </w:tr>
      <w:tr>
        <w:trPr/>
        <w:tc>
          <w:tcPr>
            <w:tcW w:w="375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88"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 attributable to SOLV Energy, Inc.</w:t>
            </w:r>
          </w:p>
        </w:tc>
        <w:tc>
          <w:tcPr>
            <w:tcW w:w="13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b/>
              </w:rPr>
            </w:pPr>
            <w:r>
              <w:rPr>
                <w:b/>
              </w:rPr>
              <w:t>$</w:t>
            </w:r>
          </w:p>
        </w:tc>
        <w:tc>
          <w:tcPr>
            <w:tcW w:w="1179" w:type="dxa"/>
            <w:tcBorders/>
            <w:vAlign w:val="bottom"/>
          </w:tcPr>
          <w:p>
            <w:pPr>
              <w:pStyle w:val="TableContents"/>
              <w:bidi w:val="0"/>
              <w:spacing w:before="0" w:after="283"/>
              <w:jc w:val="right"/>
              <w:rPr>
                <w:b/>
              </w:rPr>
            </w:pPr>
            <w:r>
              <w:rPr>
                <w:b/>
              </w:rPr>
              <w:t>37,614</w:t>
            </w:r>
          </w:p>
        </w:tc>
        <w:tc>
          <w:tcPr>
            <w:tcW w:w="22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b/>
              </w:rPr>
            </w:pPr>
            <w:r>
              <w:rPr>
                <w:b/>
              </w:rPr>
              <w:t>$</w:t>
            </w:r>
          </w:p>
        </w:tc>
        <w:tc>
          <w:tcPr>
            <w:tcW w:w="1182" w:type="dxa"/>
            <w:tcBorders/>
            <w:vAlign w:val="bottom"/>
          </w:tcPr>
          <w:p>
            <w:pPr>
              <w:pStyle w:val="TableContents"/>
              <w:bidi w:val="0"/>
              <w:spacing w:before="0" w:after="283"/>
              <w:jc w:val="right"/>
              <w:rPr>
                <w:b/>
              </w:rPr>
            </w:pPr>
            <w:r>
              <w:rPr>
                <w:b/>
              </w:rPr>
              <w:t>44,255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b/>
              </w:rPr>
            </w:pPr>
            <w:r>
              <w:rPr>
                <w:b/>
              </w:rPr>
              <w:t>$</w:t>
            </w:r>
          </w:p>
        </w:tc>
        <w:tc>
          <w:tcPr>
            <w:tcW w:w="1197" w:type="dxa"/>
            <w:tcBorders/>
            <w:vAlign w:val="bottom"/>
          </w:tcPr>
          <w:p>
            <w:pPr>
              <w:pStyle w:val="TableContents"/>
              <w:bidi w:val="0"/>
              <w:spacing w:before="0" w:after="283"/>
              <w:jc w:val="right"/>
              <w:rPr>
                <w:b/>
              </w:rPr>
            </w:pPr>
            <w:r>
              <w:rPr>
                <w:b/>
              </w:rPr>
              <w:t>14,256</w:t>
            </w:r>
          </w:p>
        </w:tc>
        <w:tc>
          <w:tcPr>
            <w:tcW w:w="18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975" w:type="dxa"/>
            <w:tcBorders/>
            <w:vAlign w:val="bottom"/>
          </w:tcPr>
          <w:p>
            <w:pPr>
              <w:pStyle w:val="TableContents"/>
              <w:bidi w:val="0"/>
              <w:spacing w:before="0" w:after="283"/>
              <w:jc w:val="right"/>
              <w:rPr>
                <w:b/>
              </w:rPr>
            </w:pPr>
            <w:r>
              <w:rPr>
                <w:b/>
              </w:rPr>
              <w:t>43,541</w:t>
            </w:r>
          </w:p>
        </w:tc>
        <w:tc>
          <w:tcPr>
            <w:tcW w:w="161" w:type="dxa"/>
            <w:tcBorders/>
            <w:vAlign w:val="bottom"/>
          </w:tcPr>
          <w:p>
            <w:pPr>
              <w:pStyle w:val="TableContents"/>
              <w:bidi w:val="0"/>
              <w:spacing w:before="0" w:after="283"/>
              <w:jc w:val="left"/>
              <w:rPr/>
            </w:pPr>
            <w:r>
              <w:rPr/>
              <w:t> </w:t>
            </w:r>
          </w:p>
        </w:tc>
      </w:tr>
      <w:tr>
        <w:trPr/>
        <w:tc>
          <w:tcPr>
            <w:tcW w:w="375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188"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91"/>
        <w:gridCol w:w="354"/>
        <w:gridCol w:w="140"/>
        <w:gridCol w:w="1227"/>
        <w:gridCol w:w="60"/>
        <w:gridCol w:w="354"/>
        <w:gridCol w:w="30"/>
        <w:gridCol w:w="30"/>
        <w:gridCol w:w="60"/>
        <w:gridCol w:w="354"/>
        <w:gridCol w:w="140"/>
        <w:gridCol w:w="1227"/>
        <w:gridCol w:w="60"/>
        <w:gridCol w:w="354"/>
        <w:gridCol w:w="30"/>
        <w:gridCol w:w="29"/>
        <w:gridCol w:w="65"/>
      </w:tblGrid>
      <w:tr>
        <w:trPr/>
        <w:tc>
          <w:tcPr>
            <w:tcW w:w="5691"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691"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w:t>
              <w:br/>
              <w:t>Ended June</w:t>
            </w:r>
          </w:p>
          <w:p>
            <w:pPr>
              <w:pStyle w:val="TableContents"/>
              <w:bidi w:val="0"/>
              <w:spacing w:before="0" w:after="20"/>
              <w:jc w:val="center"/>
              <w:rPr>
                <w:rFonts w:ascii="Times New Roman" w:hAnsi="Times New Roman"/>
                <w:b/>
                <w:sz w:val="16"/>
              </w:rPr>
            </w:pPr>
            <w:r>
              <w:rPr>
                <w:rFonts w:ascii="Times New Roman" w:hAnsi="Times New Roman"/>
                <w:b/>
                <w:sz w:val="16"/>
              </w:rPr>
              <w:t>30, 2026</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Period from</w:t>
              <w:br/>
              <w:t>February 12,</w:t>
              <w:br/>
              <w:t>2026 to June</w:t>
            </w:r>
          </w:p>
          <w:p>
            <w:pPr>
              <w:pStyle w:val="TableContents"/>
              <w:bidi w:val="0"/>
              <w:spacing w:before="0" w:after="20"/>
              <w:jc w:val="center"/>
              <w:rPr>
                <w:rFonts w:ascii="Times New Roman" w:hAnsi="Times New Roman"/>
                <w:b/>
                <w:sz w:val="16"/>
              </w:rPr>
            </w:pPr>
            <w:r>
              <w:rPr>
                <w:rFonts w:ascii="Times New Roman" w:hAnsi="Times New Roman"/>
                <w:b/>
                <w:sz w:val="16"/>
              </w:rPr>
              <w:t>30, 2026</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59"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5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per share:</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2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691"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0.32</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0.12</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2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0.30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0.12</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2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691"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2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118,080,650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117,137,198</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30" w:type="dxa"/>
            <w:tcBorders/>
            <w:shd w:fill="CCEEFF" w:val="clear"/>
            <w:vAlign w:val="bottom"/>
          </w:tcPr>
          <w:p>
            <w:pPr>
              <w:pStyle w:val="TableContents"/>
              <w:bidi w:val="0"/>
              <w:spacing w:before="0" w:after="283"/>
              <w:jc w:val="left"/>
              <w:rPr>
                <w:sz w:val="4"/>
                <w:szCs w:val="4"/>
              </w:rPr>
            </w:pPr>
            <w:r>
              <w:rPr>
                <w:sz w:val="4"/>
                <w:szCs w:val="4"/>
              </w:rPr>
            </w:r>
          </w:p>
        </w:tc>
        <w:tc>
          <w:tcPr>
            <w:tcW w:w="2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691"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201,682,563</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122,247,396</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2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240" w:after="0"/>
        <w:jc w:val="center"/>
        <w:rPr>
          <w:rFonts w:ascii="Times New Roman" w:hAnsi="Times New Roman"/>
          <w:b/>
          <w:sz w:val="20"/>
        </w:rPr>
      </w:pPr>
      <w:r>
        <w:rPr>
          <w:rFonts w:ascii="Times New Roman" w:hAnsi="Times New Roman"/>
          <w:b/>
          <w:sz w:val="20"/>
        </w:rPr>
        <w:t xml:space="preserve">(in thousands, except share and per share amounts,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50"/>
        <w:gridCol w:w="223"/>
        <w:gridCol w:w="140"/>
        <w:gridCol w:w="989"/>
        <w:gridCol w:w="60"/>
        <w:gridCol w:w="223"/>
        <w:gridCol w:w="169"/>
        <w:gridCol w:w="1193"/>
        <w:gridCol w:w="158"/>
      </w:tblGrid>
      <w:tr>
        <w:trPr/>
        <w:tc>
          <w:tcPr>
            <w:tcW w:w="705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705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363,968</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193" w:type="dxa"/>
            <w:tcBorders/>
            <w:vAlign w:val="bottom"/>
          </w:tcPr>
          <w:p>
            <w:pPr>
              <w:pStyle w:val="TableContents"/>
              <w:bidi w:val="0"/>
              <w:spacing w:before="0" w:after="283"/>
              <w:jc w:val="right"/>
              <w:rPr/>
            </w:pPr>
            <w:r>
              <w:rPr/>
              <w:t>394,876</w:t>
            </w:r>
          </w:p>
        </w:tc>
        <w:tc>
          <w:tcPr>
            <w:tcW w:w="158" w:type="dxa"/>
            <w:tcBorders/>
            <w:vAlign w:val="bottom"/>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392,766</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269,044</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181,525</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156,744</w:t>
            </w:r>
          </w:p>
        </w:tc>
        <w:tc>
          <w:tcPr>
            <w:tcW w:w="158" w:type="dxa"/>
            <w:tcBorders/>
            <w:vAlign w:val="bottom"/>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3,349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17,734</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110,231</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60,887</w:t>
            </w:r>
          </w:p>
        </w:tc>
        <w:tc>
          <w:tcPr>
            <w:tcW w:w="158" w:type="dxa"/>
            <w:tcBorders/>
            <w:vAlign w:val="bottom"/>
          </w:tcPr>
          <w:p>
            <w:pPr>
              <w:pStyle w:val="TableContents"/>
              <w:bidi w:val="0"/>
              <w:spacing w:before="0" w:after="283"/>
              <w:jc w:val="left"/>
              <w:rPr/>
            </w:pPr>
            <w:r>
              <w:rPr/>
              <w:t> </w:t>
            </w:r>
          </w:p>
        </w:tc>
      </w:tr>
      <w:tr>
        <w:trPr/>
        <w:tc>
          <w:tcPr>
            <w:tcW w:w="705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1,051,839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899,285</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122,255</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106,383</w:t>
            </w:r>
          </w:p>
        </w:tc>
        <w:tc>
          <w:tcPr>
            <w:tcW w:w="158" w:type="dxa"/>
            <w:tcBorders/>
            <w:vAlign w:val="bottom"/>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7,114</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8,010</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426,607</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429,279</w:t>
            </w:r>
          </w:p>
        </w:tc>
        <w:tc>
          <w:tcPr>
            <w:tcW w:w="158" w:type="dxa"/>
            <w:tcBorders/>
            <w:vAlign w:val="bottom"/>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333,909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362,390</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179,834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8,118</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10,925</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9" w:type="dxa"/>
            <w:tcBorders/>
            <w:vAlign w:val="bottom"/>
          </w:tcPr>
          <w:p>
            <w:pPr>
              <w:pStyle w:val="TableContents"/>
              <w:bidi w:val="0"/>
              <w:spacing w:before="0" w:after="283"/>
              <w:jc w:val="right"/>
              <w:rPr>
                <w:b/>
              </w:rPr>
            </w:pPr>
            <w:r>
              <w:rPr>
                <w:b/>
              </w:rPr>
              <w:t>2,129,676</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193" w:type="dxa"/>
            <w:tcBorders/>
            <w:vAlign w:val="bottom"/>
          </w:tcPr>
          <w:p>
            <w:pPr>
              <w:pStyle w:val="TableContents"/>
              <w:bidi w:val="0"/>
              <w:spacing w:before="0" w:after="283"/>
              <w:jc w:val="right"/>
              <w:rPr>
                <w:b/>
              </w:rPr>
            </w:pPr>
            <w:r>
              <w:rPr>
                <w:b/>
              </w:rPr>
              <w:t>1,816,272</w:t>
            </w:r>
          </w:p>
        </w:tc>
        <w:tc>
          <w:tcPr>
            <w:tcW w:w="158" w:type="dxa"/>
            <w:tcBorders/>
            <w:vAlign w:val="bottom"/>
          </w:tcPr>
          <w:p>
            <w:pPr>
              <w:pStyle w:val="TableContents"/>
              <w:bidi w:val="0"/>
              <w:spacing w:before="0" w:after="283"/>
              <w:jc w:val="left"/>
              <w:rPr/>
            </w:pPr>
            <w:r>
              <w:rPr/>
              <w:t> </w:t>
            </w:r>
          </w:p>
        </w:tc>
      </w:tr>
      <w:tr>
        <w:trPr/>
        <w:tc>
          <w:tcPr>
            <w:tcW w:w="705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19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STOCKHOLDERS’/MEMBERS’ EQUITY</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680,475</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193" w:type="dxa"/>
            <w:tcBorders/>
            <w:vAlign w:val="bottom"/>
          </w:tcPr>
          <w:p>
            <w:pPr>
              <w:pStyle w:val="TableContents"/>
              <w:bidi w:val="0"/>
              <w:spacing w:before="0" w:after="283"/>
              <w:jc w:val="right"/>
              <w:rPr/>
            </w:pPr>
            <w:r>
              <w:rPr/>
              <w:t>562,218</w:t>
            </w:r>
          </w:p>
        </w:tc>
        <w:tc>
          <w:tcPr>
            <w:tcW w:w="158" w:type="dxa"/>
            <w:tcBorders/>
            <w:vAlign w:val="bottom"/>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258,245</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308,619</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equipment financing</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6,888</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6,526</w:t>
            </w:r>
          </w:p>
        </w:tc>
        <w:tc>
          <w:tcPr>
            <w:tcW w:w="158" w:type="dxa"/>
            <w:tcBorders/>
            <w:vAlign w:val="bottom"/>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lease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16,037</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12,978</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2,498</w:t>
            </w:r>
          </w:p>
        </w:tc>
        <w:tc>
          <w:tcPr>
            <w:tcW w:w="158" w:type="dxa"/>
            <w:tcBorders/>
            <w:vAlign w:val="bottom"/>
          </w:tcPr>
          <w:p>
            <w:pPr>
              <w:pStyle w:val="TableContents"/>
              <w:bidi w:val="0"/>
              <w:spacing w:before="0" w:after="283"/>
              <w:jc w:val="left"/>
              <w:rPr/>
            </w:pPr>
            <w:r>
              <w:rPr/>
              <w:t> </w:t>
            </w:r>
          </w:p>
        </w:tc>
      </w:tr>
      <w:tr>
        <w:trPr/>
        <w:tc>
          <w:tcPr>
            <w:tcW w:w="705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961,645</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892,839</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Term debt, long term</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391,988</w:t>
            </w:r>
          </w:p>
        </w:tc>
        <w:tc>
          <w:tcPr>
            <w:tcW w:w="158" w:type="dxa"/>
            <w:tcBorders/>
            <w:vAlign w:val="bottom"/>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 financing, long-term</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17,514</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21,317</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 long-term</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43,181</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36,559</w:t>
            </w:r>
          </w:p>
        </w:tc>
        <w:tc>
          <w:tcPr>
            <w:tcW w:w="158" w:type="dxa"/>
            <w:tcBorders/>
            <w:vAlign w:val="bottom"/>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receivable agreement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240,677</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15,484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18,344</w:t>
            </w:r>
          </w:p>
        </w:tc>
        <w:tc>
          <w:tcPr>
            <w:tcW w:w="158" w:type="dxa"/>
            <w:tcBorders/>
            <w:vAlign w:val="bottom"/>
          </w:tcPr>
          <w:p>
            <w:pPr>
              <w:pStyle w:val="TableContents"/>
              <w:bidi w:val="0"/>
              <w:spacing w:before="0" w:after="283"/>
              <w:jc w:val="left"/>
              <w:rPr/>
            </w:pPr>
            <w:r>
              <w:rPr/>
              <w:t> </w:t>
            </w:r>
          </w:p>
        </w:tc>
      </w:tr>
      <w:tr>
        <w:trPr/>
        <w:tc>
          <w:tcPr>
            <w:tcW w:w="705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1,278,501</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1,361,047</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Member’s equity:</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550,334</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common stock, $0.0001 par value; 1,250,000,000 shares authorized, 123,745,401 shares issued and outstanding</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Class B common stock, $0.0001 par value; 100,000,000 shares authorized, 78,646,225 shares issued and outstanding</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483,148</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 (accumulated deficit)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13,612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(98,139</w:t>
            </w:r>
          </w:p>
        </w:tc>
        <w:tc>
          <w:tcPr>
            <w:tcW w:w="158" w:type="dxa"/>
            <w:tcBorders/>
            <w:vAlign w:val="bottom"/>
          </w:tcPr>
          <w:p>
            <w:pPr>
              <w:pStyle w:val="TableContents"/>
              <w:bidi w:val="0"/>
              <w:spacing w:before="0" w:after="283"/>
              <w:jc w:val="left"/>
              <w:rPr/>
            </w:pPr>
            <w:r>
              <w:rPr/>
              <w:t>) </w:t>
            </w:r>
          </w:p>
        </w:tc>
      </w:tr>
      <w:tr>
        <w:trPr/>
        <w:tc>
          <w:tcPr>
            <w:tcW w:w="705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 to SOLV Energy, Inc.</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496,781</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(98,139</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354,394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3,030</w:t>
            </w:r>
          </w:p>
        </w:tc>
        <w:tc>
          <w:tcPr>
            <w:tcW w:w="158" w:type="dxa"/>
            <w:tcBorders/>
            <w:vAlign w:val="bottom"/>
          </w:tcPr>
          <w:p>
            <w:pPr>
              <w:pStyle w:val="TableContents"/>
              <w:bidi w:val="0"/>
              <w:spacing w:before="0" w:after="283"/>
              <w:jc w:val="left"/>
              <w:rPr/>
            </w:pPr>
            <w:r>
              <w:rPr/>
              <w:t> </w:t>
            </w:r>
          </w:p>
        </w:tc>
      </w:tr>
      <w:tr>
        <w:trPr/>
        <w:tc>
          <w:tcPr>
            <w:tcW w:w="705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members’/stockholders’ equity</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851,175</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455,225</w:t>
            </w:r>
          </w:p>
        </w:tc>
        <w:tc>
          <w:tcPr>
            <w:tcW w:w="158" w:type="dxa"/>
            <w:tcBorders/>
            <w:shd w:fill="CCEEFF" w:val="clear"/>
            <w:vAlign w:val="bottom"/>
          </w:tcPr>
          <w:p>
            <w:pPr>
              <w:pStyle w:val="TableContents"/>
              <w:bidi w:val="0"/>
              <w:spacing w:before="0" w:after="283"/>
              <w:jc w:val="left"/>
              <w:rPr/>
            </w:pPr>
            <w:r>
              <w:rPr/>
              <w:t> </w:t>
            </w:r>
          </w:p>
        </w:tc>
      </w:tr>
      <w:tr>
        <w:trPr/>
        <w:tc>
          <w:tcPr>
            <w:tcW w:w="705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stockholders’/member’s equity</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9" w:type="dxa"/>
            <w:tcBorders/>
            <w:vAlign w:val="bottom"/>
          </w:tcPr>
          <w:p>
            <w:pPr>
              <w:pStyle w:val="TableContents"/>
              <w:bidi w:val="0"/>
              <w:spacing w:before="0" w:after="283"/>
              <w:jc w:val="right"/>
              <w:rPr>
                <w:b/>
              </w:rPr>
            </w:pPr>
            <w:r>
              <w:rPr>
                <w:b/>
              </w:rPr>
              <w:t>2,129,676</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193" w:type="dxa"/>
            <w:tcBorders/>
            <w:vAlign w:val="bottom"/>
          </w:tcPr>
          <w:p>
            <w:pPr>
              <w:pStyle w:val="TableContents"/>
              <w:bidi w:val="0"/>
              <w:spacing w:before="0" w:after="283"/>
              <w:jc w:val="right"/>
              <w:rPr>
                <w:b/>
              </w:rPr>
            </w:pPr>
            <w:r>
              <w:rPr>
                <w:b/>
              </w:rPr>
              <w:t>1,816,272</w:t>
            </w:r>
          </w:p>
        </w:tc>
        <w:tc>
          <w:tcPr>
            <w:tcW w:w="158" w:type="dxa"/>
            <w:tcBorders/>
            <w:vAlign w:val="bottom"/>
          </w:tcPr>
          <w:p>
            <w:pPr>
              <w:pStyle w:val="TableContents"/>
              <w:bidi w:val="0"/>
              <w:spacing w:before="0" w:after="283"/>
              <w:jc w:val="left"/>
              <w:rPr/>
            </w:pPr>
            <w:r>
              <w:rPr/>
              <w:t> </w:t>
            </w:r>
          </w:p>
        </w:tc>
      </w:tr>
      <w:tr>
        <w:trPr/>
        <w:tc>
          <w:tcPr>
            <w:tcW w:w="705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19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240" w:after="0"/>
        <w:jc w:val="center"/>
        <w:rPr>
          <w:rFonts w:ascii="Times New Roman" w:hAnsi="Times New Roman"/>
          <w:b/>
          <w:sz w:val="20"/>
        </w:rPr>
      </w:pPr>
      <w:r>
        <w:rPr>
          <w:rFonts w:ascii="Times New Roman" w:hAnsi="Times New Roman"/>
          <w:b/>
          <w:sz w:val="20"/>
        </w:rPr>
        <w:t xml:space="preserve">(in thousands, except share and per share amounts,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87"/>
        <w:gridCol w:w="231"/>
        <w:gridCol w:w="178"/>
        <w:gridCol w:w="1124"/>
        <w:gridCol w:w="197"/>
        <w:gridCol w:w="198"/>
        <w:gridCol w:w="178"/>
        <w:gridCol w:w="1054"/>
        <w:gridCol w:w="158"/>
      </w:tblGrid>
      <w:tr>
        <w:trPr/>
        <w:tc>
          <w:tcPr>
            <w:tcW w:w="6887"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8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92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8" w:type="dxa"/>
            <w:tcBorders/>
            <w:vAlign w:val="bottom"/>
          </w:tcPr>
          <w:p>
            <w:pPr>
              <w:pStyle w:val="TableContents"/>
              <w:bidi w:val="0"/>
              <w:spacing w:before="0" w:after="283"/>
              <w:jc w:val="left"/>
              <w:rPr/>
            </w:pPr>
            <w:r>
              <w:rPr/>
              <w:t> </w:t>
            </w:r>
          </w:p>
        </w:tc>
      </w:tr>
      <w:tr>
        <w:trPr/>
        <w:tc>
          <w:tcPr>
            <w:tcW w:w="688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9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8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24"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87"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24" w:type="dxa"/>
            <w:tcBorders/>
            <w:vAlign w:val="bottom"/>
          </w:tcPr>
          <w:p>
            <w:pPr>
              <w:pStyle w:val="TableContents"/>
              <w:bidi w:val="0"/>
              <w:spacing w:before="0" w:after="283"/>
              <w:jc w:val="right"/>
              <w:rPr/>
            </w:pPr>
            <w:r>
              <w:rPr/>
              <w:t>39,419</w:t>
            </w:r>
          </w:p>
        </w:tc>
        <w:tc>
          <w:tcPr>
            <w:tcW w:w="19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054" w:type="dxa"/>
            <w:tcBorders/>
            <w:vAlign w:val="bottom"/>
          </w:tcPr>
          <w:p>
            <w:pPr>
              <w:pStyle w:val="TableContents"/>
              <w:bidi w:val="0"/>
              <w:spacing w:before="0" w:after="283"/>
              <w:jc w:val="right"/>
              <w:rPr/>
            </w:pPr>
            <w:r>
              <w:rPr/>
              <w:t>44,130</w:t>
            </w:r>
          </w:p>
        </w:tc>
        <w:tc>
          <w:tcPr>
            <w:tcW w:w="158" w:type="dxa"/>
            <w:tcBorders/>
            <w:vAlign w:val="bottom"/>
          </w:tcPr>
          <w:p>
            <w:pPr>
              <w:pStyle w:val="TableContents"/>
              <w:bidi w:val="0"/>
              <w:spacing w:before="0" w:after="283"/>
              <w:jc w:val="left"/>
              <w:rPr/>
            </w:pPr>
            <w:r>
              <w:rPr/>
              <w:t> </w:t>
            </w:r>
          </w:p>
        </w:tc>
      </w:tr>
      <w:tr>
        <w:trPr/>
        <w:tc>
          <w:tcPr>
            <w:tcW w:w="6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24"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8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50,489</w:t>
            </w:r>
          </w:p>
        </w:tc>
        <w:tc>
          <w:tcPr>
            <w:tcW w:w="19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39,763</w:t>
            </w:r>
          </w:p>
        </w:tc>
        <w:tc>
          <w:tcPr>
            <w:tcW w:w="158" w:type="dxa"/>
            <w:tcBorders/>
            <w:vAlign w:val="bottom"/>
          </w:tcPr>
          <w:p>
            <w:pPr>
              <w:pStyle w:val="TableContents"/>
              <w:bidi w:val="0"/>
              <w:spacing w:before="0" w:after="283"/>
              <w:jc w:val="left"/>
              <w:rPr/>
            </w:pPr>
            <w:r>
              <w:rPr/>
              <w:t> </w:t>
            </w:r>
          </w:p>
        </w:tc>
      </w:tr>
      <w:tr>
        <w:trPr/>
        <w:tc>
          <w:tcPr>
            <w:tcW w:w="6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compensation expense</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79,670</w:t>
            </w:r>
          </w:p>
        </w:tc>
        <w:tc>
          <w:tcPr>
            <w:tcW w:w="19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1,972</w:t>
            </w:r>
          </w:p>
        </w:tc>
        <w:tc>
          <w:tcPr>
            <w:tcW w:w="158" w:type="dxa"/>
            <w:tcBorders/>
            <w:shd w:fill="CCEEFF" w:val="clear"/>
            <w:vAlign w:val="bottom"/>
          </w:tcPr>
          <w:p>
            <w:pPr>
              <w:pStyle w:val="TableContents"/>
              <w:bidi w:val="0"/>
              <w:spacing w:before="0" w:after="283"/>
              <w:jc w:val="left"/>
              <w:rPr/>
            </w:pPr>
            <w:r>
              <w:rPr/>
              <w:t> </w:t>
            </w:r>
          </w:p>
        </w:tc>
      </w:tr>
      <w:tr>
        <w:trPr/>
        <w:tc>
          <w:tcPr>
            <w:tcW w:w="6887"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 (non-cash portion)</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6,676</w:t>
            </w:r>
          </w:p>
        </w:tc>
        <w:tc>
          <w:tcPr>
            <w:tcW w:w="19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Write off of project development costs</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4,265</w:t>
            </w:r>
          </w:p>
        </w:tc>
        <w:tc>
          <w:tcPr>
            <w:tcW w:w="19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752</w:t>
            </w:r>
          </w:p>
        </w:tc>
        <w:tc>
          <w:tcPr>
            <w:tcW w:w="158" w:type="dxa"/>
            <w:tcBorders/>
            <w:shd w:fill="CCEEFF" w:val="clear"/>
            <w:vAlign w:val="bottom"/>
          </w:tcPr>
          <w:p>
            <w:pPr>
              <w:pStyle w:val="TableContents"/>
              <w:bidi w:val="0"/>
              <w:spacing w:before="0" w:after="283"/>
              <w:jc w:val="left"/>
              <w:rPr/>
            </w:pPr>
            <w:r>
              <w:rPr/>
              <w:t> </w:t>
            </w:r>
          </w:p>
        </w:tc>
      </w:tr>
      <w:tr>
        <w:trPr/>
        <w:tc>
          <w:tcPr>
            <w:tcW w:w="6887" w:type="dxa"/>
            <w:tcBorders/>
          </w:tcPr>
          <w:p>
            <w:pPr>
              <w:pStyle w:val="TableContents"/>
              <w:bidi w:val="0"/>
              <w:spacing w:before="0" w:after="0"/>
              <w:jc w:val="left"/>
              <w:rPr>
                <w:rFonts w:ascii="Times New Roman" w:hAnsi="Times New Roman"/>
                <w:sz w:val="20"/>
              </w:rPr>
            </w:pPr>
            <w:r>
              <w:rPr>
                <w:rFonts w:ascii="Times New Roman" w:hAnsi="Times New Roman"/>
                <w:sz w:val="20"/>
              </w:rPr>
              <w:t>Tax receivable agreement liability adjustment</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(2,428</w:t>
            </w:r>
          </w:p>
        </w:tc>
        <w:tc>
          <w:tcPr>
            <w:tcW w:w="19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(12</w:t>
            </w:r>
          </w:p>
        </w:tc>
        <w:tc>
          <w:tcPr>
            <w:tcW w:w="19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547</w:t>
            </w:r>
          </w:p>
        </w:tc>
        <w:tc>
          <w:tcPr>
            <w:tcW w:w="158" w:type="dxa"/>
            <w:tcBorders/>
            <w:shd w:fill="CCEEFF" w:val="clear"/>
            <w:vAlign w:val="bottom"/>
          </w:tcPr>
          <w:p>
            <w:pPr>
              <w:pStyle w:val="TableContents"/>
              <w:bidi w:val="0"/>
              <w:spacing w:before="0" w:after="283"/>
              <w:jc w:val="left"/>
              <w:rPr/>
            </w:pPr>
            <w:r>
              <w:rPr/>
              <w:t> </w:t>
            </w:r>
          </w:p>
        </w:tc>
      </w:tr>
      <w:tr>
        <w:trPr/>
        <w:tc>
          <w:tcPr>
            <w:tcW w:w="6887" w:type="dxa"/>
            <w:tcBorders/>
          </w:tcPr>
          <w:p>
            <w:pPr>
              <w:pStyle w:val="TableContents"/>
              <w:bidi w:val="0"/>
              <w:spacing w:before="0" w:after="0"/>
              <w:jc w:val="left"/>
              <w:rPr>
                <w:rFonts w:ascii="Times New Roman" w:hAnsi="Times New Roman"/>
                <w:sz w:val="20"/>
              </w:rPr>
            </w:pPr>
            <w:r>
              <w:rPr>
                <w:rFonts w:ascii="Times New Roman" w:hAnsi="Times New Roman"/>
                <w:sz w:val="20"/>
              </w:rPr>
              <w:t>Change in operating assets and liabilities</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(132,040</w:t>
            </w:r>
          </w:p>
        </w:tc>
        <w:tc>
          <w:tcPr>
            <w:tcW w:w="19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(36,328</w:t>
            </w:r>
          </w:p>
        </w:tc>
        <w:tc>
          <w:tcPr>
            <w:tcW w:w="158" w:type="dxa"/>
            <w:tcBorders/>
            <w:vAlign w:val="bottom"/>
          </w:tcPr>
          <w:p>
            <w:pPr>
              <w:pStyle w:val="TableContents"/>
              <w:bidi w:val="0"/>
              <w:spacing w:before="0" w:after="283"/>
              <w:jc w:val="left"/>
              <w:rPr/>
            </w:pPr>
            <w:r>
              <w:rPr/>
              <w:t>) </w:t>
            </w:r>
          </w:p>
        </w:tc>
      </w:tr>
      <w:tr>
        <w:trPr/>
        <w:tc>
          <w:tcPr>
            <w:tcW w:w="688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46,039</w:t>
            </w:r>
          </w:p>
        </w:tc>
        <w:tc>
          <w:tcPr>
            <w:tcW w:w="19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50,836</w:t>
            </w:r>
          </w:p>
        </w:tc>
        <w:tc>
          <w:tcPr>
            <w:tcW w:w="158" w:type="dxa"/>
            <w:tcBorders/>
            <w:shd w:fill="CCEEFF" w:val="clear"/>
            <w:vAlign w:val="bottom"/>
          </w:tcPr>
          <w:p>
            <w:pPr>
              <w:pStyle w:val="TableContents"/>
              <w:bidi w:val="0"/>
              <w:spacing w:before="0" w:after="283"/>
              <w:jc w:val="left"/>
              <w:rPr/>
            </w:pPr>
            <w:r>
              <w:rPr/>
              <w:t> </w:t>
            </w:r>
          </w:p>
        </w:tc>
      </w:tr>
      <w:tr>
        <w:trPr/>
        <w:tc>
          <w:tcPr>
            <w:tcW w:w="6887"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24"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05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(15,960</w:t>
            </w:r>
          </w:p>
        </w:tc>
        <w:tc>
          <w:tcPr>
            <w:tcW w:w="19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(5,313</w:t>
            </w:r>
          </w:p>
        </w:tc>
        <w:tc>
          <w:tcPr>
            <w:tcW w:w="158" w:type="dxa"/>
            <w:tcBorders/>
            <w:shd w:fill="CCEEFF" w:val="clear"/>
            <w:vAlign w:val="bottom"/>
          </w:tcPr>
          <w:p>
            <w:pPr>
              <w:pStyle w:val="TableContents"/>
              <w:bidi w:val="0"/>
              <w:spacing w:before="0" w:after="283"/>
              <w:jc w:val="left"/>
              <w:rPr/>
            </w:pPr>
            <w:r>
              <w:rPr/>
              <w:t>) </w:t>
            </w:r>
          </w:p>
        </w:tc>
      </w:tr>
      <w:tr>
        <w:trPr/>
        <w:tc>
          <w:tcPr>
            <w:tcW w:w="6887"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acquisitions, net of cash acquired</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(55,756</w:t>
            </w:r>
          </w:p>
        </w:tc>
        <w:tc>
          <w:tcPr>
            <w:tcW w:w="158" w:type="dxa"/>
            <w:tcBorders/>
            <w:vAlign w:val="bottom"/>
          </w:tcPr>
          <w:p>
            <w:pPr>
              <w:pStyle w:val="TableContents"/>
              <w:bidi w:val="0"/>
              <w:spacing w:before="0" w:after="283"/>
              <w:jc w:val="left"/>
              <w:rPr/>
            </w:pPr>
            <w:r>
              <w:rPr/>
              <w:t>) </w:t>
            </w:r>
          </w:p>
        </w:tc>
      </w:tr>
      <w:tr>
        <w:trPr/>
        <w:tc>
          <w:tcPr>
            <w:tcW w:w="688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(15,960</w:t>
            </w:r>
          </w:p>
        </w:tc>
        <w:tc>
          <w:tcPr>
            <w:tcW w:w="19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(61,069</w:t>
            </w:r>
          </w:p>
        </w:tc>
        <w:tc>
          <w:tcPr>
            <w:tcW w:w="158" w:type="dxa"/>
            <w:tcBorders/>
            <w:shd w:fill="CCEEFF" w:val="clear"/>
            <w:vAlign w:val="bottom"/>
          </w:tcPr>
          <w:p>
            <w:pPr>
              <w:pStyle w:val="TableContents"/>
              <w:bidi w:val="0"/>
              <w:spacing w:before="0" w:after="283"/>
              <w:jc w:val="left"/>
              <w:rPr/>
            </w:pPr>
            <w:r>
              <w:rPr/>
              <w:t>) </w:t>
            </w:r>
          </w:p>
        </w:tc>
      </w:tr>
      <w:tr>
        <w:trPr/>
        <w:tc>
          <w:tcPr>
            <w:tcW w:w="6887"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24"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05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Class A common stock, net of underwriting discount</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844,249</w:t>
            </w:r>
          </w:p>
        </w:tc>
        <w:tc>
          <w:tcPr>
            <w:tcW w:w="19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887"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LLC Interests</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(291,706</w:t>
            </w:r>
          </w:p>
        </w:tc>
        <w:tc>
          <w:tcPr>
            <w:tcW w:w="19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term debt</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(405,203</w:t>
            </w:r>
          </w:p>
        </w:tc>
        <w:tc>
          <w:tcPr>
            <w:tcW w:w="19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(2,031</w:t>
            </w:r>
          </w:p>
        </w:tc>
        <w:tc>
          <w:tcPr>
            <w:tcW w:w="158" w:type="dxa"/>
            <w:tcBorders/>
            <w:shd w:fill="CCEEFF" w:val="clear"/>
            <w:vAlign w:val="bottom"/>
          </w:tcPr>
          <w:p>
            <w:pPr>
              <w:pStyle w:val="TableContents"/>
              <w:bidi w:val="0"/>
              <w:spacing w:before="0" w:after="283"/>
              <w:jc w:val="left"/>
              <w:rPr/>
            </w:pPr>
            <w:r>
              <w:rPr/>
              <w:t>) </w:t>
            </w:r>
          </w:p>
        </w:tc>
      </w:tr>
      <w:tr>
        <w:trPr/>
        <w:tc>
          <w:tcPr>
            <w:tcW w:w="6887" w:type="dxa"/>
            <w:tcBorders/>
          </w:tcPr>
          <w:p>
            <w:pPr>
              <w:pStyle w:val="TableContents"/>
              <w:bidi w:val="0"/>
              <w:spacing w:before="0" w:after="0"/>
              <w:jc w:val="left"/>
              <w:rPr>
                <w:rFonts w:ascii="Times New Roman" w:hAnsi="Times New Roman"/>
                <w:sz w:val="20"/>
              </w:rPr>
            </w:pPr>
            <w:r>
              <w:rPr>
                <w:rFonts w:ascii="Times New Roman" w:hAnsi="Times New Roman"/>
                <w:sz w:val="20"/>
              </w:rPr>
              <w:t>Payment of deferred acquisition consideration</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(5,500</w:t>
            </w:r>
          </w:p>
        </w:tc>
        <w:tc>
          <w:tcPr>
            <w:tcW w:w="19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offering costs</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(5,917</w:t>
            </w:r>
          </w:p>
        </w:tc>
        <w:tc>
          <w:tcPr>
            <w:tcW w:w="19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887" w:type="dxa"/>
            <w:tcBorders/>
          </w:tcPr>
          <w:p>
            <w:pPr>
              <w:pStyle w:val="TableContents"/>
              <w:bidi w:val="0"/>
              <w:spacing w:before="0" w:after="0"/>
              <w:jc w:val="left"/>
              <w:rPr>
                <w:rFonts w:ascii="Times New Roman" w:hAnsi="Times New Roman"/>
                <w:sz w:val="20"/>
              </w:rPr>
            </w:pPr>
            <w:r>
              <w:rPr>
                <w:rFonts w:ascii="Times New Roman" w:hAnsi="Times New Roman"/>
                <w:sz w:val="20"/>
              </w:rPr>
              <w:t>Proceeds on debt</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32,500</w:t>
            </w:r>
          </w:p>
        </w:tc>
        <w:tc>
          <w:tcPr>
            <w:tcW w:w="158" w:type="dxa"/>
            <w:tcBorders/>
            <w:vAlign w:val="bottom"/>
          </w:tcPr>
          <w:p>
            <w:pPr>
              <w:pStyle w:val="TableContents"/>
              <w:bidi w:val="0"/>
              <w:spacing w:before="0" w:after="283"/>
              <w:jc w:val="left"/>
              <w:rPr/>
            </w:pPr>
            <w:r>
              <w:rPr/>
              <w:t> </w:t>
            </w:r>
          </w:p>
        </w:tc>
      </w:tr>
      <w:tr>
        <w:trPr/>
        <w:tc>
          <w:tcPr>
            <w:tcW w:w="6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debt issuance costs</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(2,800</w:t>
            </w:r>
          </w:p>
        </w:tc>
        <w:tc>
          <w:tcPr>
            <w:tcW w:w="19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887" w:type="dxa"/>
            <w:tcBorders/>
          </w:tcPr>
          <w:p>
            <w:pPr>
              <w:pStyle w:val="TableContents"/>
              <w:bidi w:val="0"/>
              <w:spacing w:before="0" w:after="0"/>
              <w:jc w:val="left"/>
              <w:rPr>
                <w:rFonts w:ascii="Times New Roman" w:hAnsi="Times New Roman"/>
                <w:sz w:val="20"/>
              </w:rPr>
            </w:pPr>
            <w:r>
              <w:rPr>
                <w:rFonts w:ascii="Times New Roman" w:hAnsi="Times New Roman"/>
                <w:sz w:val="20"/>
              </w:rPr>
              <w:t>Payments for finance leases</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(6,261</w:t>
            </w:r>
          </w:p>
        </w:tc>
        <w:tc>
          <w:tcPr>
            <w:tcW w:w="19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(4,226</w:t>
            </w:r>
          </w:p>
        </w:tc>
        <w:tc>
          <w:tcPr>
            <w:tcW w:w="158" w:type="dxa"/>
            <w:tcBorders/>
            <w:vAlign w:val="bottom"/>
          </w:tcPr>
          <w:p>
            <w:pPr>
              <w:pStyle w:val="TableContents"/>
              <w:bidi w:val="0"/>
              <w:spacing w:before="0" w:after="283"/>
              <w:jc w:val="left"/>
              <w:rPr/>
            </w:pPr>
            <w:r>
              <w:rPr/>
              <w:t>) </w:t>
            </w:r>
          </w:p>
        </w:tc>
      </w:tr>
      <w:tr>
        <w:trPr/>
        <w:tc>
          <w:tcPr>
            <w:tcW w:w="6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on equipment financing</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14,500</w:t>
            </w:r>
          </w:p>
        </w:tc>
        <w:tc>
          <w:tcPr>
            <w:tcW w:w="158" w:type="dxa"/>
            <w:tcBorders/>
            <w:shd w:fill="CCEEFF" w:val="clear"/>
            <w:vAlign w:val="bottom"/>
          </w:tcPr>
          <w:p>
            <w:pPr>
              <w:pStyle w:val="TableContents"/>
              <w:bidi w:val="0"/>
              <w:spacing w:before="0" w:after="283"/>
              <w:jc w:val="left"/>
              <w:rPr/>
            </w:pPr>
            <w:r>
              <w:rPr/>
              <w:t> </w:t>
            </w:r>
          </w:p>
        </w:tc>
      </w:tr>
      <w:tr>
        <w:trPr/>
        <w:tc>
          <w:tcPr>
            <w:tcW w:w="6887" w:type="dxa"/>
            <w:tcBorders/>
          </w:tcPr>
          <w:p>
            <w:pPr>
              <w:pStyle w:val="TableContents"/>
              <w:bidi w:val="0"/>
              <w:spacing w:before="0" w:after="0"/>
              <w:jc w:val="left"/>
              <w:rPr>
                <w:rFonts w:ascii="Times New Roman" w:hAnsi="Times New Roman"/>
                <w:sz w:val="20"/>
              </w:rPr>
            </w:pPr>
            <w:r>
              <w:rPr>
                <w:rFonts w:ascii="Times New Roman" w:hAnsi="Times New Roman"/>
                <w:sz w:val="20"/>
              </w:rPr>
              <w:t>Payments on equipment financing</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(3,441</w:t>
            </w:r>
          </w:p>
        </w:tc>
        <w:tc>
          <w:tcPr>
            <w:tcW w:w="19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(3,267</w:t>
            </w:r>
          </w:p>
        </w:tc>
        <w:tc>
          <w:tcPr>
            <w:tcW w:w="158" w:type="dxa"/>
            <w:tcBorders/>
            <w:vAlign w:val="bottom"/>
          </w:tcPr>
          <w:p>
            <w:pPr>
              <w:pStyle w:val="TableContents"/>
              <w:bidi w:val="0"/>
              <w:spacing w:before="0" w:after="283"/>
              <w:jc w:val="left"/>
              <w:rPr/>
            </w:pPr>
            <w:r>
              <w:rPr/>
              <w:t>) </w:t>
            </w:r>
          </w:p>
        </w:tc>
      </w:tr>
      <w:tr>
        <w:trPr/>
        <w:tc>
          <w:tcPr>
            <w:tcW w:w="6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 to members of SOLV Energy Holdings LLC</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(184,408</w:t>
            </w:r>
          </w:p>
        </w:tc>
        <w:tc>
          <w:tcPr>
            <w:tcW w:w="19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(71,809</w:t>
            </w:r>
          </w:p>
        </w:tc>
        <w:tc>
          <w:tcPr>
            <w:tcW w:w="158" w:type="dxa"/>
            <w:tcBorders/>
            <w:shd w:fill="CCEEFF" w:val="clear"/>
            <w:vAlign w:val="bottom"/>
          </w:tcPr>
          <w:p>
            <w:pPr>
              <w:pStyle w:val="TableContents"/>
              <w:bidi w:val="0"/>
              <w:spacing w:before="0" w:after="283"/>
              <w:jc w:val="left"/>
              <w:rPr/>
            </w:pPr>
            <w:r>
              <w:rPr/>
              <w:t>) </w:t>
            </w:r>
          </w:p>
        </w:tc>
      </w:tr>
      <w:tr>
        <w:trPr/>
        <w:tc>
          <w:tcPr>
            <w:tcW w:w="688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7"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(60,987</w:t>
            </w:r>
          </w:p>
        </w:tc>
        <w:tc>
          <w:tcPr>
            <w:tcW w:w="19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(34,333</w:t>
            </w:r>
          </w:p>
        </w:tc>
        <w:tc>
          <w:tcPr>
            <w:tcW w:w="158" w:type="dxa"/>
            <w:tcBorders/>
            <w:vAlign w:val="bottom"/>
          </w:tcPr>
          <w:p>
            <w:pPr>
              <w:pStyle w:val="TableContents"/>
              <w:bidi w:val="0"/>
              <w:spacing w:before="0" w:after="283"/>
              <w:jc w:val="left"/>
              <w:rPr/>
            </w:pPr>
            <w:r>
              <w:rPr/>
              <w:t>) </w:t>
            </w:r>
          </w:p>
        </w:tc>
      </w:tr>
      <w:tr>
        <w:trPr/>
        <w:tc>
          <w:tcPr>
            <w:tcW w:w="6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(30,908</w:t>
            </w:r>
          </w:p>
        </w:tc>
        <w:tc>
          <w:tcPr>
            <w:tcW w:w="19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(44,566</w:t>
            </w:r>
          </w:p>
        </w:tc>
        <w:tc>
          <w:tcPr>
            <w:tcW w:w="158" w:type="dxa"/>
            <w:tcBorders/>
            <w:shd w:fill="CCEEFF" w:val="clear"/>
            <w:vAlign w:val="bottom"/>
          </w:tcPr>
          <w:p>
            <w:pPr>
              <w:pStyle w:val="TableContents"/>
              <w:bidi w:val="0"/>
              <w:spacing w:before="0" w:after="283"/>
              <w:jc w:val="left"/>
              <w:rPr/>
            </w:pPr>
            <w:r>
              <w:rPr/>
              <w:t>) </w:t>
            </w:r>
          </w:p>
        </w:tc>
      </w:tr>
      <w:tr>
        <w:trPr/>
        <w:tc>
          <w:tcPr>
            <w:tcW w:w="6887"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period</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394,876</w:t>
            </w:r>
          </w:p>
        </w:tc>
        <w:tc>
          <w:tcPr>
            <w:tcW w:w="19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207,987</w:t>
            </w:r>
          </w:p>
        </w:tc>
        <w:tc>
          <w:tcPr>
            <w:tcW w:w="158" w:type="dxa"/>
            <w:tcBorders/>
            <w:vAlign w:val="bottom"/>
          </w:tcPr>
          <w:p>
            <w:pPr>
              <w:pStyle w:val="TableContents"/>
              <w:bidi w:val="0"/>
              <w:spacing w:before="0" w:after="283"/>
              <w:jc w:val="left"/>
              <w:rPr/>
            </w:pPr>
            <w:r>
              <w:rPr/>
              <w:t> </w:t>
            </w:r>
          </w:p>
        </w:tc>
      </w:tr>
      <w:tr>
        <w:trPr/>
        <w:tc>
          <w:tcPr>
            <w:tcW w:w="688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end of period</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1124" w:type="dxa"/>
            <w:tcBorders/>
            <w:shd w:fill="CCEEFF" w:val="clear"/>
            <w:vAlign w:val="bottom"/>
          </w:tcPr>
          <w:p>
            <w:pPr>
              <w:pStyle w:val="TableContents"/>
              <w:bidi w:val="0"/>
              <w:spacing w:before="0" w:after="283"/>
              <w:jc w:val="right"/>
              <w:rPr>
                <w:b/>
              </w:rPr>
            </w:pPr>
            <w:r>
              <w:rPr>
                <w:b/>
              </w:rPr>
              <w:t>363,968</w:t>
            </w:r>
          </w:p>
        </w:tc>
        <w:tc>
          <w:tcPr>
            <w:tcW w:w="19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1054" w:type="dxa"/>
            <w:tcBorders/>
            <w:shd w:fill="CCEEFF" w:val="clear"/>
            <w:vAlign w:val="bottom"/>
          </w:tcPr>
          <w:p>
            <w:pPr>
              <w:pStyle w:val="TableContents"/>
              <w:bidi w:val="0"/>
              <w:spacing w:before="0" w:after="283"/>
              <w:jc w:val="right"/>
              <w:rPr>
                <w:b/>
              </w:rPr>
            </w:pPr>
            <w:r>
              <w:rPr>
                <w:b/>
              </w:rPr>
              <w:t>163,421</w:t>
            </w:r>
          </w:p>
        </w:tc>
        <w:tc>
          <w:tcPr>
            <w:tcW w:w="158" w:type="dxa"/>
            <w:tcBorders/>
            <w:shd w:fill="CCEEFF" w:val="clear"/>
            <w:vAlign w:val="bottom"/>
          </w:tcPr>
          <w:p>
            <w:pPr>
              <w:pStyle w:val="TableContents"/>
              <w:bidi w:val="0"/>
              <w:spacing w:before="0" w:after="283"/>
              <w:jc w:val="left"/>
              <w:rPr/>
            </w:pPr>
            <w:r>
              <w:rPr/>
              <w:t> </w:t>
            </w:r>
          </w:p>
        </w:tc>
      </w:tr>
      <w:tr>
        <w:trPr/>
        <w:tc>
          <w:tcPr>
            <w:tcW w:w="688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97"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05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7"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24"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05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8,861</w:t>
            </w:r>
          </w:p>
        </w:tc>
        <w:tc>
          <w:tcPr>
            <w:tcW w:w="19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24,204</w:t>
            </w:r>
          </w:p>
        </w:tc>
        <w:tc>
          <w:tcPr>
            <w:tcW w:w="158" w:type="dxa"/>
            <w:tcBorders/>
            <w:shd w:fill="CCEEFF" w:val="clear"/>
            <w:vAlign w:val="bottom"/>
          </w:tcPr>
          <w:p>
            <w:pPr>
              <w:pStyle w:val="TableContents"/>
              <w:bidi w:val="0"/>
              <w:spacing w:before="0" w:after="283"/>
              <w:jc w:val="left"/>
              <w:rPr/>
            </w:pPr>
            <w:r>
              <w:rPr/>
              <w:t> </w:t>
            </w:r>
          </w:p>
        </w:tc>
      </w:tr>
      <w:tr>
        <w:trPr/>
        <w:tc>
          <w:tcPr>
            <w:tcW w:w="6887"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paid</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11,978</w:t>
            </w:r>
          </w:p>
        </w:tc>
        <w:tc>
          <w:tcPr>
            <w:tcW w:w="19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598</w:t>
            </w:r>
          </w:p>
        </w:tc>
        <w:tc>
          <w:tcPr>
            <w:tcW w:w="158" w:type="dxa"/>
            <w:tcBorders/>
            <w:vAlign w:val="bottom"/>
          </w:tcPr>
          <w:p>
            <w:pPr>
              <w:pStyle w:val="TableContents"/>
              <w:bidi w:val="0"/>
              <w:spacing w:before="0" w:after="283"/>
              <w:jc w:val="left"/>
              <w:rPr/>
            </w:pPr>
            <w:r>
              <w:rPr/>
              <w:t> </w:t>
            </w:r>
          </w:p>
        </w:tc>
      </w:tr>
      <w:tr>
        <w:trPr/>
        <w:tc>
          <w:tcPr>
            <w:tcW w:w="68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financing activities:</w:t>
            </w:r>
          </w:p>
        </w:tc>
        <w:tc>
          <w:tcPr>
            <w:tcW w:w="23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24"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87"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 reclassified to additional paid-in capital</w:t>
            </w:r>
          </w:p>
        </w:tc>
        <w:tc>
          <w:tcPr>
            <w:tcW w:w="23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11,052</w:t>
            </w:r>
          </w:p>
        </w:tc>
        <w:tc>
          <w:tcPr>
            <w:tcW w:w="19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Non-GAAP Financial Measures </w:t>
      </w:r>
    </w:p>
    <w:p>
      <w:pPr>
        <w:pStyle w:val="TextBody"/>
        <w:bidi w:val="0"/>
        <w:spacing w:before="0" w:after="0"/>
        <w:jc w:val="center"/>
        <w:rPr>
          <w:rFonts w:ascii="Times New Roman" w:hAnsi="Times New Roman"/>
          <w:b/>
          <w:sz w:val="20"/>
        </w:rPr>
      </w:pPr>
      <w:r>
        <w:rPr>
          <w:rFonts w:ascii="Times New Roman" w:hAnsi="Times New Roman"/>
          <w:b/>
          <w:sz w:val="20"/>
        </w:rPr>
        <w:t xml:space="preserve">EBITDA and Adjusted EBITDA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07"/>
        <w:gridCol w:w="142"/>
        <w:gridCol w:w="217"/>
        <w:gridCol w:w="1244"/>
        <w:gridCol w:w="240"/>
        <w:gridCol w:w="118"/>
        <w:gridCol w:w="217"/>
        <w:gridCol w:w="1080"/>
        <w:gridCol w:w="155"/>
        <w:gridCol w:w="88"/>
        <w:gridCol w:w="184"/>
        <w:gridCol w:w="1077"/>
        <w:gridCol w:w="204"/>
        <w:gridCol w:w="105"/>
        <w:gridCol w:w="184"/>
        <w:gridCol w:w="1082"/>
        <w:gridCol w:w="161"/>
      </w:tblGrid>
      <w:tr>
        <w:trPr/>
        <w:tc>
          <w:tcPr>
            <w:tcW w:w="3707"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0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1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8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1" w:type="dxa"/>
            <w:tcBorders/>
            <w:vAlign w:val="bottom"/>
          </w:tcPr>
          <w:p>
            <w:pPr>
              <w:pStyle w:val="TableContents"/>
              <w:bidi w:val="0"/>
              <w:spacing w:before="0" w:after="283"/>
              <w:jc w:val="left"/>
              <w:rPr/>
            </w:pPr>
            <w:r>
              <w:rPr/>
              <w:t> </w:t>
            </w:r>
          </w:p>
        </w:tc>
      </w:tr>
      <w:tr>
        <w:trPr/>
        <w:tc>
          <w:tcPr>
            <w:tcW w:w="370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4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3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14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077"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244" w:type="dxa"/>
            <w:tcBorders/>
            <w:vAlign w:val="bottom"/>
          </w:tcPr>
          <w:p>
            <w:pPr>
              <w:pStyle w:val="TableContents"/>
              <w:bidi w:val="0"/>
              <w:spacing w:before="0" w:after="283"/>
              <w:jc w:val="right"/>
              <w:rPr/>
            </w:pPr>
            <w:r>
              <w:rPr/>
              <w:t>66,833</w:t>
            </w:r>
          </w:p>
        </w:tc>
        <w:tc>
          <w:tcPr>
            <w:tcW w:w="24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44,632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077" w:type="dxa"/>
            <w:tcBorders/>
            <w:vAlign w:val="bottom"/>
          </w:tcPr>
          <w:p>
            <w:pPr>
              <w:pStyle w:val="TableContents"/>
              <w:bidi w:val="0"/>
              <w:spacing w:before="0" w:after="283"/>
              <w:jc w:val="right"/>
              <w:rPr/>
            </w:pPr>
            <w:r>
              <w:rPr/>
              <w:t>39,419</w:t>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082" w:type="dxa"/>
            <w:tcBorders/>
            <w:vAlign w:val="bottom"/>
          </w:tcPr>
          <w:p>
            <w:pPr>
              <w:pStyle w:val="TableContents"/>
              <w:bidi w:val="0"/>
              <w:spacing w:before="0" w:after="283"/>
              <w:jc w:val="right"/>
              <w:rPr/>
            </w:pPr>
            <w:r>
              <w:rPr/>
              <w:t>44,130</w:t>
            </w:r>
          </w:p>
        </w:tc>
        <w:tc>
          <w:tcPr>
            <w:tcW w:w="161" w:type="dxa"/>
            <w:tcBorders/>
            <w:vAlign w:val="bottom"/>
          </w:tcPr>
          <w:p>
            <w:pPr>
              <w:pStyle w:val="TableContents"/>
              <w:bidi w:val="0"/>
              <w:spacing w:before="0" w:after="283"/>
              <w:jc w:val="left"/>
              <w:rPr/>
            </w:pPr>
            <w:r>
              <w:rPr/>
              <w:t> </w:t>
            </w:r>
          </w:p>
        </w:tc>
      </w:tr>
      <w:tr>
        <w:trPr/>
        <w:tc>
          <w:tcPr>
            <w:tcW w:w="3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4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1,402</w:t>
            </w:r>
          </w:p>
        </w:tc>
        <w:tc>
          <w:tcPr>
            <w:tcW w:w="24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14,062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8,299</w:t>
            </w:r>
          </w:p>
        </w:tc>
        <w:tc>
          <w:tcPr>
            <w:tcW w:w="20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26,753</w:t>
            </w:r>
          </w:p>
        </w:tc>
        <w:tc>
          <w:tcPr>
            <w:tcW w:w="161" w:type="dxa"/>
            <w:tcBorders/>
            <w:shd w:fill="CCEEFF" w:val="clear"/>
            <w:vAlign w:val="bottom"/>
          </w:tcPr>
          <w:p>
            <w:pPr>
              <w:pStyle w:val="TableContents"/>
              <w:bidi w:val="0"/>
              <w:spacing w:before="0" w:after="283"/>
              <w:jc w:val="left"/>
              <w:rPr/>
            </w:pPr>
            <w:r>
              <w:rPr/>
              <w:t> </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4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(1,843</w:t>
            </w:r>
          </w:p>
        </w:tc>
        <w:tc>
          <w:tcPr>
            <w:tcW w:w="24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(1,583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(3,293</w:t>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(4,855</w:t>
            </w:r>
          </w:p>
        </w:tc>
        <w:tc>
          <w:tcPr>
            <w:tcW w:w="161" w:type="dxa"/>
            <w:tcBorders/>
            <w:vAlign w:val="bottom"/>
          </w:tcPr>
          <w:p>
            <w:pPr>
              <w:pStyle w:val="TableContents"/>
              <w:bidi w:val="0"/>
              <w:spacing w:before="0" w:after="283"/>
              <w:jc w:val="left"/>
              <w:rPr/>
            </w:pPr>
            <w:r>
              <w:rPr/>
              <w:t>) </w:t>
            </w:r>
          </w:p>
        </w:tc>
      </w:tr>
      <w:tr>
        <w:trPr/>
        <w:tc>
          <w:tcPr>
            <w:tcW w:w="3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4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5,823</w:t>
            </w:r>
          </w:p>
        </w:tc>
        <w:tc>
          <w:tcPr>
            <w:tcW w:w="24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1,047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9,989</w:t>
            </w:r>
          </w:p>
        </w:tc>
        <w:tc>
          <w:tcPr>
            <w:tcW w:w="20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1,309</w:t>
            </w:r>
          </w:p>
        </w:tc>
        <w:tc>
          <w:tcPr>
            <w:tcW w:w="161" w:type="dxa"/>
            <w:tcBorders/>
            <w:shd w:fill="CCEEFF" w:val="clear"/>
            <w:vAlign w:val="bottom"/>
          </w:tcPr>
          <w:p>
            <w:pPr>
              <w:pStyle w:val="TableContents"/>
              <w:bidi w:val="0"/>
              <w:spacing w:before="0" w:after="283"/>
              <w:jc w:val="left"/>
              <w:rPr/>
            </w:pPr>
            <w:r>
              <w:rPr/>
              <w:t> </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26,759</w:t>
            </w:r>
          </w:p>
        </w:tc>
        <w:tc>
          <w:tcPr>
            <w:tcW w:w="24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20,191</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50,489</w:t>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39,763</w:t>
            </w:r>
          </w:p>
        </w:tc>
        <w:tc>
          <w:tcPr>
            <w:tcW w:w="161" w:type="dxa"/>
            <w:tcBorders/>
            <w:vAlign w:val="bottom"/>
          </w:tcPr>
          <w:p>
            <w:pPr>
              <w:pStyle w:val="TableContents"/>
              <w:bidi w:val="0"/>
              <w:spacing w:before="0" w:after="283"/>
              <w:jc w:val="left"/>
              <w:rPr/>
            </w:pPr>
            <w:r>
              <w:rPr/>
              <w:t> </w:t>
            </w:r>
          </w:p>
        </w:tc>
      </w:tr>
      <w:tr>
        <w:trPr/>
        <w:tc>
          <w:tcPr>
            <w:tcW w:w="370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24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4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98,974</w:t>
            </w:r>
          </w:p>
        </w:tc>
        <w:tc>
          <w:tcPr>
            <w:tcW w:w="24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78,349</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104,903</w:t>
            </w:r>
          </w:p>
        </w:tc>
        <w:tc>
          <w:tcPr>
            <w:tcW w:w="20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107,100</w:t>
            </w:r>
          </w:p>
        </w:tc>
        <w:tc>
          <w:tcPr>
            <w:tcW w:w="161" w:type="dxa"/>
            <w:tcBorders/>
            <w:shd w:fill="CCEEFF" w:val="clear"/>
            <w:vAlign w:val="bottom"/>
          </w:tcPr>
          <w:p>
            <w:pPr>
              <w:pStyle w:val="TableContents"/>
              <w:bidi w:val="0"/>
              <w:spacing w:before="0" w:after="283"/>
              <w:jc w:val="left"/>
              <w:rPr/>
            </w:pPr>
            <w:r>
              <w:rPr/>
              <w:t> </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Non-cash compensation expense</w:t>
            </w:r>
          </w:p>
        </w:tc>
        <w:tc>
          <w:tcPr>
            <w:tcW w:w="14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14,796</w:t>
            </w:r>
          </w:p>
        </w:tc>
        <w:tc>
          <w:tcPr>
            <w:tcW w:w="24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1,260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79,670</w:t>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1,972</w:t>
            </w:r>
          </w:p>
        </w:tc>
        <w:tc>
          <w:tcPr>
            <w:tcW w:w="161" w:type="dxa"/>
            <w:tcBorders/>
            <w:vAlign w:val="bottom"/>
          </w:tcPr>
          <w:p>
            <w:pPr>
              <w:pStyle w:val="TableContents"/>
              <w:bidi w:val="0"/>
              <w:spacing w:before="0" w:after="283"/>
              <w:jc w:val="left"/>
              <w:rPr/>
            </w:pPr>
            <w:r>
              <w:rPr/>
              <w:t> </w:t>
            </w:r>
          </w:p>
        </w:tc>
      </w:tr>
      <w:tr>
        <w:trPr/>
        <w:tc>
          <w:tcPr>
            <w:tcW w:w="3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(Gain)/loss on the disposal of property and equipment</w:t>
            </w:r>
          </w:p>
        </w:tc>
        <w:tc>
          <w:tcPr>
            <w:tcW w:w="14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(24</w:t>
            </w:r>
          </w:p>
        </w:tc>
        <w:tc>
          <w:tcPr>
            <w:tcW w:w="24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(34</w:t>
            </w:r>
          </w:p>
        </w:tc>
        <w:tc>
          <w:tcPr>
            <w:tcW w:w="20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3</w:t>
            </w:r>
          </w:p>
        </w:tc>
        <w:tc>
          <w:tcPr>
            <w:tcW w:w="161" w:type="dxa"/>
            <w:tcBorders/>
            <w:shd w:fill="CCEEFF" w:val="clear"/>
            <w:vAlign w:val="bottom"/>
          </w:tcPr>
          <w:p>
            <w:pPr>
              <w:pStyle w:val="TableContents"/>
              <w:bidi w:val="0"/>
              <w:spacing w:before="0" w:after="283"/>
              <w:jc w:val="left"/>
              <w:rPr/>
            </w:pPr>
            <w:r>
              <w:rPr/>
              <w:t> </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Loss on the extinguishment of debt</w:t>
            </w:r>
          </w:p>
        </w:tc>
        <w:tc>
          <w:tcPr>
            <w:tcW w:w="14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10,688</w:t>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the fair value of derivative</w:t>
            </w:r>
          </w:p>
        </w:tc>
        <w:tc>
          <w:tcPr>
            <w:tcW w:w="14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w:t>
            </w:r>
          </w:p>
        </w:tc>
        <w:tc>
          <w:tcPr>
            <w:tcW w:w="20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54</w:t>
            </w:r>
          </w:p>
        </w:tc>
        <w:tc>
          <w:tcPr>
            <w:tcW w:w="161" w:type="dxa"/>
            <w:tcBorders/>
            <w:shd w:fill="CCEEFF" w:val="clear"/>
            <w:vAlign w:val="bottom"/>
          </w:tcPr>
          <w:p>
            <w:pPr>
              <w:pStyle w:val="TableContents"/>
              <w:bidi w:val="0"/>
              <w:spacing w:before="0" w:after="283"/>
              <w:jc w:val="left"/>
              <w:rPr/>
            </w:pPr>
            <w:r>
              <w:rPr/>
              <w:t> </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Tax receivable agreement remeasurement</w:t>
            </w:r>
          </w:p>
        </w:tc>
        <w:tc>
          <w:tcPr>
            <w:tcW w:w="14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(2,428</w:t>
            </w:r>
          </w:p>
        </w:tc>
        <w:tc>
          <w:tcPr>
            <w:tcW w:w="24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(2,428</w:t>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Non-recurring private equity management fees, transaction, integration and transition costs, and other non-cash costs(1)</w:t>
            </w:r>
          </w:p>
        </w:tc>
        <w:tc>
          <w:tcPr>
            <w:tcW w:w="14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6,162</w:t>
            </w:r>
          </w:p>
        </w:tc>
        <w:tc>
          <w:tcPr>
            <w:tcW w:w="24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6,707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17,198</w:t>
            </w:r>
          </w:p>
        </w:tc>
        <w:tc>
          <w:tcPr>
            <w:tcW w:w="20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11,191</w:t>
            </w:r>
          </w:p>
        </w:tc>
        <w:tc>
          <w:tcPr>
            <w:tcW w:w="161" w:type="dxa"/>
            <w:tcBorders/>
            <w:shd w:fill="CCEEFF" w:val="clear"/>
            <w:vAlign w:val="bottom"/>
          </w:tcPr>
          <w:p>
            <w:pPr>
              <w:pStyle w:val="TableContents"/>
              <w:bidi w:val="0"/>
              <w:spacing w:before="0" w:after="283"/>
              <w:jc w:val="left"/>
              <w:rPr/>
            </w:pPr>
            <w:r>
              <w:rPr/>
              <w:t> </w:t>
            </w:r>
          </w:p>
        </w:tc>
      </w:tr>
      <w:tr>
        <w:trPr/>
        <w:tc>
          <w:tcPr>
            <w:tcW w:w="370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24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4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b/>
              </w:rPr>
            </w:pPr>
            <w:r>
              <w:rPr>
                <w:b/>
              </w:rPr>
              <w:t>$</w:t>
            </w:r>
          </w:p>
        </w:tc>
        <w:tc>
          <w:tcPr>
            <w:tcW w:w="1244" w:type="dxa"/>
            <w:tcBorders/>
            <w:vAlign w:val="bottom"/>
          </w:tcPr>
          <w:p>
            <w:pPr>
              <w:pStyle w:val="TableContents"/>
              <w:bidi w:val="0"/>
              <w:spacing w:before="0" w:after="283"/>
              <w:jc w:val="right"/>
              <w:rPr>
                <w:b/>
              </w:rPr>
            </w:pPr>
            <w:r>
              <w:rPr>
                <w:b/>
              </w:rPr>
              <w:t>117,480</w:t>
            </w:r>
          </w:p>
        </w:tc>
        <w:tc>
          <w:tcPr>
            <w:tcW w:w="24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b/>
              </w:rPr>
            </w:pPr>
            <w:r>
              <w:rPr>
                <w:b/>
              </w:rPr>
              <w:t>$</w:t>
            </w:r>
          </w:p>
        </w:tc>
        <w:tc>
          <w:tcPr>
            <w:tcW w:w="1080" w:type="dxa"/>
            <w:tcBorders/>
            <w:vAlign w:val="bottom"/>
          </w:tcPr>
          <w:p>
            <w:pPr>
              <w:pStyle w:val="TableContents"/>
              <w:bidi w:val="0"/>
              <w:spacing w:before="0" w:after="283"/>
              <w:jc w:val="right"/>
              <w:rPr>
                <w:b/>
              </w:rPr>
            </w:pPr>
            <w:r>
              <w:rPr>
                <w:b/>
              </w:rPr>
              <w:t>86,291</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077" w:type="dxa"/>
            <w:tcBorders/>
            <w:vAlign w:val="bottom"/>
          </w:tcPr>
          <w:p>
            <w:pPr>
              <w:pStyle w:val="TableContents"/>
              <w:bidi w:val="0"/>
              <w:spacing w:before="0" w:after="283"/>
              <w:jc w:val="right"/>
              <w:rPr>
                <w:b/>
              </w:rPr>
            </w:pPr>
            <w:r>
              <w:rPr>
                <w:b/>
              </w:rPr>
              <w:t>209,996</w:t>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082" w:type="dxa"/>
            <w:tcBorders/>
            <w:vAlign w:val="bottom"/>
          </w:tcPr>
          <w:p>
            <w:pPr>
              <w:pStyle w:val="TableContents"/>
              <w:bidi w:val="0"/>
              <w:spacing w:before="0" w:after="283"/>
              <w:jc w:val="right"/>
              <w:rPr>
                <w:b/>
              </w:rPr>
            </w:pPr>
            <w:r>
              <w:rPr>
                <w:b/>
              </w:rPr>
              <w:t>120,320</w:t>
            </w:r>
          </w:p>
        </w:tc>
        <w:tc>
          <w:tcPr>
            <w:tcW w:w="161" w:type="dxa"/>
            <w:tcBorders/>
            <w:vAlign w:val="bottom"/>
          </w:tcPr>
          <w:p>
            <w:pPr>
              <w:pStyle w:val="TableContents"/>
              <w:bidi w:val="0"/>
              <w:spacing w:before="0" w:after="283"/>
              <w:jc w:val="left"/>
              <w:rPr/>
            </w:pPr>
            <w:r>
              <w:rPr/>
              <w:t> </w:t>
            </w:r>
          </w:p>
        </w:tc>
      </w:tr>
      <w:tr>
        <w:trPr/>
        <w:tc>
          <w:tcPr>
            <w:tcW w:w="370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240"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077" w:type="dxa"/>
            <w:tcBorders/>
            <w:vAlign w:val="bottom"/>
          </w:tcPr>
          <w:p>
            <w:pPr>
              <w:pStyle w:val="TableContents"/>
              <w:pBdr>
                <w:top w:val="double" w:sz="6"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08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management fees paid to American Securities, that are no longer being incurred following the IPO date, one-time IPO related costs, non-recurring transaction and integration costs inclusive of deferred compensation or earn-out structures to employees of acquired businesses that are not related to normal course compensation and are conditioned on post-closing service obligations, and other non-cash or non-recurring expenses. We recorded management fees, including reimbursable expenses, of $— and $1,204 for the three months ended June 30, 2026 and 2025, respectively and $750 and $1,954 for the six months ended June 30, 2026 and 2025. For the three months ended June 30, 2026, we recorded $4,746 related to transaction and integration costs, and non-capitalized IPO related costs, and wrote-off $1,292 of capitalized development costs and other development assets included in cost of revenue related to activity from the historical development business no longer in service, which were offset by miscellaneous immaterial adjustments. For the six months ended June 30, 2026, we recorded $11,237 related to transaction and integration costs, and noncapitalized IPO related costs, and wrote-off $5,232 of capitalized development costs and other development assets included in cost of revenue related to activity from the historical development business no longer in service, which were offset by miscellaneous immaterial adjustments.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Non-GAAP Financial Measures </w:t>
      </w:r>
    </w:p>
    <w:p>
      <w:pPr>
        <w:pStyle w:val="TextBody"/>
        <w:bidi w:val="0"/>
        <w:spacing w:before="240" w:after="0"/>
        <w:jc w:val="center"/>
        <w:rPr>
          <w:rFonts w:ascii="Times New Roman" w:hAnsi="Times New Roman"/>
          <w:b/>
          <w:sz w:val="20"/>
        </w:rPr>
      </w:pPr>
      <w:r>
        <w:rPr>
          <w:rFonts w:ascii="Times New Roman" w:hAnsi="Times New Roman"/>
          <w:b/>
          <w:sz w:val="20"/>
        </w:rPr>
        <w:t xml:space="preserve">Adjusted Gross Profit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17"/>
        <w:gridCol w:w="142"/>
        <w:gridCol w:w="193"/>
        <w:gridCol w:w="1143"/>
        <w:gridCol w:w="380"/>
        <w:gridCol w:w="108"/>
        <w:gridCol w:w="193"/>
        <w:gridCol w:w="1146"/>
        <w:gridCol w:w="284"/>
        <w:gridCol w:w="87"/>
        <w:gridCol w:w="174"/>
        <w:gridCol w:w="1010"/>
        <w:gridCol w:w="346"/>
        <w:gridCol w:w="100"/>
        <w:gridCol w:w="174"/>
        <w:gridCol w:w="1015"/>
        <w:gridCol w:w="293"/>
      </w:tblGrid>
      <w:tr>
        <w:trPr/>
        <w:tc>
          <w:tcPr>
            <w:tcW w:w="3417"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41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1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28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8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293" w:type="dxa"/>
            <w:tcBorders/>
            <w:vAlign w:val="bottom"/>
          </w:tcPr>
          <w:p>
            <w:pPr>
              <w:pStyle w:val="TableContents"/>
              <w:bidi w:val="0"/>
              <w:spacing w:before="0" w:after="283"/>
              <w:jc w:val="left"/>
              <w:rPr/>
            </w:pPr>
            <w:r>
              <w:rPr/>
              <w:t> </w:t>
            </w:r>
          </w:p>
        </w:tc>
      </w:tr>
      <w:tr>
        <w:trPr/>
        <w:tc>
          <w:tcPr>
            <w:tcW w:w="341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8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3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4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93" w:type="dxa"/>
            <w:tcBorders/>
            <w:vAlign w:val="bottom"/>
          </w:tcPr>
          <w:p>
            <w:pPr>
              <w:pStyle w:val="TableContents"/>
              <w:bidi w:val="0"/>
              <w:spacing w:before="0" w:after="283"/>
              <w:jc w:val="left"/>
              <w:rPr/>
            </w:pPr>
            <w:r>
              <w:rPr/>
              <w:t> </w:t>
            </w:r>
          </w:p>
        </w:tc>
      </w:tr>
      <w:tr>
        <w:trPr/>
        <w:tc>
          <w:tcPr>
            <w:tcW w:w="3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 (GAAP)</w:t>
            </w:r>
          </w:p>
        </w:tc>
        <w:tc>
          <w:tcPr>
            <w:tcW w:w="14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139,613</w:t>
            </w:r>
          </w:p>
        </w:tc>
        <w:tc>
          <w:tcPr>
            <w:tcW w:w="38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113,061</w:t>
            </w:r>
          </w:p>
        </w:tc>
        <w:tc>
          <w:tcPr>
            <w:tcW w:w="28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258,686</w:t>
            </w:r>
          </w:p>
        </w:tc>
        <w:tc>
          <w:tcPr>
            <w:tcW w:w="34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15" w:type="dxa"/>
            <w:tcBorders/>
            <w:shd w:fill="CCEEFF" w:val="clear"/>
            <w:vAlign w:val="bottom"/>
          </w:tcPr>
          <w:p>
            <w:pPr>
              <w:pStyle w:val="TableContents"/>
              <w:bidi w:val="0"/>
              <w:spacing w:before="0" w:after="283"/>
              <w:jc w:val="right"/>
              <w:rPr/>
            </w:pPr>
            <w:r>
              <w:rPr/>
              <w:t>172,160</w:t>
            </w:r>
          </w:p>
        </w:tc>
        <w:tc>
          <w:tcPr>
            <w:tcW w:w="293" w:type="dxa"/>
            <w:tcBorders/>
            <w:shd w:fill="CCEEFF" w:val="clear"/>
            <w:vAlign w:val="bottom"/>
          </w:tcPr>
          <w:p>
            <w:pPr>
              <w:pStyle w:val="TableContents"/>
              <w:bidi w:val="0"/>
              <w:spacing w:before="0" w:after="283"/>
              <w:jc w:val="left"/>
              <w:rPr/>
            </w:pPr>
            <w:r>
              <w:rPr/>
              <w:t> </w:t>
            </w:r>
          </w:p>
        </w:tc>
      </w:tr>
      <w:tr>
        <w:trPr/>
        <w:tc>
          <w:tcPr>
            <w:tcW w:w="3417" w:type="dxa"/>
            <w:tcBorders/>
          </w:tcPr>
          <w:p>
            <w:pPr>
              <w:pStyle w:val="TableContents"/>
              <w:bidi w:val="0"/>
              <w:spacing w:before="0" w:after="0"/>
              <w:jc w:val="left"/>
              <w:rPr>
                <w:rFonts w:ascii="Times New Roman" w:hAnsi="Times New Roman"/>
                <w:sz w:val="20"/>
              </w:rPr>
            </w:pPr>
            <w:r>
              <w:rPr>
                <w:rFonts w:ascii="Times New Roman" w:hAnsi="Times New Roman"/>
                <w:sz w:val="20"/>
              </w:rPr>
              <w:t>Non-cash compensation expense</w:t>
            </w:r>
          </w:p>
        </w:tc>
        <w:tc>
          <w:tcPr>
            <w:tcW w:w="14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5,378</w:t>
            </w:r>
          </w:p>
        </w:tc>
        <w:tc>
          <w:tcPr>
            <w:tcW w:w="38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10,693</w:t>
            </w:r>
          </w:p>
        </w:tc>
        <w:tc>
          <w:tcPr>
            <w:tcW w:w="34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293" w:type="dxa"/>
            <w:tcBorders/>
            <w:vAlign w:val="bottom"/>
          </w:tcPr>
          <w:p>
            <w:pPr>
              <w:pStyle w:val="TableContents"/>
              <w:bidi w:val="0"/>
              <w:spacing w:before="0" w:after="283"/>
              <w:jc w:val="left"/>
              <w:rPr/>
            </w:pPr>
            <w:r>
              <w:rPr/>
              <w:t> </w:t>
            </w:r>
          </w:p>
        </w:tc>
      </w:tr>
      <w:tr>
        <w:trPr/>
        <w:tc>
          <w:tcPr>
            <w:tcW w:w="3417"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38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146"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346"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293" w:type="dxa"/>
            <w:tcBorders/>
            <w:vAlign w:val="center"/>
          </w:tcPr>
          <w:p>
            <w:pPr>
              <w:pStyle w:val="TableContents"/>
              <w:bidi w:val="0"/>
              <w:spacing w:before="0" w:after="283"/>
              <w:jc w:val="left"/>
              <w:rPr/>
            </w:pPr>
            <w:r>
              <w:rPr/>
              <w:t> </w:t>
            </w:r>
          </w:p>
        </w:tc>
      </w:tr>
      <w:tr>
        <w:trPr/>
        <w:tc>
          <w:tcPr>
            <w:tcW w:w="34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gross profit (Non-GAAP)</w:t>
            </w:r>
          </w:p>
        </w:tc>
        <w:tc>
          <w:tcPr>
            <w:tcW w:w="14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b/>
              </w:rPr>
            </w:pPr>
            <w:r>
              <w:rPr>
                <w:b/>
              </w:rPr>
              <w:t>$</w:t>
            </w:r>
          </w:p>
        </w:tc>
        <w:tc>
          <w:tcPr>
            <w:tcW w:w="1143" w:type="dxa"/>
            <w:tcBorders/>
            <w:shd w:fill="CCEEFF" w:val="clear"/>
            <w:vAlign w:val="bottom"/>
          </w:tcPr>
          <w:p>
            <w:pPr>
              <w:pStyle w:val="TableContents"/>
              <w:bidi w:val="0"/>
              <w:spacing w:before="0" w:after="283"/>
              <w:jc w:val="right"/>
              <w:rPr>
                <w:b/>
              </w:rPr>
            </w:pPr>
            <w:r>
              <w:rPr>
                <w:b/>
              </w:rPr>
              <w:t>144,991</w:t>
            </w:r>
          </w:p>
        </w:tc>
        <w:tc>
          <w:tcPr>
            <w:tcW w:w="38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b/>
              </w:rPr>
            </w:pPr>
            <w:r>
              <w:rPr>
                <w:b/>
              </w:rPr>
              <w:t>$</w:t>
            </w:r>
          </w:p>
        </w:tc>
        <w:tc>
          <w:tcPr>
            <w:tcW w:w="1146" w:type="dxa"/>
            <w:tcBorders/>
            <w:shd w:fill="CCEEFF" w:val="clear"/>
            <w:vAlign w:val="bottom"/>
          </w:tcPr>
          <w:p>
            <w:pPr>
              <w:pStyle w:val="TableContents"/>
              <w:bidi w:val="0"/>
              <w:spacing w:before="0" w:after="283"/>
              <w:jc w:val="right"/>
              <w:rPr>
                <w:b/>
              </w:rPr>
            </w:pPr>
            <w:r>
              <w:rPr>
                <w:b/>
              </w:rPr>
              <w:t>113,061</w:t>
            </w:r>
          </w:p>
        </w:tc>
        <w:tc>
          <w:tcPr>
            <w:tcW w:w="28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b/>
              </w:rPr>
            </w:pPr>
            <w:r>
              <w:rPr>
                <w:b/>
              </w:rPr>
              <w:t>$</w:t>
            </w:r>
          </w:p>
        </w:tc>
        <w:tc>
          <w:tcPr>
            <w:tcW w:w="1010" w:type="dxa"/>
            <w:tcBorders/>
            <w:shd w:fill="CCEEFF" w:val="clear"/>
            <w:vAlign w:val="bottom"/>
          </w:tcPr>
          <w:p>
            <w:pPr>
              <w:pStyle w:val="TableContents"/>
              <w:bidi w:val="0"/>
              <w:spacing w:before="0" w:after="283"/>
              <w:jc w:val="right"/>
              <w:rPr>
                <w:b/>
              </w:rPr>
            </w:pPr>
            <w:r>
              <w:rPr>
                <w:b/>
              </w:rPr>
              <w:t>269,379</w:t>
            </w:r>
          </w:p>
        </w:tc>
        <w:tc>
          <w:tcPr>
            <w:tcW w:w="34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b/>
              </w:rPr>
            </w:pPr>
            <w:r>
              <w:rPr>
                <w:b/>
              </w:rPr>
              <w:t>$</w:t>
            </w:r>
          </w:p>
        </w:tc>
        <w:tc>
          <w:tcPr>
            <w:tcW w:w="1015" w:type="dxa"/>
            <w:tcBorders/>
            <w:shd w:fill="CCEEFF" w:val="clear"/>
            <w:vAlign w:val="bottom"/>
          </w:tcPr>
          <w:p>
            <w:pPr>
              <w:pStyle w:val="TableContents"/>
              <w:bidi w:val="0"/>
              <w:spacing w:before="0" w:after="283"/>
              <w:jc w:val="right"/>
              <w:rPr>
                <w:b/>
              </w:rPr>
            </w:pPr>
            <w:r>
              <w:rPr>
                <w:b/>
              </w:rPr>
              <w:t>172,160</w:t>
            </w:r>
          </w:p>
        </w:tc>
        <w:tc>
          <w:tcPr>
            <w:tcW w:w="293" w:type="dxa"/>
            <w:tcBorders/>
            <w:shd w:fill="CCEEFF" w:val="clear"/>
            <w:vAlign w:val="bottom"/>
          </w:tcPr>
          <w:p>
            <w:pPr>
              <w:pStyle w:val="TableContents"/>
              <w:bidi w:val="0"/>
              <w:spacing w:before="0" w:after="283"/>
              <w:jc w:val="left"/>
              <w:rPr/>
            </w:pPr>
            <w:r>
              <w:rPr/>
              <w:t> </w:t>
            </w:r>
          </w:p>
        </w:tc>
      </w:tr>
      <w:tr>
        <w:trPr/>
        <w:tc>
          <w:tcPr>
            <w:tcW w:w="3417" w:type="dxa"/>
            <w:tcBorders/>
          </w:tcPr>
          <w:p>
            <w:pPr>
              <w:pStyle w:val="TableContents"/>
              <w:bidi w:val="0"/>
              <w:spacing w:before="0" w:after="0"/>
              <w:jc w:val="left"/>
              <w:rPr>
                <w:rFonts w:ascii="Times New Roman" w:hAnsi="Times New Roman"/>
                <w:sz w:val="20"/>
              </w:rPr>
            </w:pPr>
            <w:r>
              <w:rPr>
                <w:rFonts w:ascii="Times New Roman" w:hAnsi="Times New Roman"/>
                <w:sz w:val="20"/>
              </w:rPr>
              <w:t>Gross Margin %</w:t>
            </w:r>
          </w:p>
        </w:tc>
        <w:tc>
          <w:tcPr>
            <w:tcW w:w="14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14.7</w:t>
            </w:r>
          </w:p>
        </w:tc>
        <w:tc>
          <w:tcPr>
            <w:tcW w:w="38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21.1</w:t>
            </w:r>
          </w:p>
        </w:tc>
        <w:tc>
          <w:tcPr>
            <w:tcW w:w="28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15.9</w:t>
            </w:r>
          </w:p>
        </w:tc>
        <w:tc>
          <w:tcPr>
            <w:tcW w:w="34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18.2</w:t>
            </w:r>
          </w:p>
        </w:tc>
        <w:tc>
          <w:tcPr>
            <w:tcW w:w="293" w:type="dxa"/>
            <w:tcBorders/>
            <w:vAlign w:val="bottom"/>
          </w:tcPr>
          <w:p>
            <w:pPr>
              <w:pStyle w:val="TableContents"/>
              <w:bidi w:val="0"/>
              <w:spacing w:before="0" w:after="283"/>
              <w:jc w:val="left"/>
              <w:rPr/>
            </w:pPr>
            <w:r>
              <w:rPr/>
              <w:t>% </w:t>
            </w:r>
          </w:p>
        </w:tc>
      </w:tr>
      <w:tr>
        <w:trPr/>
        <w:tc>
          <w:tcPr>
            <w:tcW w:w="3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Gross Margin %</w:t>
            </w:r>
          </w:p>
        </w:tc>
        <w:tc>
          <w:tcPr>
            <w:tcW w:w="14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15.2</w:t>
            </w:r>
          </w:p>
        </w:tc>
        <w:tc>
          <w:tcPr>
            <w:tcW w:w="38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21.1</w:t>
            </w:r>
          </w:p>
        </w:tc>
        <w:tc>
          <w:tcPr>
            <w:tcW w:w="28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16.5</w:t>
            </w:r>
          </w:p>
        </w:tc>
        <w:tc>
          <w:tcPr>
            <w:tcW w:w="34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18.2</w:t>
            </w:r>
          </w:p>
        </w:tc>
        <w:tc>
          <w:tcPr>
            <w:tcW w:w="293" w:type="dxa"/>
            <w:tcBorders/>
            <w:shd w:fill="CCEEFF" w:val="clear"/>
            <w:vAlign w:val="bottom"/>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4720</Words>
  <Characters>27020</Characters>
  <CharactersWithSpaces>32753</CharactersWithSpaces>
  <Paragraphs>2029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