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2"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left="1160" w:right="164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212090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40"/>
          <w:szCs w:val="40"/>
          <w:b w:val="1"/>
          <w:bCs w:val="1"/>
          <w:color w:val="auto"/>
        </w:rPr>
        <w:t>SOLV Energy, Inc.</w:t>
      </w:r>
    </w:p>
    <w:p>
      <w:pPr>
        <w:spacing w:after="0" w:line="3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760" w:type="dxa"/>
        <w:tblCellMar>
          <w:top w:w="0" w:type="dxa"/>
          <w:left w:w="0" w:type="dxa"/>
          <w:bottom w:w="0" w:type="dxa"/>
          <w:right w:w="0" w:type="dxa"/>
        </w:tblCellMar>
      </w:tblPr>
      <w:tr>
        <w:trPr>
          <w:trHeight w:val="214"/>
        </w:trPr>
        <w:tc>
          <w:tcPr>
            <w:tcW w:w="1380" w:type="dxa"/>
            <w:vAlign w:val="bottom"/>
          </w:tcPr>
          <w:p>
            <w:pPr>
              <w:spacing w:after="0"/>
              <w:rPr>
                <w:sz w:val="18"/>
                <w:szCs w:val="18"/>
                <w:color w:val="auto"/>
              </w:rPr>
            </w:pPr>
          </w:p>
        </w:tc>
        <w:tc>
          <w:tcPr>
            <w:tcW w:w="3820" w:type="dxa"/>
            <w:vAlign w:val="bottom"/>
            <w:gridSpan w:val="2"/>
          </w:tcPr>
          <w:p>
            <w:pPr>
              <w:jc w:val="center"/>
              <w:ind w:right="2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00" w:type="dxa"/>
            <w:vAlign w:val="bottom"/>
            <w:gridSpan w:val="2"/>
          </w:tcPr>
          <w:p>
            <w:pPr>
              <w:jc w:val="right"/>
              <w:ind w:right="402"/>
              <w:spacing w:after="0"/>
              <w:rPr>
                <w:sz w:val="20"/>
                <w:szCs w:val="20"/>
                <w:color w:val="auto"/>
              </w:rPr>
            </w:pPr>
            <w:r>
              <w:rPr>
                <w:rFonts w:ascii="Times New Roman" w:cs="Times New Roman" w:eastAsia="Times New Roman" w:hAnsi="Times New Roman"/>
                <w:sz w:val="18"/>
                <w:szCs w:val="18"/>
                <w:b w:val="1"/>
                <w:bCs w:val="1"/>
                <w:color w:val="auto"/>
              </w:rPr>
              <w:t>33-4537250</w:t>
            </w:r>
          </w:p>
        </w:tc>
        <w:tc>
          <w:tcPr>
            <w:tcW w:w="300" w:type="dxa"/>
            <w:vAlign w:val="bottom"/>
          </w:tcPr>
          <w:p>
            <w:pPr>
              <w:spacing w:after="0"/>
              <w:rPr>
                <w:sz w:val="18"/>
                <w:szCs w:val="18"/>
                <w:color w:val="auto"/>
              </w:rPr>
            </w:pPr>
          </w:p>
        </w:tc>
      </w:tr>
      <w:tr>
        <w:trPr>
          <w:trHeight w:val="190"/>
        </w:trPr>
        <w:tc>
          <w:tcPr>
            <w:tcW w:w="5200" w:type="dxa"/>
            <w:vAlign w:val="bottom"/>
            <w:gridSpan w:val="3"/>
          </w:tcPr>
          <w:p>
            <w:pPr>
              <w:jc w:val="center"/>
              <w:ind w:right="107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600" w:type="dxa"/>
            <w:vAlign w:val="bottom"/>
            <w:gridSpan w:val="3"/>
          </w:tcPr>
          <w:p>
            <w:pPr>
              <w:jc w:val="center"/>
              <w:ind w:left="1077"/>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3"/>
        </w:trPr>
        <w:tc>
          <w:tcPr>
            <w:tcW w:w="5200" w:type="dxa"/>
            <w:vAlign w:val="bottom"/>
            <w:gridSpan w:val="3"/>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8"/>
              </w:rPr>
              <w:t>16680 West Bernardo Drive</w:t>
            </w:r>
          </w:p>
        </w:tc>
        <w:tc>
          <w:tcPr>
            <w:tcW w:w="1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7"/>
        </w:trPr>
        <w:tc>
          <w:tcPr>
            <w:tcW w:w="1380" w:type="dxa"/>
            <w:vAlign w:val="bottom"/>
          </w:tcPr>
          <w:p>
            <w:pPr>
              <w:spacing w:after="0"/>
              <w:rPr>
                <w:sz w:val="19"/>
                <w:szCs w:val="19"/>
                <w:color w:val="auto"/>
              </w:rPr>
            </w:pPr>
          </w:p>
        </w:tc>
        <w:tc>
          <w:tcPr>
            <w:tcW w:w="3820" w:type="dxa"/>
            <w:vAlign w:val="bottom"/>
            <w:gridSpan w:val="2"/>
          </w:tcPr>
          <w:p>
            <w:pPr>
              <w:jc w:val="center"/>
              <w:ind w:right="2450"/>
              <w:spacing w:after="0"/>
              <w:rPr>
                <w:sz w:val="20"/>
                <w:szCs w:val="20"/>
                <w:color w:val="auto"/>
              </w:rPr>
            </w:pPr>
            <w:r>
              <w:rPr>
                <w:rFonts w:ascii="Times New Roman" w:cs="Times New Roman" w:eastAsia="Times New Roman" w:hAnsi="Times New Roman"/>
                <w:sz w:val="18"/>
                <w:szCs w:val="18"/>
                <w:b w:val="1"/>
                <w:bCs w:val="1"/>
                <w:color w:val="auto"/>
                <w:w w:val="99"/>
              </w:rPr>
              <w:t>San Diego, CA</w:t>
            </w:r>
          </w:p>
        </w:tc>
        <w:tc>
          <w:tcPr>
            <w:tcW w:w="3300" w:type="dxa"/>
            <w:vAlign w:val="bottom"/>
            <w:gridSpan w:val="2"/>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92127</w:t>
            </w:r>
          </w:p>
        </w:tc>
        <w:tc>
          <w:tcPr>
            <w:tcW w:w="300" w:type="dxa"/>
            <w:vAlign w:val="bottom"/>
          </w:tcPr>
          <w:p>
            <w:pPr>
              <w:spacing w:after="0"/>
              <w:rPr>
                <w:sz w:val="19"/>
                <w:szCs w:val="19"/>
                <w:color w:val="auto"/>
              </w:rPr>
            </w:pPr>
          </w:p>
        </w:tc>
      </w:tr>
      <w:tr>
        <w:trPr>
          <w:trHeight w:val="190"/>
        </w:trPr>
        <w:tc>
          <w:tcPr>
            <w:tcW w:w="5200" w:type="dxa"/>
            <w:vAlign w:val="bottom"/>
            <w:gridSpan w:val="3"/>
          </w:tcPr>
          <w:p>
            <w:pPr>
              <w:jc w:val="center"/>
              <w:ind w:right="109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60" w:type="dxa"/>
            <w:vAlign w:val="bottom"/>
          </w:tcPr>
          <w:p>
            <w:pPr>
              <w:spacing w:after="0"/>
              <w:rPr>
                <w:sz w:val="16"/>
                <w:szCs w:val="16"/>
                <w:color w:val="auto"/>
              </w:rPr>
            </w:pPr>
          </w:p>
        </w:tc>
        <w:tc>
          <w:tcPr>
            <w:tcW w:w="214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5"/>
        </w:trPr>
        <w:tc>
          <w:tcPr>
            <w:tcW w:w="1380" w:type="dxa"/>
            <w:vAlign w:val="bottom"/>
          </w:tcPr>
          <w:p>
            <w:pPr>
              <w:spacing w:after="0"/>
              <w:rPr>
                <w:sz w:val="24"/>
                <w:szCs w:val="24"/>
                <w:color w:val="auto"/>
              </w:rPr>
            </w:pPr>
          </w:p>
        </w:tc>
        <w:tc>
          <w:tcPr>
            <w:tcW w:w="742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r>
      <w:tr>
        <w:trPr>
          <w:trHeight w:val="367"/>
        </w:trPr>
        <w:tc>
          <w:tcPr>
            <w:tcW w:w="1380" w:type="dxa"/>
            <w:vAlign w:val="bottom"/>
          </w:tcPr>
          <w:p>
            <w:pPr>
              <w:spacing w:after="0"/>
              <w:rPr>
                <w:sz w:val="24"/>
                <w:szCs w:val="24"/>
                <w:color w:val="auto"/>
              </w:rPr>
            </w:pPr>
          </w:p>
        </w:tc>
        <w:tc>
          <w:tcPr>
            <w:tcW w:w="3820" w:type="dxa"/>
            <w:vAlign w:val="bottom"/>
            <w:gridSpan w:val="2"/>
          </w:tcPr>
          <w:p>
            <w:pPr>
              <w:jc w:val="center"/>
              <w:ind w:right="245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00" w:type="dxa"/>
            <w:vAlign w:val="bottom"/>
            <w:gridSpan w:val="3"/>
          </w:tcPr>
          <w:p>
            <w:pPr>
              <w:jc w:val="center"/>
              <w:ind w:left="1077"/>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520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   to be Registered </w:t>
            </w:r>
          </w:p>
        </w:tc>
        <w:tc>
          <w:tcPr>
            <w:tcW w:w="1460" w:type="dxa"/>
            <w:vAlign w:val="bottom"/>
          </w:tcPr>
          <w:p>
            <w:pPr>
              <w:spacing w:after="0"/>
              <w:rPr>
                <w:sz w:val="15"/>
                <w:szCs w:val="15"/>
                <w:color w:val="auto"/>
              </w:rPr>
            </w:pPr>
          </w:p>
        </w:tc>
        <w:tc>
          <w:tcPr>
            <w:tcW w:w="214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r>
      <w:tr>
        <w:trPr>
          <w:trHeight w:val="232"/>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Common</w:t>
            </w: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par value</w:t>
            </w:r>
          </w:p>
        </w:tc>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$0.0001 per share</w:t>
            </w:r>
          </w:p>
        </w:tc>
        <w:tc>
          <w:tcPr>
            <w:tcW w:w="146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w w:val="93"/>
              </w:rPr>
              <w:t>The</w:t>
            </w:r>
          </w:p>
        </w:tc>
        <w:tc>
          <w:tcPr>
            <w:tcW w:w="1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Nasdaq Stock Market</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75"/>
              </w:rPr>
              <w:t>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208915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or Regulation A offering statement file number to which this form relates: 333-292778</w:t>
      </w:r>
    </w:p>
    <w:p>
      <w:pPr>
        <w:spacing w:after="0" w:line="225"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191135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234315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80"/>
          </w:cols>
          <w:pgMar w:left="440" w:top="520" w:right="11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Description of Registrant’s Securities to be Registered.</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 description of the Class A common stock, $0.0001 par value per share, of SOLV Energy, Inc., a Delaware corporation (the “Registrant”), to be registered hereunder is contained in the section entitled “Description of Capital Stock” in the prospectus forming part of the Registrant’s Registration Statement on Form S-1 (File. No. 333-292778) initially filed with the Securities and Exchange Commission (the “SEC”) on January 16, 2026, including exhibits, and as may be subsequently amended from time to time (the “Registration Statement”), is incorporated by reference herein. In addition, any prospectus subsequently filed by the Registrant with the SEC pursuant to Rule 424(b) under the Securities Act of 1933, as amended, that constitutes part of the Registration Statement shall be deemed to be incorporated by reference herein.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Instructions as to Exhibits with respect to Form 8-A, no exhibits are required to be filed with this registration statement because no securities of the Registrant other than the Class A Common Stock is to be registered on the Nasdaq Stock Market LLC and the securities to be registered hereby are not being registered pursuant to Section 12(g) of the Securities Exchange Act of 1934, as amended.</w:t>
      </w:r>
    </w:p>
    <w:p>
      <w:pPr>
        <w:sectPr>
          <w:pgSz w:w="11900" w:h="16838" w:orient="portrait"/>
          <w:cols w:equalWidth="0" w:num="1">
            <w:col w:w="10980"/>
          </w:cols>
          <w:pgMar w:left="440" w:top="266"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SOLV ENERGY,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11, 2026</w:t>
            </w: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Forman</w:t>
            </w:r>
          </w:p>
        </w:tc>
      </w:tr>
      <w:tr>
        <w:trPr>
          <w:trHeight w:val="205"/>
        </w:trPr>
        <w:tc>
          <w:tcPr>
            <w:tcW w:w="364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Adam Forman</w:t>
            </w:r>
          </w:p>
        </w:tc>
      </w:tr>
      <w:tr>
        <w:trPr>
          <w:trHeight w:val="234"/>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2026-02-11T06:17:57Z</dcterms:created>
  <dcterms:modified xsi:type="dcterms:W3CDTF">2026-02-11T06:17:57Z</dcterms:modified>
</cp:coreProperties>
</file>