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4584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8406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Pearson Brandi Michelle</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SOLV ENERGY,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16680 WEST BERNARDO DRIVE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SOLV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MWH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895"/>
        <w:spacing w:after="0"/>
        <w:rPr>
          <w:sz w:val="20"/>
          <w:szCs w:val="20"/>
          <w:color w:val="auto"/>
        </w:rPr>
      </w:pPr>
      <w:r>
        <w:rPr>
          <w:rFonts w:ascii="Times New Roman" w:cs="Times New Roman" w:eastAsia="Times New Roman" w:hAnsi="Times New Roman"/>
          <w:sz w:val="16"/>
          <w:szCs w:val="16"/>
          <w:color w:val="0000FF"/>
        </w:rPr>
        <w:t>Chief People Officer</w:t>
      </w:r>
    </w:p>
    <w:p>
      <w:pPr>
        <w:spacing w:after="0" w:line="393"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72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9"/>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tcPr>
          <w:p>
            <w:pPr>
              <w:spacing w:after="0"/>
              <w:rPr>
                <w:sz w:val="9"/>
                <w:szCs w:val="9"/>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92127</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2"/>
          </w:tcPr>
          <w:p>
            <w:pPr>
              <w:ind w:left="7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4"/>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9"/>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9"/>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6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w w:val="96"/>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SOLV</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Energy</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w w:val="93"/>
              </w:rPr>
              <w:t>(1)(2)</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6,059</w:t>
            </w:r>
            <w:r>
              <w:rPr>
                <w:rFonts w:ascii="Times New Roman" w:cs="Times New Roman" w:eastAsia="Times New Roman" w:hAnsi="Times New Roman"/>
                <w:sz w:val="21"/>
                <w:szCs w:val="21"/>
                <w:color w:val="008000"/>
                <w:vertAlign w:val="superscript"/>
              </w:rPr>
              <w:t>(3)</w:t>
            </w: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(1)(2)</w:t>
            </w:r>
          </w:p>
        </w:tc>
        <w:tc>
          <w:tcPr>
            <w:tcW w:w="66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9"/>
              </w:rPr>
              <w:t>6,059</w:t>
            </w:r>
            <w:r>
              <w:rPr>
                <w:rFonts w:ascii="Times New Roman" w:cs="Times New Roman" w:eastAsia="Times New Roman" w:hAnsi="Times New Roman"/>
                <w:sz w:val="21"/>
                <w:szCs w:val="21"/>
                <w:color w:val="008000"/>
                <w:w w:val="99"/>
                <w:vertAlign w:val="superscript"/>
              </w:rPr>
              <w:t>(3)</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Management</w:t>
            </w:r>
          </w:p>
        </w:tc>
        <w:tc>
          <w:tcPr>
            <w:tcW w:w="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ind w:left="220"/>
              <w:spacing w:after="0" w:line="139" w:lineRule="exact"/>
              <w:rPr>
                <w:sz w:val="20"/>
                <w:szCs w:val="20"/>
                <w:color w:val="auto"/>
              </w:rPr>
            </w:pPr>
            <w:r>
              <w:rPr>
                <w:rFonts w:ascii="Times New Roman" w:cs="Times New Roman" w:eastAsia="Times New Roman" w:hAnsi="Times New Roman"/>
                <w:sz w:val="13"/>
                <w:szCs w:val="13"/>
                <w:color w:val="0000FF"/>
              </w:rPr>
              <w:t>06/04/2026</w:t>
            </w: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9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3"/>
                <w:szCs w:val="13"/>
                <w:color w:val="0000FF"/>
              </w:rPr>
              <w:t>435,118</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Holdings LP</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jc w:val="both"/>
        <w:ind w:left="40" w:right="280" w:hanging="1"/>
        <w:spacing w:after="0" w:line="233"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("MH LPA") of SOLV Energy Management Holdings LP ("MH") and limited liability company agreement ("Opco LLCA") of SOLV Energy Holdings LLC ("Opco"), the Reporting Person is indirectly entitled to redeem common units of Opco ("Opco LLC Interests") held by MH for, at the Issuer's election, shares of Class A common stock of the Issuer ("Class A common stock") on a one-for-one basis or, using proceeds from a substantially contemporaneous follow-on offering or secondary offering, a cash payment equal to the price per share of the Class A common stock net of any underwriting discounts or commissions paid in such offering, in each case in accordance with the terms of the MH LPA and the Opco LLCA.</w:t>
      </w:r>
    </w:p>
    <w:p>
      <w:pPr>
        <w:spacing w:after="0" w:line="27"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Upon a redemption of Opco LLC Interests by MH, an equal number of shares of Class B common stock of the Issuer held by MH will be surrendered to and cancelled by the Issuer for no additional consideration, and an equal number of limited partnership units in MH ("MH Units") held by the Reporting Person will be cancelled by MH. In accordance with the MH LPA, each share of Class B common stock held by MH entitles the Reporting Person to one vote per share but carries no economic rights. Opco LLC Interests and MH Units do not have an expiration date.</w:t>
      </w:r>
    </w:p>
    <w:p>
      <w:pPr>
        <w:spacing w:after="0" w:line="25" w:lineRule="exact"/>
        <w:rPr>
          <w:rFonts w:ascii="Times New Roman" w:cs="Times New Roman" w:eastAsia="Times New Roman" w:hAnsi="Times New Roman"/>
          <w:sz w:val="13"/>
          <w:szCs w:val="13"/>
          <w:color w:val="008000"/>
        </w:rPr>
      </w:pPr>
    </w:p>
    <w:p>
      <w:pPr>
        <w:ind w:left="40" w:right="280" w:hanging="1"/>
        <w:spacing w:after="0" w:line="233"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MH LPA and Opco LLCA, represents the required, automatic and non-discretionary pro rata direct redemption for cash of 6,059 MH Units held by the Reporting Person (and the corresponding (i) surrender of an equal number of Opco LLC Interests held by MH and (ii) cancellation of an equal number of shares of Class B common stock of the Issuer held by MH) as a result of the full exercise of the underwriters' option to purchase additional shares of Class A common stock in connection with the public offering of Class A common stock by affiliates of American Securities LLC and the Issuer pursuant to the prospectus dated May 28, 2026, and accompanying registration statement on Form S-1 (File No. 333-296238), of the Issuer (the "Follow-On Offering").</w:t>
      </w:r>
    </w:p>
    <w:p>
      <w:pPr>
        <w:spacing w:after="0" w:line="27"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price per MH Unit equal to the public offering price in the Follow-On Offering of $36.00 per share of Class A common stock, net of underwriting discounts and commissions.</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Adam S. Forman,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06/05/2026</w:t>
            </w:r>
          </w:p>
        </w:tc>
        <w:tc>
          <w:tcPr>
            <w:tcW w:w="0" w:type="dxa"/>
            <w:vAlign w:val="bottom"/>
          </w:tcPr>
          <w:p>
            <w:pPr>
              <w:spacing w:after="0"/>
              <w:rPr>
                <w:sz w:val="1"/>
                <w:szCs w:val="1"/>
                <w:color w:val="auto"/>
              </w:rPr>
            </w:pPr>
          </w:p>
        </w:tc>
      </w:tr>
      <w:tr>
        <w:trPr>
          <w:trHeight w:val="86"/>
        </w:trPr>
        <w:tc>
          <w:tcPr>
            <w:tcW w:w="2000" w:type="dxa"/>
            <w:vAlign w:val="bottom"/>
            <w:tcBorders>
              <w:top w:val="single" w:sz="8" w:color="auto"/>
              <w:bottom w:val="single" w:sz="8" w:color="auto"/>
            </w:tcBorders>
            <w:gridSpan w:val="2"/>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in-fact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09254" TargetMode="External"/><Relationship Id="rId14" Type="http://schemas.openxmlformats.org/officeDocument/2006/relationships/hyperlink" Target="http://www.sec.gov/cgi-bin/browse-edgar?action=getcompany&amp;CIK=000206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2026-06-05T15:54:44Z</dcterms:created>
  <dcterms:modified xsi:type="dcterms:W3CDTF">2026-06-05T15:54:44Z</dcterms:modified>
</cp:coreProperties>
</file>