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February 10, 2026</w:t>
      </w:r>
    </w:p>
    <w:p>
      <w:pPr>
        <w:spacing w:after="0" w:line="32"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7"/>
          <w:szCs w:val="17"/>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67100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6710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210820</wp:posOffset>
            </wp:positionV>
            <wp:extent cx="1414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39"/>
        <w:spacing w:after="0" w:line="231"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210820</wp:posOffset>
            </wp:positionV>
            <wp:extent cx="1414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1"/>
          <w:szCs w:val="41"/>
          <w:b w:val="1"/>
          <w:bCs w:val="1"/>
          <w:color w:val="auto"/>
        </w:rPr>
        <w:t>SOLV Energy, Inc.</w:t>
      </w:r>
    </w:p>
    <w:p>
      <w:pPr>
        <w:spacing w:after="0" w:line="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228600</wp:posOffset>
            </wp:positionV>
            <wp:extent cx="1414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tbl>
      <w:tblPr>
        <w:tblLayout w:type="fixed"/>
        <w:tblInd w:w="1760" w:type="dxa"/>
        <w:tblCellMar>
          <w:top w:w="0" w:type="dxa"/>
          <w:left w:w="0" w:type="dxa"/>
          <w:bottom w:w="0" w:type="dxa"/>
          <w:right w:w="0" w:type="dxa"/>
        </w:tblCellMar>
      </w:tblPr>
      <w:tr>
        <w:trPr>
          <w:trHeight w:val="203"/>
        </w:trPr>
        <w:tc>
          <w:tcPr>
            <w:tcW w:w="3760" w:type="dxa"/>
            <w:vAlign w:val="bottom"/>
          </w:tcPr>
          <w:p>
            <w:pPr>
              <w:jc w:val="center"/>
              <w:ind w:right="1865"/>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020" w:type="dxa"/>
            <w:vAlign w:val="bottom"/>
          </w:tcPr>
          <w:p>
            <w:pPr>
              <w:jc w:val="center"/>
              <w:ind w:left="1865"/>
              <w:spacing w:after="0"/>
              <w:rPr>
                <w:sz w:val="20"/>
                <w:szCs w:val="20"/>
                <w:color w:val="auto"/>
              </w:rPr>
            </w:pPr>
            <w:r>
              <w:rPr>
                <w:rFonts w:ascii="Times New Roman" w:cs="Times New Roman" w:eastAsia="Times New Roman" w:hAnsi="Times New Roman"/>
                <w:sz w:val="17"/>
                <w:szCs w:val="17"/>
                <w:b w:val="1"/>
                <w:bCs w:val="1"/>
                <w:color w:val="auto"/>
              </w:rPr>
              <w:t>33-4537250</w:t>
            </w:r>
          </w:p>
        </w:tc>
      </w:tr>
      <w:tr>
        <w:trPr>
          <w:trHeight w:val="142"/>
        </w:trPr>
        <w:tc>
          <w:tcPr>
            <w:tcW w:w="3760" w:type="dxa"/>
            <w:vAlign w:val="bottom"/>
          </w:tcPr>
          <w:p>
            <w:pPr>
              <w:jc w:val="center"/>
              <w:ind w:right="1865"/>
              <w:spacing w:after="0" w:line="143"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3020" w:type="dxa"/>
            <w:vAlign w:val="bottom"/>
          </w:tcPr>
          <w:p>
            <w:pPr>
              <w:jc w:val="center"/>
              <w:ind w:left="1865"/>
              <w:spacing w:after="0" w:line="143"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3"/>
        </w:trPr>
        <w:tc>
          <w:tcPr>
            <w:tcW w:w="3760" w:type="dxa"/>
            <w:vAlign w:val="bottom"/>
          </w:tcPr>
          <w:p>
            <w:pPr>
              <w:jc w:val="center"/>
              <w:ind w:right="1885"/>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3020" w:type="dxa"/>
            <w:vAlign w:val="bottom"/>
          </w:tcPr>
          <w:p>
            <w:pPr>
              <w:jc w:val="center"/>
              <w:ind w:left="1865"/>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bl>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16680 West Bernardo Drive</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San Diego, CA</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(858) 251-4888</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SOLV Energy, Inc. 2026 Equity Incentive Plan</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Plan)</w:t>
      </w:r>
    </w:p>
    <w:p>
      <w:pPr>
        <w:spacing w:after="0" w:line="1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Adam Forman</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Chief Legal Officer</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16680 West Bernardo Drive</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San Diego, CA 92127</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(858) 251-4888</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1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Alexander D. Lynch</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Ashley J. Butler</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Weil, Gotshal &amp; Manges LLP</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767 Fifth Avenue</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New York, New York 10153</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(212) 310-8000 (Phone)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229235</wp:posOffset>
            </wp:positionV>
            <wp:extent cx="1414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32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980"/>
              <w:spacing w:after="0"/>
              <w:rPr>
                <w:sz w:val="20"/>
                <w:szCs w:val="20"/>
                <w:color w:val="auto"/>
              </w:rPr>
            </w:pPr>
            <w:r>
              <w:rPr>
                <w:rFonts w:ascii="Times New Roman" w:cs="Times New Roman" w:eastAsia="Times New Roman" w:hAnsi="Times New Roman"/>
                <w:sz w:val="17"/>
                <w:szCs w:val="17"/>
                <w:color w:val="auto"/>
              </w:rPr>
              <w:t>Accelerated filer</w:t>
            </w:r>
          </w:p>
        </w:tc>
        <w:tc>
          <w:tcPr>
            <w:tcW w:w="38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32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9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8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080" w:type="dxa"/>
            <w:vAlign w:val="bottom"/>
          </w:tcPr>
          <w:p>
            <w:pPr>
              <w:ind w:left="2980"/>
              <w:spacing w:after="0"/>
              <w:rPr>
                <w:sz w:val="20"/>
                <w:szCs w:val="20"/>
                <w:color w:val="auto"/>
              </w:rPr>
            </w:pPr>
            <w:r>
              <w:rPr>
                <w:rFonts w:ascii="Times New Roman" w:cs="Times New Roman" w:eastAsia="Times New Roman" w:hAnsi="Times New Roman"/>
                <w:sz w:val="17"/>
                <w:szCs w:val="17"/>
                <w:color w:val="auto"/>
              </w:rPr>
              <w:t>Emerging growth company</w:t>
            </w:r>
          </w:p>
        </w:tc>
        <w:tc>
          <w:tcPr>
            <w:tcW w:w="38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63" w:lineRule="exact"/>
        <w:rPr>
          <w:sz w:val="24"/>
          <w:szCs w:val="24"/>
          <w:color w:val="auto"/>
        </w:rPr>
      </w:pPr>
    </w:p>
    <w:p>
      <w:pPr>
        <w:ind w:right="24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6710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6710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ectPr>
          <w:pgSz w:w="11900" w:h="16838" w:orient="portrait"/>
          <w:cols w:equalWidth="0" w:num="1">
            <w:col w:w="10520"/>
          </w:cols>
          <w:pgMar w:left="660" w:top="223" w:right="7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EXPLANATORY NOTE</w:t>
      </w:r>
    </w:p>
    <w:p>
      <w:pPr>
        <w:spacing w:after="0" w:line="221" w:lineRule="exact"/>
        <w:rPr>
          <w:sz w:val="20"/>
          <w:szCs w:val="20"/>
          <w:color w:val="auto"/>
        </w:rPr>
      </w:pPr>
    </w:p>
    <w:p>
      <w:pPr>
        <w:jc w:val="both"/>
        <w:ind w:right="240" w:firstLine="422"/>
        <w:spacing w:after="0" w:line="273" w:lineRule="auto"/>
        <w:rPr>
          <w:sz w:val="20"/>
          <w:szCs w:val="20"/>
          <w:color w:val="auto"/>
        </w:rPr>
      </w:pPr>
      <w:r>
        <w:rPr>
          <w:rFonts w:ascii="Times New Roman" w:cs="Times New Roman" w:eastAsia="Times New Roman" w:hAnsi="Times New Roman"/>
          <w:sz w:val="17"/>
          <w:szCs w:val="17"/>
          <w:color w:val="auto"/>
        </w:rPr>
        <w:t>This Registration Statement on Form S-8 (the “Registration Statement”) registers shares of Class A common stock, par value $0.0001 per share (“Class A Common Stock”) of SOLV Energy, Inc. (the “Registrant”) that may be issued and sold under the SOLV Energy, Inc. 2026 Equity Incentive Plan (the “Plan”).</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INFORMATION REQUIRED IN THE SECTION 10(a) PROSPECTUS</w:t>
      </w:r>
    </w:p>
    <w:p>
      <w:pPr>
        <w:spacing w:after="0" w:line="221" w:lineRule="exact"/>
        <w:rPr>
          <w:sz w:val="20"/>
          <w:szCs w:val="20"/>
          <w:color w:val="auto"/>
        </w:rPr>
      </w:pPr>
    </w:p>
    <w:p>
      <w:pPr>
        <w:ind w:firstLine="422"/>
        <w:spacing w:after="0" w:line="266" w:lineRule="auto"/>
        <w:rPr>
          <w:sz w:val="20"/>
          <w:szCs w:val="20"/>
          <w:color w:val="auto"/>
        </w:rPr>
      </w:pPr>
      <w:r>
        <w:rPr>
          <w:rFonts w:ascii="Times New Roman" w:cs="Times New Roman" w:eastAsia="Times New Roman" w:hAnsi="Times New Roman"/>
          <w:sz w:val="17"/>
          <w:szCs w:val="17"/>
          <w:color w:val="auto"/>
        </w:rPr>
        <w:t>The documents containing the information specified in Item 1 and Item 2 of Part I of Form S-8 will be sent or given to employees as specified by Rule 428(b)(1) under the Securities Act of 1933, as amended (the “Securities Act”). In accordance with the rules and regulations of the U.S. Securities and Exchange Commission (the “Commission”) and the instructions to Form S-8, such documents are not being filed with the Commission either as part of this Registration Statement or as prospectuses or prospectus supplements pursuant to Rule 424 under the Securities Act.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Incorporation of Documents by Reference.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Registrant hereby incorporates by reference into this Registration Statement the following documents previously filed with the Commission:</w:t>
      </w:r>
    </w:p>
    <w:p>
      <w:pPr>
        <w:spacing w:after="0" w:line="128" w:lineRule="exact"/>
        <w:rPr>
          <w:sz w:val="20"/>
          <w:szCs w:val="20"/>
          <w:color w:val="auto"/>
        </w:rPr>
      </w:pPr>
    </w:p>
    <w:p>
      <w:pPr>
        <w:ind w:left="1360" w:right="140" w:hanging="311"/>
        <w:spacing w:after="0" w:line="291" w:lineRule="auto"/>
        <w:tabs>
          <w:tab w:leader="none" w:pos="13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 No. 2 to the Registrant’s Registration Statement on Form S-1, filed on </w:t>
      </w:r>
      <w:hyperlink r:id="rId17">
        <w:r>
          <w:rPr>
            <w:rFonts w:ascii="Times New Roman" w:cs="Times New Roman" w:eastAsia="Times New Roman" w:hAnsi="Times New Roman"/>
            <w:sz w:val="17"/>
            <w:szCs w:val="17"/>
            <w:u w:val="single" w:color="auto"/>
            <w:color w:val="0000EE"/>
          </w:rPr>
          <w:t>January 30, 2026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 No. 333-292778), which contains audited financial statements for the Registrant’s latest fiscal year for which such statements have been filed;</w:t>
      </w:r>
    </w:p>
    <w:p>
      <w:pPr>
        <w:spacing w:after="0" w:line="56" w:lineRule="exact"/>
        <w:rPr>
          <w:rFonts w:ascii="Times New Roman" w:cs="Times New Roman" w:eastAsia="Times New Roman" w:hAnsi="Times New Roman"/>
          <w:sz w:val="17"/>
          <w:szCs w:val="17"/>
          <w:color w:val="auto"/>
        </w:rPr>
      </w:pPr>
    </w:p>
    <w:p>
      <w:pPr>
        <w:ind w:left="1360" w:right="180" w:hanging="311"/>
        <w:spacing w:after="0" w:line="273" w:lineRule="auto"/>
        <w:tabs>
          <w:tab w:leader="none" w:pos="13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Registrant’s prospectus dated February 10, 2026 to be filed with the Commission pursuant to Rule 424(b) under the Securities Act, in connection with the Registrant’s Registration Statement on Form S-1 (File No. 333-292778), as originally filed by the Registrant on </w:t>
      </w:r>
      <w:hyperlink r:id="rId18">
        <w:r>
          <w:rPr>
            <w:rFonts w:ascii="Times New Roman" w:cs="Times New Roman" w:eastAsia="Times New Roman" w:hAnsi="Times New Roman"/>
            <w:sz w:val="17"/>
            <w:szCs w:val="17"/>
            <w:u w:val="single" w:color="auto"/>
            <w:color w:val="0000EE"/>
          </w:rPr>
          <w:t>January 16, 2026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and subsequently amended; and</w:t>
      </w:r>
    </w:p>
    <w:p>
      <w:pPr>
        <w:spacing w:after="0" w:line="71" w:lineRule="exact"/>
        <w:rPr>
          <w:rFonts w:ascii="Times New Roman" w:cs="Times New Roman" w:eastAsia="Times New Roman" w:hAnsi="Times New Roman"/>
          <w:sz w:val="17"/>
          <w:szCs w:val="17"/>
          <w:color w:val="auto"/>
        </w:rPr>
      </w:pPr>
    </w:p>
    <w:p>
      <w:pPr>
        <w:ind w:left="1360" w:hanging="311"/>
        <w:spacing w:after="0"/>
        <w:tabs>
          <w:tab w:leader="none" w:pos="13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description of the Class A Common Stock contained in the Registrant’s Registration Statement on Form S-1 (File</w:t>
      </w:r>
    </w:p>
    <w:p>
      <w:pPr>
        <w:spacing w:after="0" w:line="30" w:lineRule="exact"/>
        <w:rPr>
          <w:rFonts w:ascii="Times New Roman" w:cs="Times New Roman" w:eastAsia="Times New Roman" w:hAnsi="Times New Roman"/>
          <w:sz w:val="17"/>
          <w:szCs w:val="17"/>
          <w:color w:val="auto"/>
        </w:rPr>
      </w:pPr>
    </w:p>
    <w:p>
      <w:pPr>
        <w:ind w:left="1360" w:right="20"/>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333-292778), as originally filed by the Registrant on </w:t>
      </w:r>
      <w:hyperlink r:id="rId18">
        <w:r>
          <w:rPr>
            <w:rFonts w:ascii="Times New Roman" w:cs="Times New Roman" w:eastAsia="Times New Roman" w:hAnsi="Times New Roman"/>
            <w:sz w:val="17"/>
            <w:szCs w:val="17"/>
            <w:u w:val="single" w:color="auto"/>
            <w:color w:val="0000EE"/>
          </w:rPr>
          <w:t>January 16, 2026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and subsequently amended and any amendment or report filed for the purpose of further updating such description.</w:t>
      </w:r>
    </w:p>
    <w:p>
      <w:pPr>
        <w:spacing w:after="0" w:line="166" w:lineRule="exact"/>
        <w:rPr>
          <w:rFonts w:ascii="Times New Roman" w:cs="Times New Roman" w:eastAsia="Times New Roman" w:hAnsi="Times New Roman"/>
          <w:sz w:val="17"/>
          <w:szCs w:val="17"/>
          <w:color w:val="auto"/>
        </w:rPr>
      </w:pPr>
    </w:p>
    <w:p>
      <w:pPr>
        <w:ind w:right="20" w:firstLine="422"/>
        <w:spacing w:after="0" w:line="261" w:lineRule="auto"/>
        <w:rPr>
          <w:sz w:val="20"/>
          <w:szCs w:val="20"/>
          <w:color w:val="auto"/>
        </w:rPr>
      </w:pPr>
      <w:r>
        <w:rPr>
          <w:rFonts w:ascii="Times New Roman" w:cs="Times New Roman" w:eastAsia="Times New Roman" w:hAnsi="Times New Roman"/>
          <w:sz w:val="17"/>
          <w:szCs w:val="17"/>
          <w:color w:val="auto"/>
        </w:rPr>
        <w:t>All documents subsequently filed by the Registrant with the Commission pursuant to Sections 13(a), 13(c), 14 and 15(d) of the Securities Exchange Act of 1934, as amended (the “Exchange Act”), on or after the date of this Registration Statement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and to be a part hereof from the date of filing of such documents with the Commission. Unless expressly incorporated into this Registration Statement, a report (or portion thereof) furnished on Form 8-K prior or subsequent to the date hereof shall not be incorporated by reference into this Registration Statement.</w:t>
      </w:r>
    </w:p>
    <w:p>
      <w:pPr>
        <w:spacing w:after="0" w:line="175" w:lineRule="exact"/>
        <w:rPr>
          <w:rFonts w:ascii="Times New Roman" w:cs="Times New Roman" w:eastAsia="Times New Roman" w:hAnsi="Times New Roman"/>
          <w:sz w:val="17"/>
          <w:szCs w:val="17"/>
          <w:color w:val="auto"/>
        </w:rPr>
      </w:pPr>
    </w:p>
    <w:p>
      <w:pPr>
        <w:ind w:right="100" w:firstLine="422"/>
        <w:spacing w:after="0" w:line="263" w:lineRule="auto"/>
        <w:rPr>
          <w:sz w:val="20"/>
          <w:szCs w:val="20"/>
          <w:color w:val="auto"/>
        </w:rPr>
      </w:pPr>
      <w:r>
        <w:rPr>
          <w:rFonts w:ascii="Times New Roman" w:cs="Times New Roman" w:eastAsia="Times New Roman" w:hAnsi="Times New Roman"/>
          <w:sz w:val="17"/>
          <w:szCs w:val="17"/>
          <w:color w:val="auto"/>
        </w:rPr>
        <w:t>Any statement contained in a document incorporated by reference herein shall be deemed to be modified or superseded for purposes hereof to the extent that a statement contained herein (or in any subsequently filed document which also is incorporated by reference herein or any document which constitutes part of the prospectus relating to the Plan meeting the requirements of Section 10(a) of the Securities Act) modifies or supersedes such statement. Any statement so modified or superseded shall not be deemed, except as so modified or superseded, to constitute a part of this Registration Statement.</w:t>
      </w:r>
    </w:p>
    <w:p>
      <w:pPr>
        <w:spacing w:after="0" w:line="107"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560"/>
          </w:cols>
          <w:pgMar w:left="660" w:top="262" w:right="6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Item 4. Description of Securities.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Not applicable.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Interests of Named Experts and Counsel.</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None.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Indemnification of Directors and Officers.</w:t>
      </w:r>
    </w:p>
    <w:p>
      <w:pPr>
        <w:spacing w:after="0" w:line="117" w:lineRule="exact"/>
        <w:rPr>
          <w:sz w:val="20"/>
          <w:szCs w:val="20"/>
          <w:color w:val="auto"/>
        </w:rPr>
      </w:pPr>
    </w:p>
    <w:p>
      <w:pPr>
        <w:ind w:right="60" w:firstLine="422"/>
        <w:spacing w:after="0" w:line="259" w:lineRule="auto"/>
        <w:rPr>
          <w:sz w:val="20"/>
          <w:szCs w:val="20"/>
          <w:color w:val="auto"/>
        </w:rPr>
      </w:pPr>
      <w:r>
        <w:rPr>
          <w:rFonts w:ascii="Times New Roman" w:cs="Times New Roman" w:eastAsia="Times New Roman" w:hAnsi="Times New Roman"/>
          <w:sz w:val="17"/>
          <w:szCs w:val="17"/>
          <w:color w:val="auto"/>
        </w:rPr>
        <w:t>Section 102 of the Delaware General Corporation Law (“DGCL”) allows a corporation to provide in its certificate of incorporation that a director or officer of the corporation will not be personally liable to the corporation or its stockholders for monetary damages for breach of fiduciary duty as a director or officer, except where the director or officer breached the duty of loyalty, failed to act in good faith, engaged in intentional misconduct or knowingly violated a law, authorized the payment of a dividend or approved a stock repurchase or redemption in violation of Delaware corporate law, obtained an improper personal benefit or, with respect to an officer only, in any action by or in the right of the corporation. The Registrant’s amended and restated certificate of incorporation provides that no director or officer of the Registrant shall be personally liable to it or its stockholders for monetary damages for any breach of fiduciary duty as a director or officer, as applicable, to the fullest extent permitted by applicable law as it may be amended.</w:t>
      </w:r>
    </w:p>
    <w:p>
      <w:pPr>
        <w:spacing w:after="0" w:line="177" w:lineRule="exact"/>
        <w:rPr>
          <w:sz w:val="20"/>
          <w:szCs w:val="20"/>
          <w:color w:val="auto"/>
        </w:rPr>
      </w:pPr>
    </w:p>
    <w:p>
      <w:pPr>
        <w:ind w:right="20" w:firstLine="422"/>
        <w:spacing w:after="0" w:line="258" w:lineRule="auto"/>
        <w:rPr>
          <w:sz w:val="20"/>
          <w:szCs w:val="20"/>
          <w:color w:val="auto"/>
        </w:rPr>
      </w:pPr>
      <w:r>
        <w:rPr>
          <w:rFonts w:ascii="Times New Roman" w:cs="Times New Roman" w:eastAsia="Times New Roman" w:hAnsi="Times New Roman"/>
          <w:sz w:val="17"/>
          <w:szCs w:val="17"/>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(and, with respect to actions other than actions brought by or in the right of the corporation, judgments, fines and amounts paid in settlement) actually and reasonably incurred by the person in connection with an action, suit or proceeding to which he or she was or is a party or is threatened to be made a party to any threatened, pending or completed action, suit or proceeding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Delaware Court of Chancery or other adjudicating court determines that, despite the adjudication of liability but in view of all of the circumstances of the case, such person is fairly and reasonably entitled to indemnity for such expenses which the Delaware Court of Chancery or such other court shall deem proper.</w:t>
      </w:r>
    </w:p>
    <w:p>
      <w:pPr>
        <w:spacing w:after="0" w:line="175" w:lineRule="exact"/>
        <w:rPr>
          <w:sz w:val="20"/>
          <w:szCs w:val="20"/>
          <w:color w:val="auto"/>
        </w:rPr>
      </w:pPr>
    </w:p>
    <w:p>
      <w:pPr>
        <w:ind w:firstLine="422"/>
        <w:spacing w:after="0" w:line="258" w:lineRule="auto"/>
        <w:rPr>
          <w:sz w:val="20"/>
          <w:szCs w:val="20"/>
          <w:color w:val="auto"/>
        </w:rPr>
      </w:pPr>
      <w:r>
        <w:rPr>
          <w:rFonts w:ascii="Times New Roman" w:cs="Times New Roman" w:eastAsia="Times New Roman" w:hAnsi="Times New Roman"/>
          <w:sz w:val="17"/>
          <w:szCs w:val="17"/>
          <w:color w:val="auto"/>
        </w:rPr>
        <w:t>The Registrant’s amended and restated bylaws authorize the indemnification of our officers and directors, to the fullest extent permitted by applicable law, any person (“Covered Person”) who was or is made or is threatened to be made a party or is otherwise involved in any action, suit or proceeding, whether civil, criminal, administrative or investigative, by reason of the fact that he or she, or a person for whom he or she is the legal representative, is or was a director or officer of the Registrant or, while a director or officer of the Registrant, is or was serving at the request of the Registrant as a director, officer, employee or agent of another corporation or of a partnership, limited liability company,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Covered Person. Notwithstanding the preceding sentence, except as otherwise provided in the Registrant’s amended and restated bylaws, the Registrant shall be required to indemnify a Covered Person in connection with a proceeding (or part thereof) commenced by such Covered Person only if the commencement of such proceeding (or part thereof) by the Covered Person was authorized in the specific case by the board of directors.</w:t>
      </w:r>
    </w:p>
    <w:p>
      <w:pPr>
        <w:spacing w:after="0" w:line="178" w:lineRule="exact"/>
        <w:rPr>
          <w:sz w:val="20"/>
          <w:szCs w:val="20"/>
          <w:color w:val="auto"/>
        </w:rPr>
      </w:pPr>
    </w:p>
    <w:p>
      <w:pPr>
        <w:ind w:firstLine="422"/>
        <w:spacing w:after="0" w:line="266" w:lineRule="auto"/>
        <w:rPr>
          <w:sz w:val="20"/>
          <w:szCs w:val="20"/>
          <w:color w:val="auto"/>
        </w:rPr>
      </w:pPr>
      <w:r>
        <w:rPr>
          <w:rFonts w:ascii="Times New Roman" w:cs="Times New Roman" w:eastAsia="Times New Roman" w:hAnsi="Times New Roman"/>
          <w:sz w:val="17"/>
          <w:szCs w:val="17"/>
          <w:color w:val="auto"/>
        </w:rPr>
        <w:t>The Registrant has entered into indemnification agreements with each of its executive officers and directors. These agreements, among other things, require the Registrant to indemnify each executive officer and director to the fullest extent permitted by Delaware law, including indemnification of expenses, such as attorneys’ fees, judgments, fines and settlement amounts incurred by the director or executive officer in any action or proceeding, including any action or proceeding by or in right of the Registrant, arising out of the person’s services as a director or executive officer.</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520"/>
          </w:cols>
          <w:pgMar w:left="660" w:top="262" w:right="719" w:bottom="1440" w:gutter="0" w:footer="0" w:header="0"/>
        </w:sectPr>
      </w:pPr>
    </w:p>
    <w:bookmarkStart w:id="3" w:name="page4"/>
    <w:bookmarkEnd w:id="3"/>
    <w:p>
      <w:pPr>
        <w:ind w:right="100" w:firstLine="422"/>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The Registrant maintains standard policies of insurance that provide coverage (i) to the Registrant’s directors and officers against loss rising from claims made by reason of breach of duty or other wrongful act and (ii) to the Registrant with respect to indemnification payments that it may make to such directors and officers.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Exemption from Registration Claimed.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Not applicable.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w w:val="96"/>
              </w:rPr>
              <w:t>Exhibit</w:t>
            </w:r>
          </w:p>
        </w:tc>
        <w:tc>
          <w:tcPr>
            <w:tcW w:w="4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740" w:type="dxa"/>
            <w:vAlign w:val="bottom"/>
            <w:gridSpan w:val="8"/>
            <w:vMerge w:val="restart"/>
          </w:tcPr>
          <w:p>
            <w:pPr>
              <w:ind w:left="66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65"/>
        </w:trPr>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w:t>
            </w:r>
          </w:p>
        </w:tc>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74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3.1</w:t>
            </w:r>
          </w:p>
        </w:tc>
        <w:tc>
          <w:tcPr>
            <w:tcW w:w="400" w:type="dxa"/>
            <w:vAlign w:val="bottom"/>
          </w:tcPr>
          <w:p>
            <w:pPr>
              <w:spacing w:after="0"/>
              <w:rPr>
                <w:sz w:val="23"/>
                <w:szCs w:val="23"/>
                <w:color w:val="auto"/>
              </w:rPr>
            </w:pPr>
          </w:p>
        </w:tc>
        <w:tc>
          <w:tcPr>
            <w:tcW w:w="9640" w:type="dxa"/>
            <w:vAlign w:val="bottom"/>
            <w:gridSpan w:val="12"/>
          </w:tcPr>
          <w:p>
            <w:pPr>
              <w:spacing w:after="0"/>
              <w:rPr>
                <w:rFonts w:ascii="Times New Roman" w:cs="Times New Roman" w:eastAsia="Times New Roman" w:hAnsi="Times New Roman"/>
                <w:sz w:val="17"/>
                <w:szCs w:val="17"/>
                <w:color w:val="0000EE"/>
              </w:rPr>
            </w:pPr>
            <w:hyperlink r:id="rId21">
              <w:r>
                <w:rPr>
                  <w:rFonts w:ascii="Times New Roman" w:cs="Times New Roman" w:eastAsia="Times New Roman" w:hAnsi="Times New Roman"/>
                  <w:sz w:val="17"/>
                  <w:szCs w:val="17"/>
                  <w:color w:val="0000EE"/>
                </w:rPr>
                <w:t>Form of Amended and Restated Certificate of Incorporation of SOLV Energy, Inc. (incorporated herein by reference to Exhibit 3.2 of the</w:t>
              </w:r>
            </w:hyperlink>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300" w:type="dxa"/>
            <w:vAlign w:val="bottom"/>
            <w:tcBorders>
              <w:top w:val="single" w:sz="8" w:color="0000EE"/>
              <w:bottom w:val="single" w:sz="8" w:color="0000EE"/>
            </w:tcBorders>
            <w:gridSpan w:val="10"/>
          </w:tcPr>
          <w:p>
            <w:pPr>
              <w:spacing w:after="0" w:line="187" w:lineRule="exact"/>
              <w:rPr>
                <w:rFonts w:ascii="Times New Roman" w:cs="Times New Roman" w:eastAsia="Times New Roman" w:hAnsi="Times New Roman"/>
                <w:sz w:val="17"/>
                <w:szCs w:val="17"/>
                <w:color w:val="0000EE"/>
              </w:rPr>
            </w:pPr>
            <w:hyperlink r:id="rId21">
              <w:r>
                <w:rPr>
                  <w:rFonts w:ascii="Times New Roman" w:cs="Times New Roman" w:eastAsia="Times New Roman" w:hAnsi="Times New Roman"/>
                  <w:sz w:val="17"/>
                  <w:szCs w:val="17"/>
                  <w:color w:val="0000EE"/>
                </w:rPr>
                <w:t>Registrant’s Registration Statement on Form S-1, filed with the Commission on January 16, 2026 (Registration No. No. 333-292778)).</w:t>
              </w:r>
            </w:hyperlink>
          </w:p>
        </w:tc>
        <w:tc>
          <w:tcPr>
            <w:tcW w:w="16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3.2</w:t>
            </w:r>
          </w:p>
        </w:tc>
        <w:tc>
          <w:tcPr>
            <w:tcW w:w="400" w:type="dxa"/>
            <w:vAlign w:val="bottom"/>
          </w:tcPr>
          <w:p>
            <w:pPr>
              <w:spacing w:after="0"/>
              <w:rPr>
                <w:sz w:val="24"/>
                <w:szCs w:val="24"/>
                <w:color w:val="auto"/>
              </w:rPr>
            </w:pPr>
          </w:p>
        </w:tc>
        <w:tc>
          <w:tcPr>
            <w:tcW w:w="964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Form Amended and Restated Bylaws of SOLV Energy, Inc. (incorporated herein by reference to Exhibit 3.4 of the Registrant’s Registration</w:t>
              </w:r>
            </w:hyperlink>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40" w:type="dxa"/>
            <w:vAlign w:val="bottom"/>
            <w:gridSpan w:val="12"/>
          </w:tcPr>
          <w:p>
            <w:pPr>
              <w:spacing w:after="0" w:line="187" w:lineRule="exact"/>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Statement on Form S-1, filed with the Commission on January 16, 2026 (Registration No. No. 333-292778)).</w:t>
              </w:r>
            </w:hyperlink>
          </w:p>
        </w:tc>
        <w:tc>
          <w:tcPr>
            <w:tcW w:w="0" w:type="dxa"/>
            <w:vAlign w:val="bottom"/>
          </w:tcPr>
          <w:p>
            <w:pPr>
              <w:spacing w:after="0"/>
              <w:rPr>
                <w:sz w:val="1"/>
                <w:szCs w:val="1"/>
                <w:color w:val="auto"/>
              </w:rPr>
            </w:pPr>
          </w:p>
        </w:tc>
      </w:tr>
      <w:tr>
        <w:trPr>
          <w:trHeight w:val="291"/>
        </w:trPr>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5.1</w:t>
            </w:r>
          </w:p>
        </w:tc>
        <w:tc>
          <w:tcPr>
            <w:tcW w:w="400" w:type="dxa"/>
            <w:vAlign w:val="bottom"/>
          </w:tcPr>
          <w:p>
            <w:pPr>
              <w:spacing w:after="0"/>
              <w:rPr>
                <w:sz w:val="24"/>
                <w:szCs w:val="24"/>
                <w:color w:val="auto"/>
              </w:rPr>
            </w:pPr>
          </w:p>
        </w:tc>
        <w:tc>
          <w:tcPr>
            <w:tcW w:w="28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9"/>
              </w:rPr>
              <w:t>Opinion of Weil, Gotshal &amp; Manges LLP.</w:t>
            </w:r>
          </w:p>
        </w:tc>
        <w:tc>
          <w:tcPr>
            <w:tcW w:w="4660" w:type="dxa"/>
            <w:vAlign w:val="bottom"/>
            <w:tcBorders>
              <w:top w:val="single" w:sz="8" w:color="0000EE"/>
            </w:tcBorders>
            <w:gridSpan w:val="8"/>
          </w:tcPr>
          <w:p>
            <w:pPr>
              <w:spacing w:after="0"/>
              <w:rPr>
                <w:sz w:val="24"/>
                <w:szCs w:val="24"/>
                <w:color w:val="auto"/>
              </w:rPr>
            </w:pPr>
          </w:p>
        </w:tc>
        <w:tc>
          <w:tcPr>
            <w:tcW w:w="2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400" w:type="dxa"/>
            <w:vAlign w:val="bottom"/>
          </w:tcPr>
          <w:p>
            <w:pPr>
              <w:spacing w:after="0"/>
              <w:rPr>
                <w:sz w:val="24"/>
                <w:szCs w:val="24"/>
                <w:color w:val="auto"/>
              </w:rPr>
            </w:pPr>
          </w:p>
        </w:tc>
        <w:tc>
          <w:tcPr>
            <w:tcW w:w="3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w w:val="99"/>
              </w:rPr>
              <w:t>Consent of Ernst &amp; Young LLP as to SOLV Energy, Inc.</w:t>
            </w:r>
          </w:p>
        </w:tc>
        <w:tc>
          <w:tcPr>
            <w:tcW w:w="57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23.2</w:t>
            </w:r>
          </w:p>
        </w:tc>
        <w:tc>
          <w:tcPr>
            <w:tcW w:w="40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7"/>
                <w:szCs w:val="17"/>
                <w:color w:val="0000EE"/>
              </w:rPr>
              <w:t>Consent of Ernst &amp; Young LLP as to SOLV Energy Holdings LLC.</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23.3</w:t>
            </w:r>
          </w:p>
        </w:tc>
        <w:tc>
          <w:tcPr>
            <w:tcW w:w="400" w:type="dxa"/>
            <w:vAlign w:val="bottom"/>
          </w:tcPr>
          <w:p>
            <w:pPr>
              <w:spacing w:after="0"/>
              <w:rPr>
                <w:sz w:val="24"/>
                <w:szCs w:val="24"/>
                <w:color w:val="auto"/>
              </w:rPr>
            </w:pPr>
          </w:p>
        </w:tc>
        <w:tc>
          <w:tcPr>
            <w:tcW w:w="49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rPr>
              <w:t>Consent of Weil, Gotshal &amp; Manges LLP (included in Exhibit No. 5.1).</w:t>
            </w:r>
          </w:p>
        </w:tc>
        <w:tc>
          <w:tcPr>
            <w:tcW w:w="47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24.1</w:t>
            </w:r>
          </w:p>
        </w:tc>
        <w:tc>
          <w:tcPr>
            <w:tcW w:w="400" w:type="dxa"/>
            <w:vAlign w:val="bottom"/>
          </w:tcPr>
          <w:p>
            <w:pPr>
              <w:spacing w:after="0"/>
              <w:rPr>
                <w:sz w:val="24"/>
                <w:szCs w:val="24"/>
                <w:color w:val="auto"/>
              </w:rPr>
            </w:pPr>
          </w:p>
        </w:tc>
        <w:tc>
          <w:tcPr>
            <w:tcW w:w="33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rPr>
              <w:t>Power of Attorney (included on signature page).</w:t>
            </w:r>
          </w:p>
        </w:tc>
        <w:tc>
          <w:tcPr>
            <w:tcW w:w="6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400" w:type="dxa"/>
            <w:vAlign w:val="bottom"/>
          </w:tcPr>
          <w:p>
            <w:pPr>
              <w:spacing w:after="0"/>
              <w:rPr>
                <w:sz w:val="24"/>
                <w:szCs w:val="24"/>
                <w:color w:val="auto"/>
              </w:rPr>
            </w:pPr>
          </w:p>
        </w:tc>
        <w:tc>
          <w:tcPr>
            <w:tcW w:w="3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9"/>
              </w:rPr>
              <w:t>SOLV Energy, Inc. 2026 Equity Incentive Plan.</w:t>
            </w:r>
          </w:p>
        </w:tc>
        <w:tc>
          <w:tcPr>
            <w:tcW w:w="63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820" w:hanging="820"/>
        <w:spacing w:after="0"/>
        <w:tabs>
          <w:tab w:leader="none" w:pos="8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Filing Fee Table.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Undertakings.</w:t>
      </w:r>
    </w:p>
    <w:p>
      <w:pPr>
        <w:spacing w:after="0" w:line="130" w:lineRule="exact"/>
        <w:rPr>
          <w:sz w:val="20"/>
          <w:szCs w:val="20"/>
          <w:color w:val="auto"/>
        </w:rPr>
      </w:pPr>
    </w:p>
    <w:p>
      <w:pPr>
        <w:ind w:left="940" w:hanging="525"/>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w:t>
      </w:r>
    </w:p>
    <w:p>
      <w:pPr>
        <w:spacing w:after="0" w:line="128" w:lineRule="exact"/>
        <w:rPr>
          <w:rFonts w:ascii="Times New Roman" w:cs="Times New Roman" w:eastAsia="Times New Roman" w:hAnsi="Times New Roman"/>
          <w:sz w:val="17"/>
          <w:szCs w:val="17"/>
          <w:color w:val="auto"/>
        </w:rPr>
      </w:pPr>
    </w:p>
    <w:p>
      <w:pPr>
        <w:ind w:left="1360" w:hanging="414"/>
        <w:spacing w:after="0"/>
        <w:tabs>
          <w:tab w:leader="none" w:pos="13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128" w:lineRule="exact"/>
        <w:rPr>
          <w:rFonts w:ascii="Times New Roman" w:cs="Times New Roman" w:eastAsia="Times New Roman" w:hAnsi="Times New Roman"/>
          <w:sz w:val="17"/>
          <w:szCs w:val="17"/>
          <w:color w:val="auto"/>
        </w:rPr>
      </w:pPr>
    </w:p>
    <w:p>
      <w:pPr>
        <w:ind w:left="1900" w:hanging="527"/>
        <w:spacing w:after="0"/>
        <w:tabs>
          <w:tab w:leader="none" w:pos="1900"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w:t>
      </w:r>
    </w:p>
    <w:p>
      <w:pPr>
        <w:spacing w:after="0" w:line="128" w:lineRule="exact"/>
        <w:rPr>
          <w:rFonts w:ascii="Times New Roman" w:cs="Times New Roman" w:eastAsia="Times New Roman" w:hAnsi="Times New Roman"/>
          <w:sz w:val="17"/>
          <w:szCs w:val="17"/>
          <w:color w:val="auto"/>
        </w:rPr>
      </w:pPr>
    </w:p>
    <w:p>
      <w:pPr>
        <w:ind w:left="1900" w:hanging="527"/>
        <w:spacing w:after="0" w:line="258" w:lineRule="auto"/>
        <w:tabs>
          <w:tab w:leader="none" w:pos="1900"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w:t>
      </w:r>
    </w:p>
    <w:p>
      <w:pPr>
        <w:ind w:left="1900" w:right="320"/>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 percent change in the maximum aggregate offering price set forth in the “Calculation of Registration Fee” table in the effective registration statement; and</w:t>
      </w:r>
    </w:p>
    <w:p>
      <w:pPr>
        <w:spacing w:after="0" w:line="75" w:lineRule="exact"/>
        <w:rPr>
          <w:rFonts w:ascii="Times New Roman" w:cs="Times New Roman" w:eastAsia="Times New Roman" w:hAnsi="Times New Roman"/>
          <w:sz w:val="17"/>
          <w:szCs w:val="17"/>
          <w:color w:val="auto"/>
        </w:rPr>
      </w:pPr>
    </w:p>
    <w:p>
      <w:pPr>
        <w:ind w:left="1900" w:right="460" w:hanging="527"/>
        <w:spacing w:after="0" w:line="291" w:lineRule="auto"/>
        <w:tabs>
          <w:tab w:leader="none" w:pos="1900"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560"/>
          </w:cols>
          <w:pgMar w:left="660" w:top="264" w:right="679" w:bottom="1440" w:gutter="0" w:footer="0" w:header="0"/>
        </w:sectPr>
      </w:pPr>
    </w:p>
    <w:bookmarkStart w:id="4" w:name="page5"/>
    <w:bookmarkEnd w:id="4"/>
    <w:p>
      <w:pPr>
        <w:ind w:left="545" w:right="40"/>
        <w:spacing w:after="0" w:line="273"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paragraphs (a)(1)(i) and (a)(1)(ii) above do not apply if the information required to be included in a post-effective amendment by those paragraphs is contained in reports filed with or furnished to the Securities and Exchange Commission by the Registrant pursuant to Section 13 or Section 15(d) of the Exchange Act that are incorporated by reference in the Registration Statement.</w:t>
      </w:r>
    </w:p>
    <w:p>
      <w:pPr>
        <w:spacing w:after="0" w:line="71" w:lineRule="exact"/>
        <w:rPr>
          <w:sz w:val="20"/>
          <w:szCs w:val="20"/>
          <w:color w:val="auto"/>
        </w:rPr>
      </w:pPr>
    </w:p>
    <w:p>
      <w:pPr>
        <w:ind w:left="945" w:right="140" w:hanging="414"/>
        <w:spacing w:after="0" w:line="273" w:lineRule="auto"/>
        <w:tabs>
          <w:tab w:leader="none" w:pos="945"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u w:val="single" w:color="auto"/>
          <w:color w:val="auto"/>
        </w:rPr>
        <w:t>bona fide</w:t>
      </w:r>
      <w:r>
        <w:rPr>
          <w:rFonts w:ascii="Times New Roman" w:cs="Times New Roman" w:eastAsia="Times New Roman" w:hAnsi="Times New Roman"/>
          <w:sz w:val="17"/>
          <w:szCs w:val="17"/>
          <w:color w:val="auto"/>
        </w:rPr>
        <w:t xml:space="preserve"> offering thereof.</w:t>
      </w:r>
    </w:p>
    <w:p>
      <w:pPr>
        <w:spacing w:after="0" w:line="71" w:lineRule="exact"/>
        <w:rPr>
          <w:rFonts w:ascii="Times New Roman" w:cs="Times New Roman" w:eastAsia="Times New Roman" w:hAnsi="Times New Roman"/>
          <w:sz w:val="17"/>
          <w:szCs w:val="17"/>
          <w:color w:val="auto"/>
        </w:rPr>
      </w:pPr>
    </w:p>
    <w:p>
      <w:pPr>
        <w:ind w:left="945" w:right="140" w:hanging="414"/>
        <w:spacing w:after="0" w:line="291" w:lineRule="auto"/>
        <w:tabs>
          <w:tab w:leader="none" w:pos="945"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56" w:lineRule="exact"/>
        <w:rPr>
          <w:rFonts w:ascii="Times New Roman" w:cs="Times New Roman" w:eastAsia="Times New Roman" w:hAnsi="Times New Roman"/>
          <w:sz w:val="17"/>
          <w:szCs w:val="17"/>
          <w:color w:val="auto"/>
        </w:rPr>
      </w:pPr>
    </w:p>
    <w:p>
      <w:pPr>
        <w:ind w:left="525" w:hanging="525"/>
        <w:spacing w:after="0" w:line="263" w:lineRule="auto"/>
        <w:tabs>
          <w:tab w:leader="none" w:pos="52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u w:val="single" w:color="auto"/>
          <w:color w:val="auto"/>
        </w:rPr>
        <w:t>bona fide</w:t>
      </w:r>
      <w:r>
        <w:rPr>
          <w:rFonts w:ascii="Times New Roman" w:cs="Times New Roman" w:eastAsia="Times New Roman" w:hAnsi="Times New Roman"/>
          <w:sz w:val="17"/>
          <w:szCs w:val="17"/>
          <w:color w:val="auto"/>
        </w:rPr>
        <w:t xml:space="preserve"> offering thereof.</w:t>
      </w:r>
    </w:p>
    <w:p>
      <w:pPr>
        <w:spacing w:after="0" w:line="81" w:lineRule="exact"/>
        <w:rPr>
          <w:rFonts w:ascii="Times New Roman" w:cs="Times New Roman" w:eastAsia="Times New Roman" w:hAnsi="Times New Roman"/>
          <w:sz w:val="17"/>
          <w:szCs w:val="17"/>
          <w:color w:val="auto"/>
        </w:rPr>
      </w:pPr>
    </w:p>
    <w:p>
      <w:pPr>
        <w:ind w:left="525" w:right="40" w:hanging="525"/>
        <w:spacing w:after="0" w:line="259" w:lineRule="auto"/>
        <w:tabs>
          <w:tab w:leader="none" w:pos="52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2" w:lineRule="exact"/>
        <w:rPr>
          <w:sz w:val="20"/>
          <w:szCs w:val="20"/>
          <w:color w:val="auto"/>
        </w:rPr>
      </w:pPr>
    </w:p>
    <w:p>
      <w:pPr>
        <w:jc w:val="center"/>
        <w:ind w:right="355"/>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105"/>
          </w:cols>
          <w:pgMar w:left="1075" w:top="264" w:right="7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SIGNATURES</w:t>
      </w:r>
    </w:p>
    <w:p>
      <w:pPr>
        <w:spacing w:after="0" w:line="221" w:lineRule="exact"/>
        <w:rPr>
          <w:sz w:val="20"/>
          <w:szCs w:val="20"/>
          <w:color w:val="auto"/>
        </w:rPr>
      </w:pPr>
    </w:p>
    <w:p>
      <w:pPr>
        <w:ind w:right="180" w:firstLine="422"/>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February 10, 2026.</w:t>
      </w:r>
    </w:p>
    <w:p>
      <w:pPr>
        <w:spacing w:after="0" w:line="18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b w:val="1"/>
          <w:bCs w:val="1"/>
          <w:color w:val="auto"/>
        </w:rPr>
        <w:t>SOLV ENERGY, INC.</w:t>
      </w:r>
    </w:p>
    <w:p>
      <w:pPr>
        <w:spacing w:after="0" w:line="221"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By: /s/ George Hershman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19050</wp:posOffset>
            </wp:positionV>
            <wp:extent cx="24587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18"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Name: George Hershman</w:t>
      </w:r>
    </w:p>
    <w:p>
      <w:pPr>
        <w:spacing w:after="0" w:line="3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00" w:lineRule="exact"/>
        <w:rPr>
          <w:sz w:val="20"/>
          <w:szCs w:val="20"/>
          <w:color w:val="auto"/>
        </w:rPr>
      </w:pPr>
    </w:p>
    <w:p>
      <w:pPr>
        <w:ind w:right="40" w:firstLine="422"/>
        <w:spacing w:after="0" w:line="259" w:lineRule="auto"/>
        <w:rPr>
          <w:sz w:val="20"/>
          <w:szCs w:val="20"/>
          <w:color w:val="auto"/>
        </w:rPr>
      </w:pPr>
      <w:r>
        <w:rPr>
          <w:rFonts w:ascii="Times New Roman" w:cs="Times New Roman" w:eastAsia="Times New Roman" w:hAnsi="Times New Roman"/>
          <w:sz w:val="17"/>
          <w:szCs w:val="17"/>
          <w:color w:val="auto"/>
        </w:rPr>
        <w:t>KNOW ALL PERSONS BY THESE PRESENTS, that each of the undersigned constitutes and appoints each of George Hershman, Chad Plotkin, and Adam Forman, or any of them, each acting alone, his true and lawful attorney-in-fact and agent, with full power of substitution and resubstitution, for such person and in his name, place and stead, in any and all capacities, to sign this Registration Statement on Form S-8 (including all pre-effective and post-effective amendments and registration statements filed pursuant to Rule 462(b) under the Securities Act of 1933),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77" w:lineRule="exact"/>
        <w:rPr>
          <w:sz w:val="20"/>
          <w:szCs w:val="20"/>
          <w:color w:val="auto"/>
        </w:rPr>
      </w:pPr>
    </w:p>
    <w:p>
      <w:pPr>
        <w:ind w:right="120" w:firstLine="422"/>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indicated on February 10, 2026.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00" w:type="dxa"/>
            <w:vAlign w:val="bottom"/>
          </w:tcPr>
          <w:p>
            <w:pPr>
              <w:spacing w:after="0"/>
              <w:rPr>
                <w:sz w:val="15"/>
                <w:szCs w:val="15"/>
                <w:color w:val="auto"/>
              </w:rPr>
            </w:pPr>
          </w:p>
        </w:tc>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394"/>
        </w:trPr>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George Hershman</w:t>
            </w:r>
          </w:p>
        </w:tc>
        <w:tc>
          <w:tcPr>
            <w:tcW w:w="2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Executive Officer and Director</w:t>
            </w:r>
          </w:p>
        </w:tc>
      </w:tr>
      <w:tr>
        <w:trPr>
          <w:trHeight w:val="219"/>
        </w:trPr>
        <w:tc>
          <w:tcPr>
            <w:tcW w:w="4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George Hershman</w:t>
            </w:r>
          </w:p>
        </w:tc>
        <w:tc>
          <w:tcPr>
            <w:tcW w:w="2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09"/>
        </w:trPr>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Chad Plotkin</w:t>
            </w:r>
          </w:p>
        </w:tc>
        <w:tc>
          <w:tcPr>
            <w:tcW w:w="2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19"/>
        </w:trPr>
        <w:tc>
          <w:tcPr>
            <w:tcW w:w="4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Chad Plotkin</w:t>
            </w:r>
          </w:p>
        </w:tc>
        <w:tc>
          <w:tcPr>
            <w:tcW w:w="2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409"/>
        </w:trPr>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Ron Stark</w:t>
            </w:r>
          </w:p>
        </w:tc>
        <w:tc>
          <w:tcPr>
            <w:tcW w:w="2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Senior Vice President, Controller and Principal Accounting Officer</w:t>
            </w:r>
          </w:p>
        </w:tc>
      </w:tr>
      <w:tr>
        <w:trPr>
          <w:trHeight w:val="219"/>
        </w:trPr>
        <w:tc>
          <w:tcPr>
            <w:tcW w:w="4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Ron Stark</w:t>
            </w:r>
          </w:p>
        </w:tc>
        <w:tc>
          <w:tcPr>
            <w:tcW w:w="2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Accounting Officer)</w:t>
            </w:r>
          </w:p>
        </w:tc>
      </w:tr>
      <w:tr>
        <w:trPr>
          <w:trHeight w:val="616"/>
        </w:trPr>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Kevin S. Penn</w:t>
            </w:r>
          </w:p>
        </w:tc>
        <w:tc>
          <w:tcPr>
            <w:tcW w:w="2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19"/>
        </w:trPr>
        <w:tc>
          <w:tcPr>
            <w:tcW w:w="4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Kevin S. Penn</w:t>
            </w:r>
          </w:p>
        </w:tc>
        <w:tc>
          <w:tcPr>
            <w:tcW w:w="20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09"/>
        </w:trPr>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Michael Sand</w:t>
            </w:r>
          </w:p>
        </w:tc>
        <w:tc>
          <w:tcPr>
            <w:tcW w:w="2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19"/>
        </w:trPr>
        <w:tc>
          <w:tcPr>
            <w:tcW w:w="4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Michael Sand</w:t>
            </w:r>
          </w:p>
        </w:tc>
        <w:tc>
          <w:tcPr>
            <w:tcW w:w="20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09"/>
        </w:trPr>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David Portnoy</w:t>
            </w:r>
          </w:p>
        </w:tc>
        <w:tc>
          <w:tcPr>
            <w:tcW w:w="2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19"/>
        </w:trPr>
        <w:tc>
          <w:tcPr>
            <w:tcW w:w="4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David Portnoy</w:t>
            </w:r>
          </w:p>
        </w:tc>
        <w:tc>
          <w:tcPr>
            <w:tcW w:w="20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09"/>
        </w:trPr>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 Adam Abram</w:t>
            </w:r>
          </w:p>
        </w:tc>
        <w:tc>
          <w:tcPr>
            <w:tcW w:w="2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19"/>
        </w:trPr>
        <w:tc>
          <w:tcPr>
            <w:tcW w:w="4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 Adam Abram</w:t>
            </w:r>
          </w:p>
        </w:tc>
        <w:tc>
          <w:tcPr>
            <w:tcW w:w="20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09"/>
        </w:trPr>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Steven Lerner</w:t>
            </w:r>
          </w:p>
        </w:tc>
        <w:tc>
          <w:tcPr>
            <w:tcW w:w="2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19"/>
        </w:trPr>
        <w:tc>
          <w:tcPr>
            <w:tcW w:w="4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Steven Lerner</w:t>
            </w:r>
          </w:p>
        </w:tc>
        <w:tc>
          <w:tcPr>
            <w:tcW w:w="200" w:type="dxa"/>
            <w:vAlign w:val="bottom"/>
          </w:tcPr>
          <w:p>
            <w:pPr>
              <w:spacing w:after="0"/>
              <w:rPr>
                <w:sz w:val="19"/>
                <w:szCs w:val="19"/>
                <w:color w:val="auto"/>
              </w:rPr>
            </w:pPr>
          </w:p>
        </w:tc>
        <w:tc>
          <w:tcPr>
            <w:tcW w:w="5700" w:type="dxa"/>
            <w:vAlign w:val="bottom"/>
          </w:tcPr>
          <w:p>
            <w:pPr>
              <w:spacing w:after="0"/>
              <w:rPr>
                <w:sz w:val="19"/>
                <w:szCs w:val="19"/>
                <w:color w:val="auto"/>
              </w:rPr>
            </w:pPr>
          </w:p>
        </w:tc>
      </w:tr>
    </w:tbl>
    <w:p>
      <w:pPr>
        <w:sectPr>
          <w:pgSz w:w="11900" w:h="16838" w:orient="portrait"/>
          <w:cols w:equalWidth="0" w:num="1">
            <w:col w:w="10560"/>
          </w:cols>
          <w:pgMar w:left="660" w:top="262" w:right="67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6"/>
        </w:trPr>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Laura Stern</w:t>
            </w:r>
          </w:p>
        </w:tc>
        <w:tc>
          <w:tcPr>
            <w:tcW w:w="3340" w:type="dxa"/>
            <w:vAlign w:val="bottom"/>
          </w:tcPr>
          <w:p>
            <w:pPr>
              <w:spacing w:after="0"/>
              <w:rPr>
                <w:sz w:val="19"/>
                <w:szCs w:val="19"/>
                <w:color w:val="auto"/>
              </w:rPr>
            </w:pPr>
          </w:p>
        </w:tc>
      </w:tr>
      <w:tr>
        <w:trPr>
          <w:trHeight w:val="219"/>
        </w:trPr>
        <w:tc>
          <w:tcPr>
            <w:tcW w:w="4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Laura Stern</w:t>
            </w:r>
          </w:p>
        </w:tc>
        <w:tc>
          <w:tcPr>
            <w:tcW w:w="3340" w:type="dxa"/>
            <w:vAlign w:val="bottom"/>
          </w:tcPr>
          <w:p>
            <w:pPr>
              <w:ind w:left="2780"/>
              <w:spacing w:after="0"/>
              <w:rPr>
                <w:sz w:val="20"/>
                <w:szCs w:val="20"/>
                <w:color w:val="auto"/>
              </w:rPr>
            </w:pPr>
            <w:r>
              <w:rPr>
                <w:rFonts w:ascii="Times New Roman" w:cs="Times New Roman" w:eastAsia="Times New Roman" w:hAnsi="Times New Roman"/>
                <w:sz w:val="17"/>
                <w:szCs w:val="17"/>
                <w:color w:val="auto"/>
                <w:w w:val="95"/>
              </w:rPr>
              <w:t>Director</w:t>
            </w:r>
          </w:p>
        </w:tc>
      </w:tr>
      <w:tr>
        <w:trPr>
          <w:trHeight w:val="409"/>
        </w:trPr>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William Jackson</w:t>
            </w:r>
          </w:p>
        </w:tc>
        <w:tc>
          <w:tcPr>
            <w:tcW w:w="3340" w:type="dxa"/>
            <w:vAlign w:val="bottom"/>
          </w:tcPr>
          <w:p>
            <w:pPr>
              <w:spacing w:after="0"/>
              <w:rPr>
                <w:sz w:val="24"/>
                <w:szCs w:val="24"/>
                <w:color w:val="auto"/>
              </w:rPr>
            </w:pPr>
          </w:p>
        </w:tc>
      </w:tr>
      <w:tr>
        <w:trPr>
          <w:trHeight w:val="219"/>
        </w:trPr>
        <w:tc>
          <w:tcPr>
            <w:tcW w:w="4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William Jackson</w:t>
            </w:r>
          </w:p>
        </w:tc>
        <w:tc>
          <w:tcPr>
            <w:tcW w:w="3340" w:type="dxa"/>
            <w:vAlign w:val="bottom"/>
          </w:tcPr>
          <w:p>
            <w:pPr>
              <w:ind w:left="2780"/>
              <w:spacing w:after="0"/>
              <w:rPr>
                <w:sz w:val="20"/>
                <w:szCs w:val="20"/>
                <w:color w:val="auto"/>
              </w:rPr>
            </w:pPr>
            <w:r>
              <w:rPr>
                <w:rFonts w:ascii="Times New Roman" w:cs="Times New Roman" w:eastAsia="Times New Roman" w:hAnsi="Times New Roman"/>
                <w:sz w:val="17"/>
                <w:szCs w:val="17"/>
                <w:color w:val="auto"/>
                <w:w w:val="95"/>
              </w:rPr>
              <w:t>Director</w:t>
            </w:r>
          </w:p>
        </w:tc>
      </w:tr>
      <w:tr>
        <w:trPr>
          <w:trHeight w:val="409"/>
        </w:trPr>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Daniel McQuade</w:t>
            </w:r>
          </w:p>
        </w:tc>
        <w:tc>
          <w:tcPr>
            <w:tcW w:w="3340" w:type="dxa"/>
            <w:vAlign w:val="bottom"/>
          </w:tcPr>
          <w:p>
            <w:pPr>
              <w:spacing w:after="0"/>
              <w:rPr>
                <w:sz w:val="24"/>
                <w:szCs w:val="24"/>
                <w:color w:val="auto"/>
              </w:rPr>
            </w:pPr>
          </w:p>
        </w:tc>
      </w:tr>
      <w:tr>
        <w:trPr>
          <w:trHeight w:val="219"/>
        </w:trPr>
        <w:tc>
          <w:tcPr>
            <w:tcW w:w="4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Daniel McQuade</w:t>
            </w:r>
          </w:p>
        </w:tc>
        <w:tc>
          <w:tcPr>
            <w:tcW w:w="3340" w:type="dxa"/>
            <w:vAlign w:val="bottom"/>
          </w:tcPr>
          <w:p>
            <w:pPr>
              <w:ind w:left="2780"/>
              <w:spacing w:after="0"/>
              <w:rPr>
                <w:sz w:val="20"/>
                <w:szCs w:val="20"/>
                <w:color w:val="auto"/>
              </w:rPr>
            </w:pPr>
            <w:r>
              <w:rPr>
                <w:rFonts w:ascii="Times New Roman" w:cs="Times New Roman" w:eastAsia="Times New Roman" w:hAnsi="Times New Roman"/>
                <w:sz w:val="17"/>
                <w:szCs w:val="17"/>
                <w:color w:val="auto"/>
                <w:w w:val="95"/>
              </w:rPr>
              <w:t>Director</w:t>
            </w:r>
          </w:p>
        </w:tc>
      </w:tr>
      <w:tr>
        <w:trPr>
          <w:trHeight w:val="409"/>
        </w:trPr>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Nancy Stefanowicz</w:t>
            </w:r>
          </w:p>
        </w:tc>
        <w:tc>
          <w:tcPr>
            <w:tcW w:w="3340" w:type="dxa"/>
            <w:vAlign w:val="bottom"/>
          </w:tcPr>
          <w:p>
            <w:pPr>
              <w:spacing w:after="0"/>
              <w:rPr>
                <w:sz w:val="24"/>
                <w:szCs w:val="24"/>
                <w:color w:val="auto"/>
              </w:rPr>
            </w:pPr>
          </w:p>
        </w:tc>
      </w:tr>
      <w:tr>
        <w:trPr>
          <w:trHeight w:val="219"/>
        </w:trPr>
        <w:tc>
          <w:tcPr>
            <w:tcW w:w="4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Nancy Stefanowicz</w:t>
            </w:r>
          </w:p>
        </w:tc>
        <w:tc>
          <w:tcPr>
            <w:tcW w:w="3340" w:type="dxa"/>
            <w:vAlign w:val="bottom"/>
          </w:tcPr>
          <w:p>
            <w:pPr>
              <w:ind w:left="2780"/>
              <w:spacing w:after="0"/>
              <w:rPr>
                <w:sz w:val="20"/>
                <w:szCs w:val="20"/>
                <w:color w:val="auto"/>
              </w:rPr>
            </w:pPr>
            <w:r>
              <w:rPr>
                <w:rFonts w:ascii="Times New Roman" w:cs="Times New Roman" w:eastAsia="Times New Roman" w:hAnsi="Times New Roman"/>
                <w:sz w:val="17"/>
                <w:szCs w:val="17"/>
                <w:color w:val="auto"/>
                <w:w w:val="95"/>
              </w:rPr>
              <w:t>Director</w:t>
            </w:r>
          </w:p>
        </w:tc>
      </w:tr>
    </w:tbl>
    <w:p>
      <w:pPr>
        <w:sectPr>
          <w:pgSz w:w="11900" w:h="16838" w:orient="portrait"/>
          <w:cols w:equalWidth="0" w:num="1">
            <w:col w:w="9799"/>
          </w:cols>
          <w:pgMar w:left="660" w:top="264"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168275</wp:posOffset>
            </wp:positionV>
            <wp:extent cx="2409190" cy="164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2409190" cy="164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767 Fifth Avenue</w:t>
      </w:r>
    </w:p>
    <w:p>
      <w:pPr>
        <w:jc w:val="right"/>
        <w:spacing w:after="0" w:line="212" w:lineRule="auto"/>
        <w:rPr>
          <w:sz w:val="20"/>
          <w:szCs w:val="20"/>
          <w:color w:val="auto"/>
        </w:rPr>
      </w:pPr>
      <w:r>
        <w:rPr>
          <w:rFonts w:ascii="Times New Roman" w:cs="Times New Roman" w:eastAsia="Times New Roman" w:hAnsi="Times New Roman"/>
          <w:sz w:val="14"/>
          <w:szCs w:val="14"/>
          <w:color w:val="auto"/>
        </w:rPr>
        <w:t>New York, NY 10153-0119</w:t>
      </w:r>
    </w:p>
    <w:p>
      <w:pPr>
        <w:jc w:val="right"/>
        <w:spacing w:after="0" w:line="212" w:lineRule="auto"/>
        <w:rPr>
          <w:sz w:val="20"/>
          <w:szCs w:val="20"/>
          <w:color w:val="auto"/>
        </w:rPr>
      </w:pPr>
      <w:r>
        <w:rPr>
          <w:rFonts w:ascii="Times New Roman" w:cs="Times New Roman" w:eastAsia="Times New Roman" w:hAnsi="Times New Roman"/>
          <w:sz w:val="14"/>
          <w:szCs w:val="14"/>
          <w:color w:val="auto"/>
        </w:rPr>
        <w:t>+1 212 310 8000 tel</w:t>
      </w:r>
    </w:p>
    <w:p>
      <w:pPr>
        <w:jc w:val="right"/>
        <w:spacing w:after="0"/>
        <w:rPr>
          <w:sz w:val="20"/>
          <w:szCs w:val="20"/>
          <w:color w:val="auto"/>
        </w:rPr>
      </w:pPr>
      <w:r>
        <w:rPr>
          <w:rFonts w:ascii="Times New Roman" w:cs="Times New Roman" w:eastAsia="Times New Roman" w:hAnsi="Times New Roman"/>
          <w:sz w:val="14"/>
          <w:szCs w:val="14"/>
          <w:color w:val="auto"/>
        </w:rPr>
        <w:t>+1 212 310 8007 fax</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10,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SOLV Energy,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16680 West Bernardo Drive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Diego, CA 92127</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We have acted as counsel to SOLV Energy,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in connection with the preparation and filing with the Securities and Exchange Commission of the Company’s Registration Statement on Form S-8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relating to the registration by the Company of up to 7,500,000 shares of Class A common stock, par value $0.0001 per share, of the Company (the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which may be issued pursuant to the SOLV Energy, Inc. 2026 Equity Incentive Plan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In so acting, we have examined originals or copies (certified or otherwise identified to our satisfaction) of (i) the Amended and Restated Certificate of Incorporation of the Company; (ii) the Amended and Restated Bylaws of the Company; (iii) the Plan; (iv) the Registration Statement; and (v) such corporate records, agreements, documents and other instruments, and such certificates or comparable documents of public officials and of officers and representatives of the Company, and have made such inquiries of such officers and representatives, as we have deemed relevant and necessary as a basis for the opinion hereinafter set forth.</w:t>
      </w:r>
    </w:p>
    <w:p>
      <w:pPr>
        <w:spacing w:after="0" w:line="1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conformed or photostatic copies, and the authenticity of the originals of such latter documents. As to all questions of fact material to this opinion that have not been independently established, we have relied upon certificates or comparable documents of officers and representatives of the Company.</w:t>
      </w:r>
    </w:p>
    <w:p>
      <w:pPr>
        <w:spacing w:after="0" w:line="169" w:lineRule="exact"/>
        <w:rPr>
          <w:sz w:val="20"/>
          <w:szCs w:val="20"/>
          <w:color w:val="auto"/>
        </w:rPr>
      </w:pPr>
    </w:p>
    <w:p>
      <w:pPr>
        <w:jc w:val="both"/>
        <w:ind w:right="200"/>
        <w:spacing w:after="0" w:line="273" w:lineRule="auto"/>
        <w:rPr>
          <w:sz w:val="20"/>
          <w:szCs w:val="20"/>
          <w:color w:val="auto"/>
        </w:rPr>
      </w:pPr>
      <w:r>
        <w:rPr>
          <w:rFonts w:ascii="Times New Roman" w:cs="Times New Roman" w:eastAsia="Times New Roman" w:hAnsi="Times New Roman"/>
          <w:sz w:val="17"/>
          <w:szCs w:val="17"/>
          <w:color w:val="auto"/>
        </w:rPr>
        <w:t>We have also assumed that (i) no stop orders suspending the Registration Statement’s effectiveness will have been issued and remain in effect, in each case, at the time the Shares are offered or issued as contemplated by the Registration Statement and the Plan, and (ii) all Shares will be issued, offered and sold in compliance with applicable federal and state securities laws and in the manner stated in the Registration Statement.</w:t>
      </w:r>
    </w:p>
    <w:p>
      <w:pPr>
        <w:sectPr>
          <w:pgSz w:w="11900" w:h="16838" w:orient="portrait"/>
          <w:cols w:equalWidth="0" w:num="1">
            <w:col w:w="10560"/>
          </w:cols>
          <w:pgMar w:left="660" w:top="119" w:right="6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February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5106670</wp:posOffset>
            </wp:positionH>
            <wp:positionV relativeFrom="paragraph">
              <wp:posOffset>-111760</wp:posOffset>
            </wp:positionV>
            <wp:extent cx="1603375" cy="106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603375" cy="10668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w:t>
      </w:r>
    </w:p>
    <w:p>
      <w:pPr>
        <w:spacing w:after="0" w:line="14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Based on the foregoing, and subject to the qualifications stated herein, we are of the opinion that the Shares, when issued and delivered upon the receipt of consideration constituting lawful consideration under Delaware law in accordance with the Plan, will be validly issued, fully paid and non-assessable.</w:t>
      </w:r>
    </w:p>
    <w:p>
      <w:pPr>
        <w:spacing w:after="0" w:line="148" w:lineRule="exact"/>
        <w:rPr>
          <w:sz w:val="20"/>
          <w:szCs w:val="20"/>
          <w:color w:val="auto"/>
        </w:rPr>
      </w:pPr>
    </w:p>
    <w:p>
      <w:pPr>
        <w:ind w:right="440"/>
        <w:spacing w:after="0" w:line="291" w:lineRule="auto"/>
        <w:rPr>
          <w:sz w:val="20"/>
          <w:szCs w:val="20"/>
          <w:color w:val="auto"/>
        </w:rPr>
      </w:pPr>
      <w:r>
        <w:rPr>
          <w:rFonts w:ascii="Times New Roman" w:cs="Times New Roman" w:eastAsia="Times New Roman" w:hAnsi="Times New Roman"/>
          <w:sz w:val="17"/>
          <w:szCs w:val="17"/>
          <w:color w:val="auto"/>
        </w:rPr>
        <w:t>The opinions expressed herein are limited to the corporate laws of the State of Delaware, and we express no opinion as to the effect on the matters covered by this letter of the laws of any other jurisdiction.</w:t>
      </w:r>
    </w:p>
    <w:p>
      <w:pPr>
        <w:spacing w:after="0" w:line="148" w:lineRule="exact"/>
        <w:rPr>
          <w:sz w:val="20"/>
          <w:szCs w:val="20"/>
          <w:color w:val="auto"/>
        </w:rPr>
      </w:pPr>
    </w:p>
    <w:p>
      <w:pPr>
        <w:jc w:val="both"/>
        <w:ind w:right="500"/>
        <w:spacing w:after="0" w:line="273" w:lineRule="auto"/>
        <w:rPr>
          <w:sz w:val="20"/>
          <w:szCs w:val="20"/>
          <w:color w:val="auto"/>
        </w:rPr>
      </w:pPr>
      <w:r>
        <w:rPr>
          <w:rFonts w:ascii="Times New Roman" w:cs="Times New Roman" w:eastAsia="Times New Roman" w:hAnsi="Times New Roman"/>
          <w:sz w:val="17"/>
          <w:szCs w:val="17"/>
          <w:color w:val="auto"/>
        </w:rPr>
        <w:t>We hereby consent to the use of this letter as an exhibit to the Registration Statement and to any and all references to our firm in the Registration Statement. In giving such consent we do not hereby admit that we are in the category of persons whose consent is required under Section 7 of the Securities Act or the rules and regulations of the Securities and Exchange Commission.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Weil, Gotshal &amp; Manges LLP</w:t>
      </w:r>
    </w:p>
    <w:p>
      <w:pPr>
        <w:sectPr>
          <w:pgSz w:w="11900" w:h="16838" w:orient="portrait"/>
          <w:cols w:equalWidth="0" w:num="1">
            <w:col w:w="10540"/>
          </w:cols>
          <w:pgMar w:left="660" w:top="264" w:right="6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1" w:lineRule="exact"/>
        <w:rPr>
          <w:sz w:val="20"/>
          <w:szCs w:val="20"/>
          <w:color w:val="auto"/>
        </w:rPr>
      </w:pPr>
    </w:p>
    <w:p>
      <w:pPr>
        <w:jc w:val="both"/>
        <w:ind w:right="220"/>
        <w:spacing w:after="0" w:line="273"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(Form S-8 dated February 10 , 2026) pertaining to the SOLV Energy, Inc. 2026 Equity Incentive Plan of our report dated December 19, 2025 with respect to the SOLV Energy, Inc. financial statement included in Amendment No. 2 to its Registration Statement on Form S-1 (No.333-292778) and related Prospectus filed with the Securities and Exchange Commission.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Tysons, Virginia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10, 2026</w:t>
      </w:r>
    </w:p>
    <w:p>
      <w:pPr>
        <w:sectPr>
          <w:pgSz w:w="11900" w:h="16838" w:orient="portrait"/>
          <w:cols w:equalWidth="0" w:num="1">
            <w:col w:w="10560"/>
          </w:cols>
          <w:pgMar w:left="660" w:top="119" w:right="67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(Form S-8 dated February 10, 2026) pertaining to the SOLV Energy, Inc. 2026 Equity Incentive Plan of our report dated May 9, 2025 (except for Note 5, as to which date is December 19, 2025) with respect to the SOLV Energy Holdings LLC consolidated financial statements included in Amendment No. 2 to its Registration Statement on Form S-1 (No.333-292778) and related Prospectus filed with the Securities and Exchange Commission.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Tysons, Virginia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10, 2026</w:t>
      </w:r>
    </w:p>
    <w:p>
      <w:pPr>
        <w:sectPr>
          <w:pgSz w:w="11900" w:h="16838" w:orient="portrait"/>
          <w:cols w:equalWidth="0" w:num="1">
            <w:col w:w="10560"/>
          </w:cols>
          <w:pgMar w:left="660" w:top="119" w:right="67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SOLV ENERGY,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2026 EQUITY INCENTIVE PLAN</w:t>
      </w:r>
    </w:p>
    <w:p>
      <w:pPr>
        <w:spacing w:after="0" w:line="221" w:lineRule="exact"/>
        <w:rPr>
          <w:sz w:val="20"/>
          <w:szCs w:val="20"/>
          <w:color w:val="auto"/>
        </w:rPr>
      </w:pPr>
    </w:p>
    <w:p>
      <w:pPr>
        <w:ind w:right="100" w:firstLine="423"/>
        <w:spacing w:after="0" w:line="266" w:lineRule="auto"/>
        <w:tabs>
          <w:tab w:leader="none" w:pos="59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Purpose</w:t>
      </w:r>
      <w:r>
        <w:rPr>
          <w:rFonts w:ascii="Times New Roman" w:cs="Times New Roman" w:eastAsia="Times New Roman" w:hAnsi="Times New Roman"/>
          <w:sz w:val="17"/>
          <w:szCs w:val="17"/>
          <w:color w:val="auto"/>
        </w:rPr>
        <w:t>. The purpose of the SOLV Energy, Inc. 2026 Equity Incentive Plan is to further align the interests of eligible participants with those of the Company’s stockholders by providing incentive compensation opportunities tied to the performance of the Company and its Common Stock. The Plan is intended to advance the interests of the Company and increase stockholder value by attracting, retaining and motivating key personnel upon whose judgment, initiative and effort the successful conduct of the Company’s business is largely dependent.</w:t>
      </w:r>
    </w:p>
    <w:p>
      <w:pPr>
        <w:spacing w:after="0" w:line="65" w:lineRule="exact"/>
        <w:rPr>
          <w:rFonts w:ascii="Times New Roman" w:cs="Times New Roman" w:eastAsia="Times New Roman" w:hAnsi="Times New Roman"/>
          <w:sz w:val="17"/>
          <w:szCs w:val="17"/>
          <w:color w:val="auto"/>
        </w:rPr>
      </w:pPr>
    </w:p>
    <w:p>
      <w:pPr>
        <w:ind w:left="600" w:hanging="17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Capitalized terms used and not otherwise defined herein shall have the meanings set forth below:</w:t>
      </w:r>
    </w:p>
    <w:p>
      <w:pPr>
        <w:spacing w:after="0" w:line="217" w:lineRule="exact"/>
        <w:rPr>
          <w:sz w:val="20"/>
          <w:szCs w:val="20"/>
          <w:color w:val="auto"/>
        </w:rPr>
      </w:pPr>
    </w:p>
    <w:p>
      <w:pPr>
        <w:ind w:right="340" w:firstLine="951"/>
        <w:spacing w:after="0" w:line="29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Affiliate</w:t>
      </w:r>
      <w:r>
        <w:rPr>
          <w:rFonts w:ascii="Times New Roman" w:cs="Times New Roman" w:eastAsia="Times New Roman" w:hAnsi="Times New Roman"/>
          <w:sz w:val="17"/>
          <w:szCs w:val="17"/>
          <w:color w:val="auto"/>
        </w:rPr>
        <w:t>” means, with respect to a Person, any other Person directly or indirectly controlling, controlled by, or under common control with such first Person.</w:t>
      </w:r>
    </w:p>
    <w:p>
      <w:pPr>
        <w:spacing w:after="0" w:line="143" w:lineRule="exact"/>
        <w:rPr>
          <w:sz w:val="20"/>
          <w:szCs w:val="20"/>
          <w:color w:val="auto"/>
        </w:rPr>
      </w:pPr>
    </w:p>
    <w:p>
      <w:pPr>
        <w:ind w:right="100" w:firstLine="951"/>
        <w:spacing w:after="0" w:line="29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Award</w:t>
      </w:r>
      <w:r>
        <w:rPr>
          <w:rFonts w:ascii="Times New Roman" w:cs="Times New Roman" w:eastAsia="Times New Roman" w:hAnsi="Times New Roman"/>
          <w:sz w:val="17"/>
          <w:szCs w:val="17"/>
          <w:color w:val="auto"/>
        </w:rPr>
        <w:t>” means an award of a Stock Option, Stock Appreciation Right, Restricted Stock Award, Restricted Stock Unit or Stock Award, in each case, granted under the Plan.</w:t>
      </w:r>
    </w:p>
    <w:p>
      <w:pPr>
        <w:spacing w:after="0" w:line="143" w:lineRule="exact"/>
        <w:rPr>
          <w:sz w:val="20"/>
          <w:szCs w:val="20"/>
          <w:color w:val="auto"/>
        </w:rPr>
      </w:pPr>
    </w:p>
    <w:p>
      <w:pPr>
        <w:ind w:right="500" w:firstLine="951"/>
        <w:spacing w:after="0" w:line="29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Award Agreement</w:t>
      </w:r>
      <w:r>
        <w:rPr>
          <w:rFonts w:ascii="Times New Roman" w:cs="Times New Roman" w:eastAsia="Times New Roman" w:hAnsi="Times New Roman"/>
          <w:sz w:val="17"/>
          <w:szCs w:val="17"/>
          <w:color w:val="auto"/>
        </w:rPr>
        <w:t xml:space="preserve">” means a written notice or an agreement entered into between the Company and a Participant or provided by the Company to a Participant setting forth the terms and conditions of an Award granted to a Participant as provided in </w:t>
      </w:r>
      <w:r>
        <w:rPr>
          <w:rFonts w:ascii="Times New Roman" w:cs="Times New Roman" w:eastAsia="Times New Roman" w:hAnsi="Times New Roman"/>
          <w:sz w:val="17"/>
          <w:szCs w:val="17"/>
          <w:u w:val="single" w:color="auto"/>
          <w:color w:val="auto"/>
        </w:rPr>
        <w:t>Section 15.2</w:t>
      </w:r>
      <w:r>
        <w:rPr>
          <w:rFonts w:ascii="Times New Roman" w:cs="Times New Roman" w:eastAsia="Times New Roman" w:hAnsi="Times New Roman"/>
          <w:sz w:val="17"/>
          <w:szCs w:val="17"/>
          <w:color w:val="auto"/>
        </w:rPr>
        <w:t xml:space="preserve"> hereof.</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Beneficial Owner</w:t>
      </w:r>
      <w:r>
        <w:rPr>
          <w:rFonts w:ascii="Times New Roman" w:cs="Times New Roman" w:eastAsia="Times New Roman" w:hAnsi="Times New Roman"/>
          <w:sz w:val="17"/>
          <w:szCs w:val="17"/>
          <w:color w:val="auto"/>
        </w:rPr>
        <w:t>” has the meaning ascribed to such term in Rule 13d-3 under the Exchange Act.</w:t>
      </w:r>
    </w:p>
    <w:p>
      <w:pPr>
        <w:spacing w:after="0" w:line="2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2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Cause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12.2(b)</w:t>
      </w:r>
      <w:r>
        <w:rPr>
          <w:rFonts w:ascii="Times New Roman" w:cs="Times New Roman" w:eastAsia="Times New Roman" w:hAnsi="Times New Roman"/>
          <w:sz w:val="17"/>
          <w:szCs w:val="17"/>
          <w:color w:val="auto"/>
        </w:rPr>
        <w:t xml:space="preserve"> hereof.</w:t>
      </w:r>
    </w:p>
    <w:p>
      <w:pPr>
        <w:spacing w:after="0" w:line="2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Change in Control</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11.3</w:t>
      </w:r>
      <w:r>
        <w:rPr>
          <w:rFonts w:ascii="Times New Roman" w:cs="Times New Roman" w:eastAsia="Times New Roman" w:hAnsi="Times New Roman"/>
          <w:sz w:val="17"/>
          <w:szCs w:val="17"/>
          <w:color w:val="auto"/>
        </w:rPr>
        <w:t xml:space="preserve"> hereof.</w:t>
      </w:r>
    </w:p>
    <w:p>
      <w:pPr>
        <w:spacing w:after="0" w:line="2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Code</w:t>
      </w:r>
      <w:r>
        <w:rPr>
          <w:rFonts w:ascii="Times New Roman" w:cs="Times New Roman" w:eastAsia="Times New Roman" w:hAnsi="Times New Roman"/>
          <w:sz w:val="17"/>
          <w:szCs w:val="17"/>
          <w:color w:val="auto"/>
        </w:rPr>
        <w:t>” means the Internal Revenue Code of 1986, as amended.</w:t>
      </w:r>
    </w:p>
    <w:p>
      <w:pPr>
        <w:spacing w:after="0" w:line="219" w:lineRule="exact"/>
        <w:rPr>
          <w:sz w:val="20"/>
          <w:szCs w:val="20"/>
          <w:color w:val="auto"/>
        </w:rPr>
      </w:pPr>
    </w:p>
    <w:p>
      <w:pPr>
        <w:ind w:right="320" w:firstLine="951"/>
        <w:spacing w:after="0" w:line="29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Committee</w:t>
      </w:r>
      <w:r>
        <w:rPr>
          <w:rFonts w:ascii="Times New Roman" w:cs="Times New Roman" w:eastAsia="Times New Roman" w:hAnsi="Times New Roman"/>
          <w:sz w:val="17"/>
          <w:szCs w:val="17"/>
          <w:color w:val="auto"/>
        </w:rPr>
        <w:t>” means, as determined by the Board, (i) the Compensation Committee of the Board, (ii) such other committee of no fewer than two members of the Board who are appointed by the Board to administer the Plan or (iii) the Board.</w:t>
      </w:r>
    </w:p>
    <w:p>
      <w:pPr>
        <w:spacing w:after="0" w:line="143" w:lineRule="exact"/>
        <w:rPr>
          <w:sz w:val="20"/>
          <w:szCs w:val="20"/>
          <w:color w:val="auto"/>
        </w:rPr>
      </w:pPr>
    </w:p>
    <w:p>
      <w:pPr>
        <w:ind w:right="260" w:firstLine="951"/>
        <w:spacing w:after="0" w:line="29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Common Stock</w:t>
      </w:r>
      <w:r>
        <w:rPr>
          <w:rFonts w:ascii="Times New Roman" w:cs="Times New Roman" w:eastAsia="Times New Roman" w:hAnsi="Times New Roman"/>
          <w:sz w:val="17"/>
          <w:szCs w:val="17"/>
          <w:color w:val="auto"/>
        </w:rPr>
        <w:t>” means the Company’s common stock, par value $0.0001 per share (and any shares or other securities into which such Common Stock may be converted or into which it may be exchanged).</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means SOLV Energy, Inc., a Delaware corporation, or any successor thereto.</w:t>
      </w:r>
    </w:p>
    <w:p>
      <w:pPr>
        <w:sectPr>
          <w:pgSz w:w="11900" w:h="16838" w:orient="portrait"/>
          <w:cols w:equalWidth="0" w:num="1">
            <w:col w:w="10560"/>
          </w:cols>
          <w:pgMar w:left="660" w:top="119" w:right="679" w:bottom="1440" w:gutter="0" w:footer="0" w:header="0"/>
        </w:sectPr>
      </w:pPr>
    </w:p>
    <w:bookmarkStart w:id="12" w:name="page13"/>
    <w:bookmarkEnd w:id="12"/>
    <w:p>
      <w:pPr>
        <w:ind w:right="160" w:firstLine="951"/>
        <w:spacing w:after="0" w:line="29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Date of Grant</w:t>
      </w:r>
      <w:r>
        <w:rPr>
          <w:rFonts w:ascii="Times New Roman" w:cs="Times New Roman" w:eastAsia="Times New Roman" w:hAnsi="Times New Roman"/>
          <w:sz w:val="17"/>
          <w:szCs w:val="17"/>
          <w:color w:val="auto"/>
        </w:rPr>
        <w:t>” means the date on which an Award under the Plan is granted by the Committee or such later date as the Committee may specify to be the effective date of an Award.</w:t>
      </w:r>
    </w:p>
    <w:p>
      <w:pPr>
        <w:spacing w:after="0" w:line="143" w:lineRule="exact"/>
        <w:rPr>
          <w:sz w:val="20"/>
          <w:szCs w:val="20"/>
          <w:color w:val="auto"/>
        </w:rPr>
      </w:pPr>
    </w:p>
    <w:p>
      <w:pPr>
        <w:ind w:right="1180" w:firstLine="951"/>
        <w:spacing w:after="0" w:line="29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Disability</w:t>
      </w:r>
      <w:r>
        <w:rPr>
          <w:rFonts w:ascii="Times New Roman" w:cs="Times New Roman" w:eastAsia="Times New Roman" w:hAnsi="Times New Roman"/>
          <w:sz w:val="17"/>
          <w:szCs w:val="17"/>
          <w:color w:val="auto"/>
        </w:rPr>
        <w:t>” means, unless otherwise defined in an Award Agreement, a disability described in Treasury Regulations Section 1.409A-3(i)(4)(i)(A). A Disability shall be deemed to occur at the time of the determination by the Committee of the Disability.</w:t>
      </w:r>
    </w:p>
    <w:p>
      <w:pPr>
        <w:spacing w:after="0" w:line="143" w:lineRule="exact"/>
        <w:rPr>
          <w:sz w:val="20"/>
          <w:szCs w:val="20"/>
          <w:color w:val="auto"/>
        </w:rPr>
      </w:pPr>
    </w:p>
    <w:p>
      <w:pPr>
        <w:jc w:val="both"/>
        <w:ind w:right="180" w:firstLine="951"/>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Effective Date</w:t>
      </w:r>
      <w:r>
        <w:rPr>
          <w:rFonts w:ascii="Times New Roman" w:cs="Times New Roman" w:eastAsia="Times New Roman" w:hAnsi="Times New Roman"/>
          <w:sz w:val="17"/>
          <w:szCs w:val="17"/>
          <w:color w:val="auto"/>
        </w:rPr>
        <w:t>” means the day immediately prior to the date on which the Company’s registration statement on Form S-1 in connection with its initial public offering of Common Stock is declared effective by the Securities and Exchange Commission under the Securities Act, subject to approval of the Plan by the stockholders of the Company.</w:t>
      </w:r>
    </w:p>
    <w:p>
      <w:pPr>
        <w:spacing w:after="0" w:line="159" w:lineRule="exact"/>
        <w:rPr>
          <w:sz w:val="20"/>
          <w:szCs w:val="20"/>
          <w:color w:val="auto"/>
        </w:rPr>
      </w:pPr>
    </w:p>
    <w:p>
      <w:pPr>
        <w:ind w:right="260" w:firstLine="951"/>
        <w:spacing w:after="0" w:line="29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Eligible Person</w:t>
      </w:r>
      <w:r>
        <w:rPr>
          <w:rFonts w:ascii="Times New Roman" w:cs="Times New Roman" w:eastAsia="Times New Roman" w:hAnsi="Times New Roman"/>
          <w:sz w:val="17"/>
          <w:szCs w:val="17"/>
          <w:color w:val="auto"/>
        </w:rPr>
        <w:t>” means any Person who is an officer, employee, Non-Employee Director, or any natural person who is a consultant or other personal service provider of the Company or any of its Subsidiaries.</w:t>
      </w:r>
    </w:p>
    <w:p>
      <w:pPr>
        <w:spacing w:after="0" w:line="143" w:lineRule="exact"/>
        <w:rPr>
          <w:sz w:val="20"/>
          <w:szCs w:val="20"/>
          <w:color w:val="auto"/>
        </w:rPr>
      </w:pPr>
    </w:p>
    <w:p>
      <w:pPr>
        <w:ind w:right="280" w:firstLine="951"/>
        <w:spacing w:after="0" w:line="29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 as the same may be amended from time to time.</w:t>
      </w:r>
    </w:p>
    <w:p>
      <w:pPr>
        <w:spacing w:after="0" w:line="143" w:lineRule="exact"/>
        <w:rPr>
          <w:sz w:val="20"/>
          <w:szCs w:val="20"/>
          <w:color w:val="auto"/>
        </w:rPr>
      </w:pPr>
    </w:p>
    <w:p>
      <w:pPr>
        <w:ind w:firstLine="951"/>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Fair Market Value</w:t>
      </w:r>
      <w:r>
        <w:rPr>
          <w:rFonts w:ascii="Times New Roman" w:cs="Times New Roman" w:eastAsia="Times New Roman" w:hAnsi="Times New Roman"/>
          <w:sz w:val="17"/>
          <w:szCs w:val="17"/>
          <w:color w:val="auto"/>
        </w:rPr>
        <w:t>” means, as applied to a specific date, the price of a share of Common Stock that is based on any of the opening, closing, actual, high, low or average selling prices of a share of Common Stock reported on any established stock exchange or national market system including without limitation the National Association of Securities Dealers, Inc. Automated Quotation System (“</w:t>
      </w:r>
      <w:r>
        <w:rPr>
          <w:rFonts w:ascii="Times New Roman" w:cs="Times New Roman" w:eastAsia="Times New Roman" w:hAnsi="Times New Roman"/>
          <w:sz w:val="17"/>
          <w:szCs w:val="17"/>
          <w:i w:val="1"/>
          <w:iCs w:val="1"/>
          <w:color w:val="auto"/>
        </w:rPr>
        <w:t>NASDAQ</w:t>
      </w:r>
      <w:r>
        <w:rPr>
          <w:rFonts w:ascii="Times New Roman" w:cs="Times New Roman" w:eastAsia="Times New Roman" w:hAnsi="Times New Roman"/>
          <w:sz w:val="17"/>
          <w:szCs w:val="17"/>
          <w:color w:val="auto"/>
        </w:rPr>
        <w:t>”), the New York Stock Exchange and the National Market System on the applicable date, the preceding trading day, the next succeeding trading day, or an average of trading days, as determined by the Committee in its discretion. Unless the Committee determines otherwise or unless otherwise specified in an Award Agreement, Fair Market Value shall be deemed to be equal to the closing price of a share of Common Stock on the date as of which Fair Market Value is to be determined, or if shares of Common Stock are not publicly traded on such date, as of the most recent date on which shares of Common Stock were publicly traded. Notwithstanding the foregoing, if the Common Stock is not traded on any established stock exchange or national market system, the Fair Market Value means the price of a share of Common Stock as established by the Committee; provided that if the calculation of Fair Market Value is for purposes of setting an exercise or base price of a Stock Option or a Stock Appreciation Right, then such calculations shall be based on a reasonable valuation method that is consistent with the requirements of Section 409A of the Code and the regulations thereunder.</w:t>
      </w:r>
    </w:p>
    <w:p>
      <w:pPr>
        <w:spacing w:after="0" w:line="175" w:lineRule="exact"/>
        <w:rPr>
          <w:sz w:val="20"/>
          <w:szCs w:val="20"/>
          <w:color w:val="auto"/>
        </w:rPr>
      </w:pPr>
    </w:p>
    <w:p>
      <w:pPr>
        <w:ind w:right="40" w:firstLine="951"/>
        <w:spacing w:after="0" w:line="29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Incentive Stock Option</w:t>
      </w:r>
      <w:r>
        <w:rPr>
          <w:rFonts w:ascii="Times New Roman" w:cs="Times New Roman" w:eastAsia="Times New Roman" w:hAnsi="Times New Roman"/>
          <w:sz w:val="17"/>
          <w:szCs w:val="17"/>
          <w:color w:val="auto"/>
        </w:rPr>
        <w:t xml:space="preserve">” means a Stock Option granted under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hereof that is intended to meet the requirements of Section 422 of the Code and the regulations thereunder.</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Non-Employee Director</w:t>
      </w:r>
      <w:r>
        <w:rPr>
          <w:rFonts w:ascii="Times New Roman" w:cs="Times New Roman" w:eastAsia="Times New Roman" w:hAnsi="Times New Roman"/>
          <w:sz w:val="17"/>
          <w:szCs w:val="17"/>
          <w:color w:val="auto"/>
        </w:rPr>
        <w:t>” means a member of the Board who is not an employee of the Company or any of its Subsidiaries.</w:t>
      </w:r>
    </w:p>
    <w:p>
      <w:pPr>
        <w:spacing w:after="0" w:line="21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Nonqualified Stock Option</w:t>
      </w:r>
      <w:r>
        <w:rPr>
          <w:rFonts w:ascii="Times New Roman" w:cs="Times New Roman" w:eastAsia="Times New Roman" w:hAnsi="Times New Roman"/>
          <w:sz w:val="17"/>
          <w:szCs w:val="17"/>
          <w:color w:val="auto"/>
        </w:rPr>
        <w:t xml:space="preserve">” means a Stock Option granted under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hereof that is not an Incentive Stock Option.</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540"/>
          </w:cols>
          <w:pgMar w:left="660" w:top="262" w:right="699" w:bottom="1440" w:gutter="0" w:footer="0" w:header="0"/>
        </w:sectPr>
      </w:pPr>
    </w:p>
    <w:bookmarkStart w:id="13" w:name="page14"/>
    <w:bookmarkEnd w:id="13"/>
    <w:p>
      <w:pPr>
        <w:ind w:left="9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Participant</w:t>
      </w:r>
      <w:r>
        <w:rPr>
          <w:rFonts w:ascii="Times New Roman" w:cs="Times New Roman" w:eastAsia="Times New Roman" w:hAnsi="Times New Roman"/>
          <w:sz w:val="17"/>
          <w:szCs w:val="17"/>
          <w:color w:val="auto"/>
        </w:rPr>
        <w:t>” means any Eligible Person who holds an outstanding Award under the Plan.</w:t>
      </w:r>
    </w:p>
    <w:p>
      <w:pPr>
        <w:spacing w:after="0" w:line="219" w:lineRule="exact"/>
        <w:rPr>
          <w:sz w:val="20"/>
          <w:szCs w:val="20"/>
          <w:color w:val="auto"/>
        </w:rPr>
      </w:pPr>
    </w:p>
    <w:p>
      <w:pPr>
        <w:ind w:right="80" w:firstLine="951"/>
        <w:spacing w:after="0" w:line="29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Person</w:t>
      </w:r>
      <w:r>
        <w:rPr>
          <w:rFonts w:ascii="Times New Roman" w:cs="Times New Roman" w:eastAsia="Times New Roman" w:hAnsi="Times New Roman"/>
          <w:sz w:val="17"/>
          <w:szCs w:val="17"/>
          <w:color w:val="auto"/>
        </w:rPr>
        <w:t>” means an individual, corporation, partnership, association, trust, unincorporated organization, limited liability company or other legal entity. All references to Person shall include an individual Person or a group (as defined in Rule 13d-5 under the Exchange Act) of Persons.</w:t>
      </w:r>
    </w:p>
    <w:p>
      <w:pPr>
        <w:spacing w:after="0" w:line="143" w:lineRule="exact"/>
        <w:rPr>
          <w:sz w:val="20"/>
          <w:szCs w:val="20"/>
          <w:color w:val="auto"/>
        </w:rPr>
      </w:pPr>
    </w:p>
    <w:p>
      <w:pPr>
        <w:ind w:right="440" w:firstLine="951"/>
        <w:spacing w:after="0" w:line="29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Plan</w:t>
      </w:r>
      <w:r>
        <w:rPr>
          <w:rFonts w:ascii="Times New Roman" w:cs="Times New Roman" w:eastAsia="Times New Roman" w:hAnsi="Times New Roman"/>
          <w:sz w:val="17"/>
          <w:szCs w:val="17"/>
          <w:color w:val="auto"/>
        </w:rPr>
        <w:t>” means the SOLV Energy, Inc. 2026 Equity Incentive Plan as set forth herein, effective as of the Effective Date and as may be amended from time to time, as provided herein, and any sub-plan or appendix that may be approved by the Board.</w:t>
      </w:r>
    </w:p>
    <w:p>
      <w:pPr>
        <w:spacing w:after="0" w:line="143" w:lineRule="exact"/>
        <w:rPr>
          <w:sz w:val="20"/>
          <w:szCs w:val="20"/>
          <w:color w:val="auto"/>
        </w:rPr>
      </w:pPr>
    </w:p>
    <w:p>
      <w:pPr>
        <w:ind w:right="20" w:firstLine="951"/>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Restricted Stock Award</w:t>
      </w:r>
      <w:r>
        <w:rPr>
          <w:rFonts w:ascii="Times New Roman" w:cs="Times New Roman" w:eastAsia="Times New Roman" w:hAnsi="Times New Roman"/>
          <w:sz w:val="17"/>
          <w:szCs w:val="17"/>
          <w:color w:val="auto"/>
        </w:rPr>
        <w:t xml:space="preserve">” means a grant of shares of Common Stock to an Eligible Person under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hereof that are issued subject to such vesting and transfer restrictions as the Committee shall determine, and such other conditions, as are set forth in the Plan and the applicable Award Agreement.</w:t>
      </w:r>
    </w:p>
    <w:p>
      <w:pPr>
        <w:spacing w:after="0" w:line="159" w:lineRule="exact"/>
        <w:rPr>
          <w:sz w:val="20"/>
          <w:szCs w:val="20"/>
          <w:color w:val="auto"/>
        </w:rPr>
      </w:pPr>
    </w:p>
    <w:p>
      <w:pPr>
        <w:ind w:right="100" w:firstLine="951"/>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Restricted Stock Unit</w:t>
      </w:r>
      <w:r>
        <w:rPr>
          <w:rFonts w:ascii="Times New Roman" w:cs="Times New Roman" w:eastAsia="Times New Roman" w:hAnsi="Times New Roman"/>
          <w:sz w:val="17"/>
          <w:szCs w:val="17"/>
          <w:color w:val="auto"/>
        </w:rPr>
        <w:t xml:space="preserve">” means a contractual right granted to an Eligible Person under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hereof representing notional unit interests equal in value to a share of Common Stock to be paid or distributed at such times, and subject to such conditions, as set forth in the Plan and the applicable Award Agreement.</w:t>
      </w:r>
    </w:p>
    <w:p>
      <w:pPr>
        <w:spacing w:after="0" w:line="159" w:lineRule="exact"/>
        <w:rPr>
          <w:sz w:val="20"/>
          <w:szCs w:val="20"/>
          <w:color w:val="auto"/>
        </w:rPr>
      </w:pPr>
    </w:p>
    <w:p>
      <w:pPr>
        <w:ind w:right="60" w:firstLine="951"/>
        <w:spacing w:after="0" w:line="29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 means the Securities Act of 1933, as amended, and the rules and regulations promulgated thereunder, as the same may be amended from time to time.</w:t>
      </w:r>
    </w:p>
    <w:p>
      <w:pPr>
        <w:spacing w:after="0" w:line="143" w:lineRule="exact"/>
        <w:rPr>
          <w:sz w:val="20"/>
          <w:szCs w:val="20"/>
          <w:color w:val="auto"/>
        </w:rPr>
      </w:pPr>
    </w:p>
    <w:p>
      <w:pPr>
        <w:ind w:right="120" w:firstLine="951"/>
        <w:spacing w:after="0" w:line="29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Service</w:t>
      </w:r>
      <w:r>
        <w:rPr>
          <w:rFonts w:ascii="Times New Roman" w:cs="Times New Roman" w:eastAsia="Times New Roman" w:hAnsi="Times New Roman"/>
          <w:sz w:val="17"/>
          <w:szCs w:val="17"/>
          <w:color w:val="auto"/>
        </w:rPr>
        <w:t>” means a Participant’s employment with the Company or any Subsidiary or a Participant’s service as a Non-Employee Director, consultant or other service provider with the Company or any Subsidiary, as applicable.</w:t>
      </w:r>
    </w:p>
    <w:p>
      <w:pPr>
        <w:spacing w:after="0" w:line="143" w:lineRule="exact"/>
        <w:rPr>
          <w:sz w:val="20"/>
          <w:szCs w:val="20"/>
          <w:color w:val="auto"/>
        </w:rPr>
      </w:pPr>
    </w:p>
    <w:p>
      <w:pPr>
        <w:jc w:val="both"/>
        <w:ind w:firstLine="951"/>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Stock Appreciation Right</w:t>
      </w:r>
      <w:r>
        <w:rPr>
          <w:rFonts w:ascii="Times New Roman" w:cs="Times New Roman" w:eastAsia="Times New Roman" w:hAnsi="Times New Roman"/>
          <w:sz w:val="17"/>
          <w:szCs w:val="17"/>
          <w:color w:val="auto"/>
        </w:rPr>
        <w:t xml:space="preserve">” means a contractual right granted to an Eligible Person under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hereof entitling such Eligible Person to receive a payment, representing the excess of the Fair Market Value of a share of Common Stock over the base price per share of the right, at such time, and subject to such conditions, as are set forth in the Plan and the applicable Award Agreement.</w:t>
      </w:r>
    </w:p>
    <w:p>
      <w:pPr>
        <w:spacing w:after="0" w:line="159" w:lineRule="exact"/>
        <w:rPr>
          <w:sz w:val="20"/>
          <w:szCs w:val="20"/>
          <w:color w:val="auto"/>
        </w:rPr>
      </w:pPr>
    </w:p>
    <w:p>
      <w:pPr>
        <w:ind w:right="360" w:firstLine="951"/>
        <w:spacing w:after="0" w:line="29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Stock Award</w:t>
      </w:r>
      <w:r>
        <w:rPr>
          <w:rFonts w:ascii="Times New Roman" w:cs="Times New Roman" w:eastAsia="Times New Roman" w:hAnsi="Times New Roman"/>
          <w:sz w:val="17"/>
          <w:szCs w:val="17"/>
          <w:color w:val="auto"/>
        </w:rPr>
        <w:t xml:space="preserve">” means a grant of shares of Common Stock, or any award that is valued by reference to shares of Common Stock, to an Eligible Person under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hereof.</w:t>
      </w:r>
    </w:p>
    <w:p>
      <w:pPr>
        <w:spacing w:after="0" w:line="143" w:lineRule="exact"/>
        <w:rPr>
          <w:sz w:val="20"/>
          <w:szCs w:val="20"/>
          <w:color w:val="auto"/>
        </w:rPr>
      </w:pPr>
    </w:p>
    <w:p>
      <w:pPr>
        <w:ind w:right="320" w:firstLine="951"/>
        <w:spacing w:after="0" w:line="29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Stock Option</w:t>
      </w:r>
      <w:r>
        <w:rPr>
          <w:rFonts w:ascii="Times New Roman" w:cs="Times New Roman" w:eastAsia="Times New Roman" w:hAnsi="Times New Roman"/>
          <w:sz w:val="17"/>
          <w:szCs w:val="17"/>
          <w:color w:val="auto"/>
        </w:rPr>
        <w:t xml:space="preserve">” means a contractual right granted to an Eligible Person under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hereof to purchase shares of Common Stock at such time and price, and subject to such conditions, as are set forth in the Plan and the applicable Award Agreement.</w:t>
      </w:r>
    </w:p>
    <w:p>
      <w:pPr>
        <w:spacing w:after="0" w:line="143" w:lineRule="exact"/>
        <w:rPr>
          <w:sz w:val="20"/>
          <w:szCs w:val="20"/>
          <w:color w:val="auto"/>
        </w:rPr>
      </w:pPr>
    </w:p>
    <w:p>
      <w:pPr>
        <w:ind w:right="40" w:firstLine="951"/>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Subsidiary</w:t>
      </w:r>
      <w:r>
        <w:rPr>
          <w:rFonts w:ascii="Times New Roman" w:cs="Times New Roman" w:eastAsia="Times New Roman" w:hAnsi="Times New Roman"/>
          <w:sz w:val="17"/>
          <w:szCs w:val="17"/>
          <w:color w:val="auto"/>
        </w:rPr>
        <w:t xml:space="preserve">” means an entity (whether or not a corporation) that is wholly or majority owned or controlled, directly or indirectly, by the Company or any other Affiliate of the Company that is so designated, from time to time, by the Committee, during the period of such Affiliated status, including, without limitation SOLV Energy Holdings LLC;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with respect to Incentive Stock Options, the term “Subsidiary” shall include only an entity that qualifies under Section 424(f) of the Code as a “subsidiary corporation” with respect to the Company.</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540"/>
          </w:cols>
          <w:pgMar w:left="660" w:top="262" w:right="699" w:bottom="1440" w:gutter="0" w:footer="0" w:header="0"/>
        </w:sectPr>
      </w:pPr>
    </w:p>
    <w:bookmarkStart w:id="14" w:name="page15"/>
    <w:bookmarkEnd w:id="14"/>
    <w:p>
      <w:pPr>
        <w:ind w:left="9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Treasury Regulations</w:t>
      </w:r>
      <w:r>
        <w:rPr>
          <w:rFonts w:ascii="Times New Roman" w:cs="Times New Roman" w:eastAsia="Times New Roman" w:hAnsi="Times New Roman"/>
          <w:sz w:val="17"/>
          <w:szCs w:val="17"/>
          <w:color w:val="auto"/>
        </w:rPr>
        <w:t>” means regulations promulgated by the United States Treasury Department.</w:t>
      </w:r>
    </w:p>
    <w:p>
      <w:pPr>
        <w:spacing w:after="0" w:line="117" w:lineRule="exact"/>
        <w:rPr>
          <w:sz w:val="20"/>
          <w:szCs w:val="20"/>
          <w:color w:val="auto"/>
        </w:rPr>
      </w:pPr>
    </w:p>
    <w:p>
      <w:pPr>
        <w:ind w:left="600" w:hanging="177"/>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w:t>
      </w:r>
      <w:r>
        <w:rPr>
          <w:rFonts w:ascii="Times New Roman" w:cs="Times New Roman" w:eastAsia="Times New Roman" w:hAnsi="Times New Roman"/>
          <w:sz w:val="17"/>
          <w:szCs w:val="17"/>
          <w:color w:val="auto"/>
        </w:rPr>
        <w:t>.</w:t>
      </w:r>
    </w:p>
    <w:p>
      <w:pPr>
        <w:spacing w:after="0" w:line="113" w:lineRule="exact"/>
        <w:rPr>
          <w:sz w:val="20"/>
          <w:szCs w:val="20"/>
          <w:color w:val="auto"/>
        </w:rPr>
      </w:pPr>
    </w:p>
    <w:p>
      <w:pPr>
        <w:ind w:firstLine="422"/>
        <w:spacing w:after="0" w:line="261"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i w:val="1"/>
          <w:iCs w:val="1"/>
          <w:color w:val="auto"/>
        </w:rPr>
        <w:t>Committee Members</w:t>
      </w:r>
      <w:r>
        <w:rPr>
          <w:rFonts w:ascii="Times New Roman" w:cs="Times New Roman" w:eastAsia="Times New Roman" w:hAnsi="Times New Roman"/>
          <w:sz w:val="17"/>
          <w:szCs w:val="17"/>
          <w:color w:val="auto"/>
        </w:rPr>
        <w:t>. The Plan shall be administered by the Committee. To the extent deemed necessary by the Board, each Committee member shall satisfy the requirements for (i) an “independent director” under rules adopted by the NASDAQ or other principal exchange on which the Common Stock is then listed and (ii) a “non-employee director” within the meaning of Rule 16b-3 under the Exchange Act. Notwithstanding the foregoing, the mere fact that a Committee member shall fail to qualify under any of the foregoing requirements shall not invalidate any Award made by the Committee which Award is otherwise validly made under the Plan. The Board may exercise all powers of the Committee hereunder and may directly administer the Plan. Neither the Company nor any member of the Board or Committee shall be liable for any action or determination made in good faith by the Board or Committee with respect to the Plan or any Award thereunder.</w:t>
      </w:r>
    </w:p>
    <w:p>
      <w:pPr>
        <w:spacing w:after="0" w:line="66" w:lineRule="exact"/>
        <w:rPr>
          <w:sz w:val="20"/>
          <w:szCs w:val="20"/>
          <w:color w:val="auto"/>
        </w:rPr>
      </w:pPr>
    </w:p>
    <w:p>
      <w:pPr>
        <w:ind w:right="20" w:firstLine="422"/>
        <w:spacing w:after="0" w:line="257"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i w:val="1"/>
          <w:iCs w:val="1"/>
          <w:color w:val="auto"/>
        </w:rPr>
        <w:t>Committee Authority</w:t>
      </w:r>
      <w:r>
        <w:rPr>
          <w:rFonts w:ascii="Times New Roman" w:cs="Times New Roman" w:eastAsia="Times New Roman" w:hAnsi="Times New Roman"/>
          <w:sz w:val="17"/>
          <w:szCs w:val="17"/>
          <w:color w:val="auto"/>
        </w:rPr>
        <w:t>. The Committee shall have all powers and discretion necessary or appropriate to administer the Plan and to control its operation, including, but not limited to, the power to (i) determine the Eligible Persons to whom Awards shall be granted under the Plan, (ii) prescribe the restrictions, terms and conditions of all Awards, (iii) interpret the Plan and terms of the Awards, (iv) adopt rules for the administration, interpretation and application of the Plan as are consistent therewith, and interpret, amend or revoke any such rules, (v) make all determinations with respect to a Participant’s Service and the termination of such Service for purposes of any Award, (vi) correct any defect(s) or omission(s) or reconcile any ambiguity(ies) or inconsistency(ies) in the Plan or any Award thereunder, (vii) make all determinations it deems advisable for the administration of the Plan, (viii) decide all disputes arising in connection with the Plan and to otherwise supervise the administration of the Plan, (ix) subject to the terms of the Plan, amend the terms of an Award in any manner that is not inconsistent with the Plan, (x) accelerate the vesting or, to the extent applicable, exercisability of any Award at any time (including, but not limited to, upon a Change in Control or upon termination of Service of a Participant under certain circumstances (including, without limitation, upon retirement)) and (xi) adopt such procedures, modifications or subplans as are necessary or appropriate to permit participation in the Plan by Eligible Persons who are foreign nationals or provide services outside of the United States. The Committee’s determinations under the Plan need not be uniform and may be made by the Committee selectively among Participants and Eligible Persons, whether or not such Persons are similarly situated. The Committee shall, in its discretion, consider such factors as it deems relevant in making its interpretations, determinations and actions under the Plan including, without limitation, the recommendations or advice of any officer or employee of the Company or board of directors of a Subsidiary or such attorneys, consultants, accountants or other advisors as it may select. All interpretations, determinations, and actions by the Committee shall be final, conclusive, and binding upon all parties.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540"/>
          </w:cols>
          <w:pgMar w:left="660" w:top="262" w:right="699" w:bottom="1440" w:gutter="0" w:footer="0" w:header="0"/>
        </w:sectPr>
      </w:pPr>
    </w:p>
    <w:bookmarkStart w:id="15" w:name="page16"/>
    <w:bookmarkEnd w:id="15"/>
    <w:p>
      <w:pPr>
        <w:ind w:firstLine="422"/>
        <w:spacing w:after="0" w:line="25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3.3 </w:t>
      </w:r>
      <w:r>
        <w:rPr>
          <w:rFonts w:ascii="Times New Roman" w:cs="Times New Roman" w:eastAsia="Times New Roman" w:hAnsi="Times New Roman"/>
          <w:sz w:val="17"/>
          <w:szCs w:val="17"/>
          <w:i w:val="1"/>
          <w:iCs w:val="1"/>
          <w:color w:val="auto"/>
        </w:rPr>
        <w:t>Delegation of Authority</w:t>
      </w:r>
      <w:r>
        <w:rPr>
          <w:rFonts w:ascii="Times New Roman" w:cs="Times New Roman" w:eastAsia="Times New Roman" w:hAnsi="Times New Roman"/>
          <w:sz w:val="17"/>
          <w:szCs w:val="17"/>
          <w:color w:val="auto"/>
        </w:rPr>
        <w:t>. The Committee shall have the right, from time to time, to delegate in writing to one or more officers of the Company the authority of the Committee to grant and determine the terms and conditions of Awards granted under the Plan, subject to the requirements of Section 157(c) of the Delaware General Corporation Law (or any successor provision) or such other limitations as the Committee shall determine. In no event shall any such delegation of authority be permitted with respect to Awards granted to any member of the Board or to any Eligible Person who is subject to Rule 16b-3 under the Exchange Act. The Committee shall also be permitted to delegate, to any appropriate officer or employee of the Company, responsibility for performing certain ministerial functions under the Plan. In the event that the Committee’s authority is delegated to officers or employees in accordance with the foregoing, all provisions of the Plan relating to the Committee shall be interpreted by treating any such reference as a reference to such officer or employee for such purpose. Any action undertaken in accordance with the Committee’s delegation of authority hereunder shall have the same force and effect as if such action was undertaken directly by the Committee and shall be deemed for all purposes of the Plan to have been taken by the Committee.</w:t>
      </w:r>
    </w:p>
    <w:p>
      <w:pPr>
        <w:spacing w:after="0" w:line="76" w:lineRule="exact"/>
        <w:rPr>
          <w:sz w:val="20"/>
          <w:szCs w:val="20"/>
          <w:color w:val="auto"/>
        </w:rPr>
      </w:pPr>
    </w:p>
    <w:p>
      <w:pPr>
        <w:ind w:left="600" w:hanging="177"/>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Shares Subject to the Plan</w:t>
      </w:r>
      <w:r>
        <w:rPr>
          <w:rFonts w:ascii="Times New Roman" w:cs="Times New Roman" w:eastAsia="Times New Roman" w:hAnsi="Times New Roman"/>
          <w:sz w:val="17"/>
          <w:szCs w:val="17"/>
          <w:color w:val="auto"/>
        </w:rPr>
        <w:t>.</w:t>
      </w:r>
    </w:p>
    <w:p>
      <w:pPr>
        <w:spacing w:after="0" w:line="113" w:lineRule="exact"/>
        <w:rPr>
          <w:sz w:val="20"/>
          <w:szCs w:val="20"/>
          <w:color w:val="auto"/>
        </w:rPr>
      </w:pPr>
    </w:p>
    <w:p>
      <w:pPr>
        <w:ind w:right="40" w:firstLine="422"/>
        <w:spacing w:after="0" w:line="259"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i w:val="1"/>
          <w:iCs w:val="1"/>
          <w:color w:val="auto"/>
        </w:rPr>
        <w:t>Number of Shares Reserved</w:t>
      </w:r>
      <w:r>
        <w:rPr>
          <w:rFonts w:ascii="Times New Roman" w:cs="Times New Roman" w:eastAsia="Times New Roman" w:hAnsi="Times New Roman"/>
          <w:sz w:val="17"/>
          <w:szCs w:val="17"/>
          <w:color w:val="auto"/>
        </w:rPr>
        <w:t xml:space="preserve">. Subject to adjustment as provided in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hereof, the total number of shares of Common Stock that are available for issuance under the Plan shall equal 7,500,000 (the “</w:t>
      </w:r>
      <w:r>
        <w:rPr>
          <w:rFonts w:ascii="Times New Roman" w:cs="Times New Roman" w:eastAsia="Times New Roman" w:hAnsi="Times New Roman"/>
          <w:sz w:val="17"/>
          <w:szCs w:val="17"/>
          <w:i w:val="1"/>
          <w:iCs w:val="1"/>
          <w:color w:val="auto"/>
        </w:rPr>
        <w:t>Share Reserve</w:t>
      </w:r>
      <w:r>
        <w:rPr>
          <w:rFonts w:ascii="Times New Roman" w:cs="Times New Roman" w:eastAsia="Times New Roman" w:hAnsi="Times New Roman"/>
          <w:sz w:val="17"/>
          <w:szCs w:val="17"/>
          <w:color w:val="auto"/>
        </w:rPr>
        <w:t>”). Within the Share Reserve, the total number of shares of Common Stock available for issuance as Incentive Stock Options shall equal the maximum number of shares available for issuance under the Plan. Each share of Common Stock subject to an Award shall reduce the Share Reserve by one share. Any share of Common Stock delivered under the Plan shall consist of authorized and unissued shares or treasury shares. On the first day of each fiscal year of the Company, commencing on the first January 1 following the Effective Date and ending on (and including) the January 1 immediately following the ninth (9th) anniversary of the Effective Date, the aggregate number of shares of Common Stock that may be issued under the Plan shall automatically be increased by a number equal to 3% of the total number of shares of Common Stock actually issued and outstanding on the last day of the preceding fiscal year; provided, however, that the Board may act prior to January 1st of a given year to provide that the increase for such year will be a lesser number of shares of Common Stock.</w:t>
      </w:r>
    </w:p>
    <w:p>
      <w:pPr>
        <w:spacing w:after="0" w:line="70" w:lineRule="exact"/>
        <w:rPr>
          <w:sz w:val="20"/>
          <w:szCs w:val="20"/>
          <w:color w:val="auto"/>
        </w:rPr>
      </w:pPr>
    </w:p>
    <w:p>
      <w:pPr>
        <w:ind w:right="60" w:firstLine="422"/>
        <w:spacing w:after="0" w:line="262"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i w:val="1"/>
          <w:iCs w:val="1"/>
          <w:color w:val="auto"/>
        </w:rPr>
        <w:t>Share Replenishment</w:t>
      </w:r>
      <w:r>
        <w:rPr>
          <w:rFonts w:ascii="Times New Roman" w:cs="Times New Roman" w:eastAsia="Times New Roman" w:hAnsi="Times New Roman"/>
          <w:sz w:val="17"/>
          <w:szCs w:val="17"/>
          <w:color w:val="auto"/>
        </w:rPr>
        <w:t>. Following the Effective Date, to the extent that an Award granted under this Plan is canceled, expired, forfeited or surrendered without consideration or otherwise terminated without delivery of the shares of Common Stock to the Participant under the Plan (or any other consideration), the shares of Common Stock retained by or returned to the Company will (i) not be deemed to have been delivered under the Plan,</w:t>
      </w:r>
    </w:p>
    <w:p>
      <w:pPr>
        <w:spacing w:after="0" w:line="2" w:lineRule="exact"/>
        <w:rPr>
          <w:sz w:val="20"/>
          <w:szCs w:val="20"/>
          <w:color w:val="auto"/>
        </w:rPr>
      </w:pPr>
    </w:p>
    <w:p>
      <w:pPr>
        <w:ind w:right="180"/>
        <w:spacing w:after="0" w:line="254" w:lineRule="auto"/>
        <w:tabs>
          <w:tab w:leader="none" w:pos="25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available for future Awards under the Plan, and (iii) increase the Share Reserve by one share for each share that is retained by or returned to the Company. Notwithstanding the foregoing, shares of Common Stock that are (x) withheld from any Award granted under this Plan in payment of the exercise, base or purchase price or taxes relating to such an Award, (y) not issued or delivered as a result of the net settlement of any Award, or</w:t>
      </w:r>
    </w:p>
    <w:p>
      <w:pPr>
        <w:ind w:right="80"/>
        <w:spacing w:after="0" w:line="261" w:lineRule="auto"/>
        <w:tabs>
          <w:tab w:leader="none" w:pos="2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repurchased by the Company on the open market with the proceeds received from the Participant exercising a Stock Option, will be deemed to have been delivered under the Plan and will not be available for future Awards under the Plan. The payment of dividend equivalents in cash in conjunction with any outstanding Award shall not count against the Share Reserve.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540"/>
          </w:cols>
          <w:pgMar w:left="660" w:top="262" w:right="699" w:bottom="1440" w:gutter="0" w:footer="0" w:header="0"/>
        </w:sectPr>
      </w:pPr>
    </w:p>
    <w:bookmarkStart w:id="16" w:name="page17"/>
    <w:bookmarkEnd w:id="16"/>
    <w:p>
      <w:pPr>
        <w:ind w:right="80" w:firstLine="422"/>
        <w:spacing w:after="0" w:line="26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4.3 </w:t>
      </w:r>
      <w:r>
        <w:rPr>
          <w:rFonts w:ascii="Times New Roman" w:cs="Times New Roman" w:eastAsia="Times New Roman" w:hAnsi="Times New Roman"/>
          <w:sz w:val="17"/>
          <w:szCs w:val="17"/>
          <w:i w:val="1"/>
          <w:iCs w:val="1"/>
          <w:color w:val="auto"/>
        </w:rPr>
        <w:t>Awards Granted to Non-Employee Directors</w:t>
      </w:r>
      <w:r>
        <w:rPr>
          <w:rFonts w:ascii="Times New Roman" w:cs="Times New Roman" w:eastAsia="Times New Roman" w:hAnsi="Times New Roman"/>
          <w:sz w:val="17"/>
          <w:szCs w:val="17"/>
          <w:color w:val="auto"/>
        </w:rPr>
        <w:t>. No Non-Employee Director may be granted, during any calendar year, Awards having a fair value (determined on the Date of Grant) that, when added to all cash compensation paid to the Non-Employee Director in respect of the Non-Employee Director’s service as a member of the Board for such calendar year, exceeds $750,000. The independent members of the Board may make exceptions to this limit for a non-executive chair of the Board or for an initial Award granted to a Non-Employee Director following his or her appointment to the Board, provided, that, the Non-Employee Director receiving such additional compensation may not participate in the decision to award such compensation.</w:t>
      </w:r>
    </w:p>
    <w:p>
      <w:pPr>
        <w:spacing w:after="0" w:line="66" w:lineRule="exact"/>
        <w:rPr>
          <w:sz w:val="20"/>
          <w:szCs w:val="20"/>
          <w:color w:val="auto"/>
        </w:rPr>
      </w:pPr>
    </w:p>
    <w:p>
      <w:pPr>
        <w:ind w:firstLine="422"/>
        <w:spacing w:after="0" w:line="257"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i w:val="1"/>
          <w:iCs w:val="1"/>
          <w:color w:val="auto"/>
        </w:rPr>
        <w:t>Adjustments</w:t>
      </w:r>
      <w:r>
        <w:rPr>
          <w:rFonts w:ascii="Times New Roman" w:cs="Times New Roman" w:eastAsia="Times New Roman" w:hAnsi="Times New Roman"/>
          <w:sz w:val="17"/>
          <w:szCs w:val="17"/>
          <w:color w:val="auto"/>
        </w:rPr>
        <w:t xml:space="preserve">. If there shall occur any change with respect to the outstanding shares of Common Stock by reason of any recapitalization, reclassification, stock dividend, extraordinary cash dividend, stock split, reverse stock split or other distribution with respect to the shares of Common Stock or any merger, reorganization, consolidation, combination, spin-off or other corporate event or transaction or any other change affecting the Common Stock (other than regular cash dividends to stockholders of the Company), the Committee shall, in the manner and to the extent it considers appropriate and equitable to the Participants and consistent with the terms of the Plan, cause an adjustment to be made to (i) the maximum number and kind of shares of Common Stock or other securities provided in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hereof, (ii) the number and kind of shares of Common Stock, units or other securities or rights subject to then outstanding Awards, (iii) the exercise, base or purchase price for each share or unit or other security or right subject to then outstanding Awards, (iv) other value determinations applicable to the Plan and/or outstanding Awards, and/or (v) any other terms of an Award that are affected by the event. Notwithstanding the foregoing, (a) any such adjustments shall, to the extent necessary to avoid additional taxes, be made in a manner consistent with the requirements of Section 409A of the Code and (b) in the case of Incentive Stock Options, any such adjustments shall, to the extent practicable, be made in a manner consistent with the requirements of Section 424(a) of the Code, in each case, unless otherwise determined by the Committee.</w:t>
      </w:r>
    </w:p>
    <w:p>
      <w:pPr>
        <w:spacing w:after="0" w:line="80" w:lineRule="exact"/>
        <w:rPr>
          <w:sz w:val="20"/>
          <w:szCs w:val="20"/>
          <w:color w:val="auto"/>
        </w:rPr>
      </w:pPr>
    </w:p>
    <w:p>
      <w:pPr>
        <w:ind w:left="600" w:hanging="177"/>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Eligibility and Awards</w:t>
      </w:r>
      <w:r>
        <w:rPr>
          <w:rFonts w:ascii="Times New Roman" w:cs="Times New Roman" w:eastAsia="Times New Roman" w:hAnsi="Times New Roman"/>
          <w:sz w:val="17"/>
          <w:szCs w:val="17"/>
          <w:color w:val="auto"/>
        </w:rPr>
        <w:t>.</w:t>
      </w:r>
    </w:p>
    <w:p>
      <w:pPr>
        <w:spacing w:after="0" w:line="113" w:lineRule="exact"/>
        <w:rPr>
          <w:sz w:val="20"/>
          <w:szCs w:val="20"/>
          <w:color w:val="auto"/>
        </w:rPr>
      </w:pPr>
    </w:p>
    <w:p>
      <w:pPr>
        <w:ind w:right="120" w:firstLine="422"/>
        <w:spacing w:after="0" w:line="261"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i w:val="1"/>
          <w:iCs w:val="1"/>
          <w:color w:val="auto"/>
        </w:rPr>
        <w:t>Designation of Participants</w:t>
      </w:r>
      <w:r>
        <w:rPr>
          <w:rFonts w:ascii="Times New Roman" w:cs="Times New Roman" w:eastAsia="Times New Roman" w:hAnsi="Times New Roman"/>
          <w:sz w:val="17"/>
          <w:szCs w:val="17"/>
          <w:color w:val="auto"/>
        </w:rPr>
        <w:t>. Any Eligible Person may be selected by the Committee to receive an Award and become a Participant. The Committee has the authority, in its discretion, to determine and designate from time to time those Eligible Persons who are to be granted Awards, the types of Awards to be granted, the number of shares of Common Stock or units subject to Awards to be granted and the terms and conditions of such Awards consistent with the terms of the Plan. In selecting Eligible Persons to be Participants, and in determining the type and amount of Awards to be granted under the Plan, the Committee shall consider any and all factors that it deems relevant or appropriate. Designation of a Participant in any year shall not require the Committee to designate such Person to receive an Award in any other year or, once designated, to receive the same type or amount of Award as granted to such Participant in any other year.</w:t>
      </w:r>
    </w:p>
    <w:p>
      <w:pPr>
        <w:spacing w:after="0" w:line="66" w:lineRule="exact"/>
        <w:rPr>
          <w:sz w:val="20"/>
          <w:szCs w:val="20"/>
          <w:color w:val="auto"/>
        </w:rPr>
      </w:pPr>
    </w:p>
    <w:p>
      <w:pPr>
        <w:ind w:right="20" w:firstLine="422"/>
        <w:spacing w:after="0" w:line="274"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i w:val="1"/>
          <w:iCs w:val="1"/>
          <w:color w:val="auto"/>
        </w:rPr>
        <w:t>Determination of Awards</w:t>
      </w:r>
      <w:r>
        <w:rPr>
          <w:rFonts w:ascii="Times New Roman" w:cs="Times New Roman" w:eastAsia="Times New Roman" w:hAnsi="Times New Roman"/>
          <w:sz w:val="17"/>
          <w:szCs w:val="17"/>
          <w:color w:val="auto"/>
        </w:rPr>
        <w:t xml:space="preserve">. The Committee shall determine the terms and conditions of all Awards granted to Participants in accordance with its authority under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hereof. An Award may consist of one type of right or benefit hereunder or of two or more such rights or benefits granted in tandem.</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560"/>
          </w:cols>
          <w:pgMar w:left="660" w:top="262" w:right="679" w:bottom="1440" w:gutter="0" w:footer="0" w:header="0"/>
        </w:sectPr>
      </w:pPr>
    </w:p>
    <w:bookmarkStart w:id="17" w:name="page18"/>
    <w:bookmarkEnd w:id="17"/>
    <w:p>
      <w:pPr>
        <w:ind w:right="520" w:firstLine="422"/>
        <w:spacing w:after="0" w:line="29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5.3 </w:t>
      </w:r>
      <w:r>
        <w:rPr>
          <w:rFonts w:ascii="Times New Roman" w:cs="Times New Roman" w:eastAsia="Times New Roman" w:hAnsi="Times New Roman"/>
          <w:sz w:val="17"/>
          <w:szCs w:val="17"/>
          <w:i w:val="1"/>
          <w:iCs w:val="1"/>
          <w:color w:val="auto"/>
        </w:rPr>
        <w:t>Award Agreements</w:t>
      </w:r>
      <w:r>
        <w:rPr>
          <w:rFonts w:ascii="Times New Roman" w:cs="Times New Roman" w:eastAsia="Times New Roman" w:hAnsi="Times New Roman"/>
          <w:sz w:val="17"/>
          <w:szCs w:val="17"/>
          <w:color w:val="auto"/>
        </w:rPr>
        <w:t xml:space="preserve">. Each Award granted to an Eligible Person shall be represented by an Award Agreement. The terms of the Award, as determined by the Committee, will be set forth in the applicable Award Agreement as described in </w:t>
      </w:r>
      <w:r>
        <w:rPr>
          <w:rFonts w:ascii="Times New Roman" w:cs="Times New Roman" w:eastAsia="Times New Roman" w:hAnsi="Times New Roman"/>
          <w:sz w:val="17"/>
          <w:szCs w:val="17"/>
          <w:u w:val="single" w:color="auto"/>
          <w:color w:val="auto"/>
        </w:rPr>
        <w:t>Section 15.2</w:t>
      </w:r>
      <w:r>
        <w:rPr>
          <w:rFonts w:ascii="Times New Roman" w:cs="Times New Roman" w:eastAsia="Times New Roman" w:hAnsi="Times New Roman"/>
          <w:sz w:val="17"/>
          <w:szCs w:val="17"/>
          <w:color w:val="auto"/>
        </w:rPr>
        <w:t xml:space="preserve"> hereof.</w:t>
      </w:r>
    </w:p>
    <w:p>
      <w:pPr>
        <w:spacing w:after="0" w:line="41" w:lineRule="exact"/>
        <w:rPr>
          <w:sz w:val="20"/>
          <w:szCs w:val="20"/>
          <w:color w:val="auto"/>
        </w:rPr>
      </w:pPr>
    </w:p>
    <w:p>
      <w:pPr>
        <w:ind w:left="600" w:hanging="177"/>
        <w:spacing w:after="0"/>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Options</w:t>
      </w:r>
      <w:r>
        <w:rPr>
          <w:rFonts w:ascii="Times New Roman" w:cs="Times New Roman" w:eastAsia="Times New Roman" w:hAnsi="Times New Roman"/>
          <w:sz w:val="17"/>
          <w:szCs w:val="17"/>
          <w:color w:val="auto"/>
        </w:rPr>
        <w:t>.</w:t>
      </w:r>
    </w:p>
    <w:p>
      <w:pPr>
        <w:spacing w:after="0" w:line="113" w:lineRule="exact"/>
        <w:rPr>
          <w:sz w:val="20"/>
          <w:szCs w:val="20"/>
          <w:color w:val="auto"/>
        </w:rPr>
      </w:pPr>
    </w:p>
    <w:p>
      <w:pPr>
        <w:ind w:right="100" w:firstLine="422"/>
        <w:spacing w:after="0" w:line="267"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i w:val="1"/>
          <w:iCs w:val="1"/>
          <w:color w:val="auto"/>
        </w:rPr>
        <w:t>Grant of Stock Options</w:t>
      </w:r>
      <w:r>
        <w:rPr>
          <w:rFonts w:ascii="Times New Roman" w:cs="Times New Roman" w:eastAsia="Times New Roman" w:hAnsi="Times New Roman"/>
          <w:sz w:val="17"/>
          <w:szCs w:val="17"/>
          <w:color w:val="auto"/>
        </w:rPr>
        <w:t xml:space="preserve">. A Stock Option may be granted to any Eligible Person selected by the Committee, except that an Incentive Stock Option may be granted only to an Eligible Person satisfying the conditions of </w:t>
      </w:r>
      <w:r>
        <w:rPr>
          <w:rFonts w:ascii="Times New Roman" w:cs="Times New Roman" w:eastAsia="Times New Roman" w:hAnsi="Times New Roman"/>
          <w:sz w:val="17"/>
          <w:szCs w:val="17"/>
          <w:u w:val="single" w:color="auto"/>
          <w:color w:val="auto"/>
        </w:rPr>
        <w:t>Section 6.7(a)</w:t>
      </w:r>
      <w:r>
        <w:rPr>
          <w:rFonts w:ascii="Times New Roman" w:cs="Times New Roman" w:eastAsia="Times New Roman" w:hAnsi="Times New Roman"/>
          <w:sz w:val="17"/>
          <w:szCs w:val="17"/>
          <w:color w:val="auto"/>
        </w:rPr>
        <w:t xml:space="preserve"> hereof. Each Stock Option shall be designated on the Date of Grant, in the discretion of the Committee, as an Incentive Stock Option or as a Nonqualified Stock Option. All Stock Options granted under the Plan are intended to comply with or be exempt from the requirements of Section 409A of the Code, to the extent applicable.</w:t>
      </w:r>
    </w:p>
    <w:p>
      <w:pPr>
        <w:spacing w:after="0" w:line="63" w:lineRule="exact"/>
        <w:rPr>
          <w:sz w:val="20"/>
          <w:szCs w:val="20"/>
          <w:color w:val="auto"/>
        </w:rPr>
      </w:pPr>
    </w:p>
    <w:p>
      <w:pPr>
        <w:ind w:firstLine="422"/>
        <w:spacing w:after="0" w:line="267"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i w:val="1"/>
          <w:iCs w:val="1"/>
          <w:color w:val="auto"/>
        </w:rPr>
        <w:t>Exercise Price.</w:t>
      </w:r>
      <w:r>
        <w:rPr>
          <w:rFonts w:ascii="Times New Roman" w:cs="Times New Roman" w:eastAsia="Times New Roman" w:hAnsi="Times New Roman"/>
          <w:sz w:val="17"/>
          <w:szCs w:val="17"/>
          <w:color w:val="auto"/>
        </w:rPr>
        <w:t xml:space="preserve"> Unless otherwise determined by the Committee and subject to </w:t>
      </w:r>
      <w:r>
        <w:rPr>
          <w:rFonts w:ascii="Times New Roman" w:cs="Times New Roman" w:eastAsia="Times New Roman" w:hAnsi="Times New Roman"/>
          <w:sz w:val="17"/>
          <w:szCs w:val="17"/>
          <w:u w:val="single" w:color="auto"/>
          <w:color w:val="auto"/>
        </w:rPr>
        <w:t>Section 6.7(c)</w:t>
      </w:r>
      <w:r>
        <w:rPr>
          <w:rFonts w:ascii="Times New Roman" w:cs="Times New Roman" w:eastAsia="Times New Roman" w:hAnsi="Times New Roman"/>
          <w:sz w:val="17"/>
          <w:szCs w:val="17"/>
          <w:color w:val="auto"/>
        </w:rPr>
        <w:t xml:space="preserve">, the exercise price per share of a Stock Option (other than a Stock Option substituted or assumed under </w:t>
      </w:r>
      <w:r>
        <w:rPr>
          <w:rFonts w:ascii="Times New Roman" w:cs="Times New Roman" w:eastAsia="Times New Roman" w:hAnsi="Times New Roman"/>
          <w:sz w:val="17"/>
          <w:szCs w:val="17"/>
          <w:u w:val="single" w:color="auto"/>
          <w:color w:val="auto"/>
        </w:rPr>
        <w:t>Section 15.10</w:t>
      </w:r>
      <w:r>
        <w:rPr>
          <w:rFonts w:ascii="Times New Roman" w:cs="Times New Roman" w:eastAsia="Times New Roman" w:hAnsi="Times New Roman"/>
          <w:sz w:val="17"/>
          <w:szCs w:val="17"/>
          <w:color w:val="auto"/>
        </w:rPr>
        <w:t>) shall not be less than one hundred percent (100%) of the Fair Market Value of a share of Common Stock on the Date of Grant. The Committee may in its discretion specify an exercise price per share that is higher than the Fair Market Value of a share of Common Stock on the Date of Grant.</w:t>
      </w:r>
    </w:p>
    <w:p>
      <w:pPr>
        <w:spacing w:after="0" w:line="63" w:lineRule="exact"/>
        <w:rPr>
          <w:sz w:val="20"/>
          <w:szCs w:val="20"/>
          <w:color w:val="auto"/>
        </w:rPr>
      </w:pPr>
    </w:p>
    <w:p>
      <w:pPr>
        <w:jc w:val="both"/>
        <w:ind w:right="20" w:firstLine="422"/>
        <w:spacing w:after="0" w:line="264"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i w:val="1"/>
          <w:iCs w:val="1"/>
          <w:color w:val="auto"/>
        </w:rPr>
        <w:t>Vesting of Stock Options</w:t>
      </w:r>
      <w:r>
        <w:rPr>
          <w:rFonts w:ascii="Times New Roman" w:cs="Times New Roman" w:eastAsia="Times New Roman" w:hAnsi="Times New Roman"/>
          <w:sz w:val="17"/>
          <w:szCs w:val="17"/>
          <w:color w:val="auto"/>
        </w:rPr>
        <w:t>. The Committee shall, in its discretion, prescribe in an Award Agreement the time or times at which or the conditions upon which, a Stock Option or portion thereof shall become vested and/or exercisable. The requirements for vesting and exercisability of a Stock Option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Stock Option are not satisfied, the Stock Option shall be forfeited.</w:t>
      </w:r>
    </w:p>
    <w:p>
      <w:pPr>
        <w:spacing w:after="0" w:line="64" w:lineRule="exact"/>
        <w:rPr>
          <w:sz w:val="20"/>
          <w:szCs w:val="20"/>
          <w:color w:val="auto"/>
        </w:rPr>
      </w:pPr>
    </w:p>
    <w:p>
      <w:pPr>
        <w:ind w:right="20" w:firstLine="422"/>
        <w:spacing w:after="0" w:line="260"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i w:val="1"/>
          <w:iCs w:val="1"/>
          <w:color w:val="auto"/>
        </w:rPr>
        <w:t>Term of Stock Options</w:t>
      </w:r>
      <w:r>
        <w:rPr>
          <w:rFonts w:ascii="Times New Roman" w:cs="Times New Roman" w:eastAsia="Times New Roman" w:hAnsi="Times New Roman"/>
          <w:sz w:val="17"/>
          <w:szCs w:val="17"/>
          <w:color w:val="auto"/>
        </w:rPr>
        <w:t xml:space="preserve">. The Committee shall in its discretion prescribe in an Award Agreement the period during which a vested Stock Option may be exercised;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maximum term of a Stock Option shall be ten (10) years from the Date of Grant. The Committee may provide that a Stock Option will cease to be exercisable upon or at the end of a specified time period following a termination of Service for any reason as set forth in the Award Agreement or otherwise. A Stock Option may be earlier terminated as specified by the Committee and set forth in an Award Agreement upon or following the termination of a Participant’s Service with the Company or any Subsidiary, including by reason of voluntary resignation, death, Disability, termination for Cause or any other reason. Subject to compliance with Section 409A of the Code and the provisions of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the Committee may extend at any time the period in which a Stock Option may be exercised, but not beyond ten (10) years from the Date of Grant.</w:t>
      </w:r>
    </w:p>
    <w:p>
      <w:pPr>
        <w:spacing w:after="0" w:line="67" w:lineRule="exact"/>
        <w:rPr>
          <w:sz w:val="20"/>
          <w:szCs w:val="20"/>
          <w:color w:val="auto"/>
        </w:rPr>
      </w:pPr>
    </w:p>
    <w:p>
      <w:pPr>
        <w:ind w:right="180" w:firstLine="422"/>
        <w:spacing w:after="0" w:line="267" w:lineRule="auto"/>
        <w:rPr>
          <w:sz w:val="20"/>
          <w:szCs w:val="20"/>
          <w:color w:val="auto"/>
        </w:rPr>
      </w:pPr>
      <w:r>
        <w:rPr>
          <w:rFonts w:ascii="Times New Roman" w:cs="Times New Roman" w:eastAsia="Times New Roman" w:hAnsi="Times New Roman"/>
          <w:sz w:val="17"/>
          <w:szCs w:val="17"/>
          <w:color w:val="auto"/>
        </w:rPr>
        <w:t xml:space="preserve">6.5 </w:t>
      </w:r>
      <w:r>
        <w:rPr>
          <w:rFonts w:ascii="Times New Roman" w:cs="Times New Roman" w:eastAsia="Times New Roman" w:hAnsi="Times New Roman"/>
          <w:sz w:val="17"/>
          <w:szCs w:val="17"/>
          <w:i w:val="1"/>
          <w:iCs w:val="1"/>
          <w:color w:val="auto"/>
        </w:rPr>
        <w:t>Stock Option Exercise; Tax Withholding</w:t>
      </w:r>
      <w:r>
        <w:rPr>
          <w:rFonts w:ascii="Times New Roman" w:cs="Times New Roman" w:eastAsia="Times New Roman" w:hAnsi="Times New Roman"/>
          <w:sz w:val="17"/>
          <w:szCs w:val="17"/>
          <w:color w:val="auto"/>
        </w:rPr>
        <w:t>. Subject to such terms and conditions as specified in an Award Agreement (including applicable vesting requirements), a vested Stock Option may be exercised in whole or in part at any time during the term thereof by written notice in the form required by the Company, together with payment of the aggregate exercise price and applicable withholding tax. Payment of the exercise price may be made: (i) in cash or by cash</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560"/>
          </w:cols>
          <w:pgMar w:left="660" w:top="262" w:right="6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equivalent acceptable to the Committee, or, (ii) to the extent permitted by the Committee, in its sole discretion, in an Award Agreement or otherwise</w:t>
      </w:r>
    </w:p>
    <w:p>
      <w:pPr>
        <w:spacing w:after="0" w:line="30" w:lineRule="exact"/>
        <w:rPr>
          <w:sz w:val="20"/>
          <w:szCs w:val="20"/>
          <w:color w:val="auto"/>
        </w:rPr>
      </w:pPr>
    </w:p>
    <w:p>
      <w:pPr>
        <w:spacing w:after="0" w:line="256" w:lineRule="auto"/>
        <w:tabs>
          <w:tab w:leader="none" w:pos="283"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shares of Common Stock valued at the Fair Market Value of such shares on the date of exercise, (B) through an open-market, broker-assisted sales transaction pursuant to which the Company is promptly delivered the amount of proceeds necessary to satisfy the exercise price, (C) by reducing the number of shares of Common Stock otherwise deliverable upon the exercise of the Stock Option by the number of shares of Common Stock having a Fair Market Value on the date of exercise equal to the exercise price, (D) by a combination of the methods described above or (E) by such other method as may be approved by the Committee. In accordance with </w:t>
      </w:r>
      <w:r>
        <w:rPr>
          <w:rFonts w:ascii="Times New Roman" w:cs="Times New Roman" w:eastAsia="Times New Roman" w:hAnsi="Times New Roman"/>
          <w:sz w:val="17"/>
          <w:szCs w:val="17"/>
          <w:u w:val="single" w:color="auto"/>
          <w:color w:val="auto"/>
        </w:rPr>
        <w:t>Section 15.11</w:t>
      </w:r>
      <w:r>
        <w:rPr>
          <w:rFonts w:ascii="Times New Roman" w:cs="Times New Roman" w:eastAsia="Times New Roman" w:hAnsi="Times New Roman"/>
          <w:sz w:val="17"/>
          <w:szCs w:val="17"/>
          <w:color w:val="auto"/>
        </w:rPr>
        <w:t xml:space="preserve"> hereof, and in addition to and at the time of payment of the exercise price, the Participant shall pay to the Company the full amount of any and all applicable income tax, employment tax and other amounts required to be withheld in connection with such exercise, payable in cash or such other method described above for the payment of the exercise price, as may be approved by the Committee and set forth in the Award Agreement.</w:t>
      </w:r>
    </w:p>
    <w:p>
      <w:pPr>
        <w:spacing w:after="0" w:line="73" w:lineRule="exact"/>
        <w:rPr>
          <w:sz w:val="20"/>
          <w:szCs w:val="20"/>
          <w:color w:val="auto"/>
        </w:rPr>
      </w:pPr>
    </w:p>
    <w:p>
      <w:pPr>
        <w:ind w:right="20" w:firstLine="422"/>
        <w:spacing w:after="0" w:line="260" w:lineRule="auto"/>
        <w:rPr>
          <w:sz w:val="20"/>
          <w:szCs w:val="20"/>
          <w:color w:val="auto"/>
        </w:rPr>
      </w:pPr>
      <w:r>
        <w:rPr>
          <w:rFonts w:ascii="Times New Roman" w:cs="Times New Roman" w:eastAsia="Times New Roman" w:hAnsi="Times New Roman"/>
          <w:sz w:val="17"/>
          <w:szCs w:val="17"/>
          <w:color w:val="auto"/>
        </w:rPr>
        <w:t xml:space="preserve">6.6 </w:t>
      </w:r>
      <w:r>
        <w:rPr>
          <w:rFonts w:ascii="Times New Roman" w:cs="Times New Roman" w:eastAsia="Times New Roman" w:hAnsi="Times New Roman"/>
          <w:sz w:val="17"/>
          <w:szCs w:val="17"/>
          <w:i w:val="1"/>
          <w:iCs w:val="1"/>
          <w:color w:val="auto"/>
        </w:rPr>
        <w:t>Limited Transferability of Nonqualified Stock Options</w:t>
      </w:r>
      <w:r>
        <w:rPr>
          <w:rFonts w:ascii="Times New Roman" w:cs="Times New Roman" w:eastAsia="Times New Roman" w:hAnsi="Times New Roman"/>
          <w:sz w:val="17"/>
          <w:szCs w:val="17"/>
          <w:color w:val="auto"/>
        </w:rPr>
        <w:t xml:space="preserve">. All Stock Options shall be nontransferable except (i) upon the Participant’s death, in accordance with </w:t>
      </w:r>
      <w:r>
        <w:rPr>
          <w:rFonts w:ascii="Times New Roman" w:cs="Times New Roman" w:eastAsia="Times New Roman" w:hAnsi="Times New Roman"/>
          <w:sz w:val="17"/>
          <w:szCs w:val="17"/>
          <w:u w:val="single" w:color="auto"/>
          <w:color w:val="auto"/>
        </w:rPr>
        <w:t>Section 15.3</w:t>
      </w:r>
      <w:r>
        <w:rPr>
          <w:rFonts w:ascii="Times New Roman" w:cs="Times New Roman" w:eastAsia="Times New Roman" w:hAnsi="Times New Roman"/>
          <w:sz w:val="17"/>
          <w:szCs w:val="17"/>
          <w:color w:val="auto"/>
        </w:rPr>
        <w:t xml:space="preserve"> hereof or (ii) in the case of Nonqualified Stock Options only, for the transfer of all or part of the Stock Option to a Participant’s “family member” (as defined for purposes of the Form S-8 registration statement under the Securities Act), or as otherwise permitted by the Committee to the extent also permitted by the general instructions of the Form S-8 registration statement, as may be amended from time to time, in each case as may be approved by the Committee in its discretion at the time of proposed transfer; provided, in each case, that any permitted transfer shall be for no consideration. The transfer of a Nonqualified Stock Option may be subject to such terms and conditions as the Committee may in its discretion impose from time to time. Subsequent transfers of a Nonqualified Stock Option shall be prohibited other than in accordance with </w:t>
      </w:r>
      <w:r>
        <w:rPr>
          <w:rFonts w:ascii="Times New Roman" w:cs="Times New Roman" w:eastAsia="Times New Roman" w:hAnsi="Times New Roman"/>
          <w:sz w:val="17"/>
          <w:szCs w:val="17"/>
          <w:u w:val="single" w:color="auto"/>
          <w:color w:val="auto"/>
        </w:rPr>
        <w:t>Section 15.3</w:t>
      </w:r>
      <w:r>
        <w:rPr>
          <w:rFonts w:ascii="Times New Roman" w:cs="Times New Roman" w:eastAsia="Times New Roman" w:hAnsi="Times New Roman"/>
          <w:sz w:val="17"/>
          <w:szCs w:val="17"/>
          <w:color w:val="auto"/>
        </w:rPr>
        <w:t xml:space="preserve"> hereof.</w:t>
      </w:r>
    </w:p>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6.7 </w:t>
      </w:r>
      <w:r>
        <w:rPr>
          <w:rFonts w:ascii="Times New Roman" w:cs="Times New Roman" w:eastAsia="Times New Roman" w:hAnsi="Times New Roman"/>
          <w:sz w:val="17"/>
          <w:szCs w:val="17"/>
          <w:i w:val="1"/>
          <w:iCs w:val="1"/>
          <w:color w:val="auto"/>
        </w:rPr>
        <w:t>Additional Rules for Incentive Stock Options</w:t>
      </w:r>
      <w:r>
        <w:rPr>
          <w:rFonts w:ascii="Times New Roman" w:cs="Times New Roman" w:eastAsia="Times New Roman" w:hAnsi="Times New Roman"/>
          <w:sz w:val="17"/>
          <w:szCs w:val="17"/>
          <w:color w:val="auto"/>
        </w:rPr>
        <w:t>.</w:t>
      </w:r>
    </w:p>
    <w:p>
      <w:pPr>
        <w:spacing w:after="0" w:line="115" w:lineRule="exact"/>
        <w:rPr>
          <w:sz w:val="20"/>
          <w:szCs w:val="20"/>
          <w:color w:val="auto"/>
        </w:rPr>
      </w:pPr>
    </w:p>
    <w:p>
      <w:pPr>
        <w:ind w:right="220" w:firstLine="951"/>
        <w:spacing w:after="0" w:line="274" w:lineRule="auto"/>
        <w:tabs>
          <w:tab w:leader="none" w:pos="118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Eligibility</w:t>
      </w:r>
      <w:r>
        <w:rPr>
          <w:rFonts w:ascii="Times New Roman" w:cs="Times New Roman" w:eastAsia="Times New Roman" w:hAnsi="Times New Roman"/>
          <w:sz w:val="17"/>
          <w:szCs w:val="17"/>
          <w:color w:val="auto"/>
        </w:rPr>
        <w:t>. An Incentive Stock Option may be granted only to an Eligible Person who is considered an employee for purposes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Treasury Regulation Section 1.421-1(h) with respect to the Company or any Subsidiary that qualifies as a “subsidiary corporation” with respect to the Company for purposes of Section 424(f) of the Code.</w:t>
      </w:r>
    </w:p>
    <w:p>
      <w:pPr>
        <w:spacing w:after="0" w:line="55" w:lineRule="exact"/>
        <w:rPr>
          <w:rFonts w:ascii="Times New Roman" w:cs="Times New Roman" w:eastAsia="Times New Roman" w:hAnsi="Times New Roman"/>
          <w:sz w:val="17"/>
          <w:szCs w:val="17"/>
          <w:color w:val="auto"/>
        </w:rPr>
      </w:pPr>
    </w:p>
    <w:p>
      <w:pPr>
        <w:ind w:right="100" w:firstLine="951"/>
        <w:spacing w:after="0" w:line="264" w:lineRule="auto"/>
        <w:tabs>
          <w:tab w:leader="none" w:pos="119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Annual Limits</w:t>
      </w:r>
      <w:r>
        <w:rPr>
          <w:rFonts w:ascii="Times New Roman" w:cs="Times New Roman" w:eastAsia="Times New Roman" w:hAnsi="Times New Roman"/>
          <w:sz w:val="17"/>
          <w:szCs w:val="17"/>
          <w:color w:val="auto"/>
        </w:rPr>
        <w:t>. No Incentive Stock Option shall be granted to a Participant as a result of which the aggregate Fair Market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(determined as of the Date of Grant) of the Common Stock with respect to which incentive stock options under Section 422 of the Code are exercisable by such Participant for the first time in any calendar year under the Plan and any other stock option plans of the Company or any Subsidiary or parent corporation, would exceed $100,000, determined in accordance with Section 422(d) of the Code. This limitation shall be applied by taking Stock Options into account in the order in which granted. Any Stock Option grant that exceeds such limit shall be treated as a Nonqualified Stock Option.</w:t>
      </w:r>
    </w:p>
    <w:p>
      <w:pPr>
        <w:spacing w:after="0" w:line="64" w:lineRule="exact"/>
        <w:rPr>
          <w:rFonts w:ascii="Times New Roman" w:cs="Times New Roman" w:eastAsia="Times New Roman" w:hAnsi="Times New Roman"/>
          <w:sz w:val="17"/>
          <w:szCs w:val="17"/>
          <w:color w:val="auto"/>
        </w:rPr>
      </w:pPr>
    </w:p>
    <w:p>
      <w:pPr>
        <w:jc w:val="both"/>
        <w:ind w:right="140" w:firstLine="951"/>
        <w:spacing w:after="0" w:line="267" w:lineRule="auto"/>
        <w:tabs>
          <w:tab w:leader="none" w:pos="118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Additional Limitations</w:t>
      </w:r>
      <w:r>
        <w:rPr>
          <w:rFonts w:ascii="Times New Roman" w:cs="Times New Roman" w:eastAsia="Times New Roman" w:hAnsi="Times New Roman"/>
          <w:sz w:val="17"/>
          <w:szCs w:val="17"/>
          <w:color w:val="auto"/>
        </w:rPr>
        <w:t>. In the case of any Incentive Stock Option granted to an Eligible Person who owns, either directly or indirectly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(taking into account the attribution rules contained in Section 424(d) of the Code), stock possessing more than ten percent (10%) of the total combined voting power of all classes of stock of the Company or any Subsidiary, the exercise price shall not be less than one hundred ten percent (110%) of the Fair Market Value of a share of Common Stock on the Date of Grant and the maximum term shall be five (5) years.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560"/>
          </w:cols>
          <w:pgMar w:left="660" w:top="264" w:right="679" w:bottom="1440" w:gutter="0" w:footer="0" w:header="0"/>
        </w:sectPr>
      </w:pPr>
    </w:p>
    <w:bookmarkStart w:id="19" w:name="page20"/>
    <w:bookmarkEnd w:id="19"/>
    <w:p>
      <w:pPr>
        <w:ind w:left="1200" w:hanging="249"/>
        <w:spacing w:after="0"/>
        <w:tabs>
          <w:tab w:leader="none" w:pos="120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Termination of Service. An Award of an Incentive Stock Option may provide that such Stock Option may be exercised not later than</w:t>
      </w:r>
    </w:p>
    <w:p>
      <w:pPr>
        <w:spacing w:after="0" w:line="32" w:lineRule="exact"/>
        <w:rPr>
          <w:rFonts w:ascii="Times New Roman" w:cs="Times New Roman" w:eastAsia="Times New Roman" w:hAnsi="Times New Roman"/>
          <w:sz w:val="17"/>
          <w:szCs w:val="17"/>
          <w:color w:val="auto"/>
        </w:rPr>
      </w:pPr>
    </w:p>
    <w:p>
      <w:pPr>
        <w:spacing w:after="0" w:line="259" w:lineRule="auto"/>
        <w:tabs>
          <w:tab w:leader="none" w:pos="206"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three (3) months following termination of Service of the Participant with the Company and all Subsidiaries (other than as set forth in clause (ii) of this </w:t>
      </w:r>
      <w:r>
        <w:rPr>
          <w:rFonts w:ascii="Times New Roman" w:cs="Times New Roman" w:eastAsia="Times New Roman" w:hAnsi="Times New Roman"/>
          <w:sz w:val="17"/>
          <w:szCs w:val="17"/>
          <w:i w:val="1"/>
          <w:iCs w:val="1"/>
          <w:u w:val="single" w:color="auto"/>
          <w:color w:val="auto"/>
        </w:rPr>
        <w:t>Section 6.7(d)</w:t>
      </w:r>
      <w:r>
        <w:rPr>
          <w:rFonts w:ascii="Times New Roman" w:cs="Times New Roman" w:eastAsia="Times New Roman" w:hAnsi="Times New Roman"/>
          <w:sz w:val="17"/>
          <w:szCs w:val="17"/>
          <w:i w:val="1"/>
          <w:iCs w:val="1"/>
          <w:color w:val="auto"/>
        </w:rPr>
        <w:t>) or (ii) one year following termination of Service of the Participant with the Company and all Subsidiaries due to death or permanent and total disability within the meaning of Section 22(e)(3) of the Code, in each case as and to the extent determined by the Committee to comply with the requirements of Section 422 of the Code.</w:t>
      </w:r>
    </w:p>
    <w:p>
      <w:pPr>
        <w:spacing w:after="0" w:line="67" w:lineRule="exact"/>
        <w:rPr>
          <w:rFonts w:ascii="Times New Roman" w:cs="Times New Roman" w:eastAsia="Times New Roman" w:hAnsi="Times New Roman"/>
          <w:sz w:val="17"/>
          <w:szCs w:val="17"/>
          <w:i w:val="1"/>
          <w:iCs w:val="1"/>
          <w:color w:val="auto"/>
        </w:rPr>
      </w:pPr>
    </w:p>
    <w:p>
      <w:pPr>
        <w:ind w:firstLine="951"/>
        <w:spacing w:after="0" w:line="262" w:lineRule="auto"/>
        <w:tabs>
          <w:tab w:leader="none" w:pos="1185"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Terms and Conditions; Nontransferability</w:t>
      </w:r>
      <w:r>
        <w:rPr>
          <w:rFonts w:ascii="Times New Roman" w:cs="Times New Roman" w:eastAsia="Times New Roman" w:hAnsi="Times New Roman"/>
          <w:sz w:val="17"/>
          <w:szCs w:val="17"/>
          <w:color w:val="auto"/>
        </w:rPr>
        <w:t>. Any Incentive Stock Option granted hereunder shall contain such additional terms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conditions, not inconsistent with the terms of the Plan, as are deemed necessary or desirable by the Committee, which terms, together with the terms of the Plan, shall be intended and interpreted to cause such Incentive Stock Option to qualify as an “incentive stock option” under Section 422 of the Code. A Stock Option that is granted as an Incentive Stock Option shall, to the extent it fails to qualify as an “incentive stock option” under the Code, be treated as a Nonqualified Stock Option. An Incentive Stock Option shall by its terms be nontransferable other than by will or by the laws of descent and distribution, and shall be exercisable during the lifetime of a Participant only by such Participant.</w:t>
      </w:r>
    </w:p>
    <w:p>
      <w:pPr>
        <w:spacing w:after="0" w:line="66" w:lineRule="exact"/>
        <w:rPr>
          <w:rFonts w:ascii="Times New Roman" w:cs="Times New Roman" w:eastAsia="Times New Roman" w:hAnsi="Times New Roman"/>
          <w:sz w:val="17"/>
          <w:szCs w:val="17"/>
          <w:color w:val="auto"/>
        </w:rPr>
      </w:pPr>
    </w:p>
    <w:p>
      <w:pPr>
        <w:ind w:right="180" w:firstLine="951"/>
        <w:spacing w:after="0" w:line="267" w:lineRule="auto"/>
        <w:tabs>
          <w:tab w:leader="none" w:pos="1166"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Disqualifying Dispositions</w:t>
      </w:r>
      <w:r>
        <w:rPr>
          <w:rFonts w:ascii="Times New Roman" w:cs="Times New Roman" w:eastAsia="Times New Roman" w:hAnsi="Times New Roman"/>
          <w:sz w:val="17"/>
          <w:szCs w:val="17"/>
          <w:color w:val="auto"/>
        </w:rPr>
        <w:t>. If shares of Common Stock acquired by exercise of an Incentive Stock Option are disposed of within two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years following the Date of Grant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Company may reasonably require.</w:t>
      </w:r>
    </w:p>
    <w:p>
      <w:pPr>
        <w:spacing w:after="0" w:line="63" w:lineRule="exact"/>
        <w:rPr>
          <w:sz w:val="20"/>
          <w:szCs w:val="20"/>
          <w:color w:val="auto"/>
        </w:rPr>
      </w:pPr>
    </w:p>
    <w:p>
      <w:pPr>
        <w:ind w:right="120" w:firstLine="422"/>
        <w:spacing w:after="0" w:line="262" w:lineRule="auto"/>
        <w:rPr>
          <w:sz w:val="20"/>
          <w:szCs w:val="20"/>
          <w:color w:val="auto"/>
        </w:rPr>
      </w:pPr>
      <w:r>
        <w:rPr>
          <w:rFonts w:ascii="Times New Roman" w:cs="Times New Roman" w:eastAsia="Times New Roman" w:hAnsi="Times New Roman"/>
          <w:sz w:val="17"/>
          <w:szCs w:val="17"/>
          <w:color w:val="auto"/>
        </w:rPr>
        <w:t xml:space="preserve">6.8 </w:t>
      </w:r>
      <w:r>
        <w:rPr>
          <w:rFonts w:ascii="Times New Roman" w:cs="Times New Roman" w:eastAsia="Times New Roman" w:hAnsi="Times New Roman"/>
          <w:sz w:val="17"/>
          <w:szCs w:val="17"/>
          <w:i w:val="1"/>
          <w:iCs w:val="1"/>
          <w:color w:val="auto"/>
        </w:rPr>
        <w:t>Repricing Prohibited.</w:t>
      </w:r>
      <w:r>
        <w:rPr>
          <w:rFonts w:ascii="Times New Roman" w:cs="Times New Roman" w:eastAsia="Times New Roman" w:hAnsi="Times New Roman"/>
          <w:sz w:val="17"/>
          <w:szCs w:val="17"/>
          <w:color w:val="auto"/>
        </w:rPr>
        <w:t xml:space="preserve"> Subject to the adjustment provisions contained in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hereof and other than in connection with a Change in Control, without the prior approval of the Company’s stockholders, neither the Committee nor the Board shall cancel a Stock Option when the exercise price per share exceeds the Fair Market Value of one share of Common Stock in exchange for cash or another Award or cause the cancellation, substitution or amendment of a Stock Option that would have the effect of reducing the exercise price of such a Stock Option previously granted under the Plan or otherwise approve any modification to such a Stock Option, that would be treated as a “repricing” under the then applicable rules, regulations or listing requirements adopted by the NASDAQ or other principal exchange on which the Common Stock is then listed.</w:t>
      </w:r>
    </w:p>
    <w:p>
      <w:pPr>
        <w:spacing w:after="0" w:line="66" w:lineRule="exact"/>
        <w:rPr>
          <w:sz w:val="20"/>
          <w:szCs w:val="20"/>
          <w:color w:val="auto"/>
        </w:rPr>
      </w:pPr>
    </w:p>
    <w:p>
      <w:pPr>
        <w:ind w:right="80" w:firstLine="422"/>
        <w:spacing w:after="0" w:line="294" w:lineRule="auto"/>
        <w:rPr>
          <w:sz w:val="20"/>
          <w:szCs w:val="20"/>
          <w:color w:val="auto"/>
        </w:rPr>
      </w:pPr>
      <w:r>
        <w:rPr>
          <w:rFonts w:ascii="Times New Roman" w:cs="Times New Roman" w:eastAsia="Times New Roman" w:hAnsi="Times New Roman"/>
          <w:sz w:val="17"/>
          <w:szCs w:val="17"/>
          <w:color w:val="auto"/>
        </w:rPr>
        <w:t xml:space="preserve">6.9 </w:t>
      </w:r>
      <w:r>
        <w:rPr>
          <w:rFonts w:ascii="Times New Roman" w:cs="Times New Roman" w:eastAsia="Times New Roman" w:hAnsi="Times New Roman"/>
          <w:sz w:val="17"/>
          <w:szCs w:val="17"/>
          <w:i w:val="1"/>
          <w:iCs w:val="1"/>
          <w:color w:val="auto"/>
        </w:rPr>
        <w:t>No Rights as Stockholder</w:t>
      </w:r>
      <w:r>
        <w:rPr>
          <w:rFonts w:ascii="Times New Roman" w:cs="Times New Roman" w:eastAsia="Times New Roman" w:hAnsi="Times New Roman"/>
          <w:sz w:val="17"/>
          <w:szCs w:val="17"/>
          <w:color w:val="auto"/>
        </w:rPr>
        <w:t>. The Participant shall not have any rights as a stockholder with respect to the shares underlying a Stock Option until such time as shares of Common Stock are delivered to the Participant pursuant to the terms of the Award Agreement.</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560"/>
          </w:cols>
          <w:pgMar w:left="660" w:top="262" w:right="679" w:bottom="1440" w:gutter="0" w:footer="0" w:header="0"/>
        </w:sectPr>
      </w:pPr>
    </w:p>
    <w:bookmarkStart w:id="20" w:name="page21"/>
    <w:bookmarkEnd w:id="20"/>
    <w:p>
      <w:pPr>
        <w:ind w:left="600" w:hanging="177"/>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Stock Appreciation Rights</w:t>
      </w:r>
      <w:r>
        <w:rPr>
          <w:rFonts w:ascii="Times New Roman" w:cs="Times New Roman" w:eastAsia="Times New Roman" w:hAnsi="Times New Roman"/>
          <w:sz w:val="17"/>
          <w:szCs w:val="17"/>
          <w:color w:val="auto"/>
        </w:rPr>
        <w:t>.</w:t>
      </w:r>
    </w:p>
    <w:p>
      <w:pPr>
        <w:spacing w:after="0" w:line="113" w:lineRule="exact"/>
        <w:rPr>
          <w:sz w:val="20"/>
          <w:szCs w:val="20"/>
          <w:color w:val="auto"/>
        </w:rPr>
      </w:pPr>
    </w:p>
    <w:p>
      <w:pPr>
        <w:ind w:right="120" w:firstLine="422"/>
        <w:spacing w:after="0" w:line="264"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i w:val="1"/>
          <w:iCs w:val="1"/>
          <w:color w:val="auto"/>
        </w:rPr>
        <w:t>Grant of Stock Appreciation Rights</w:t>
      </w:r>
      <w:r>
        <w:rPr>
          <w:rFonts w:ascii="Times New Roman" w:cs="Times New Roman" w:eastAsia="Times New Roman" w:hAnsi="Times New Roman"/>
          <w:sz w:val="17"/>
          <w:szCs w:val="17"/>
          <w:color w:val="auto"/>
        </w:rPr>
        <w:t xml:space="preserve">. Stock Appreciation Rights may be granted to any Eligible Person selected by the Committee. Stock Appreciation Rights may be granted on a basis that allows for the exercise of the right by the Participant, or that provides for the automatic exercise or payment of the right upon a specified date or event. Stock Appreciation Rights shall be non-transferable, except as provided in </w:t>
      </w:r>
      <w:r>
        <w:rPr>
          <w:rFonts w:ascii="Times New Roman" w:cs="Times New Roman" w:eastAsia="Times New Roman" w:hAnsi="Times New Roman"/>
          <w:sz w:val="17"/>
          <w:szCs w:val="17"/>
          <w:u w:val="single" w:color="auto"/>
          <w:color w:val="auto"/>
        </w:rPr>
        <w:t>Section 15.3</w:t>
      </w:r>
      <w:r>
        <w:rPr>
          <w:rFonts w:ascii="Times New Roman" w:cs="Times New Roman" w:eastAsia="Times New Roman" w:hAnsi="Times New Roman"/>
          <w:sz w:val="17"/>
          <w:szCs w:val="17"/>
          <w:color w:val="auto"/>
        </w:rPr>
        <w:t xml:space="preserve"> hereof. All Stock Appreciation Rights granted under the Plan are intended to comply with or otherwise be exempt from the requirements of Section 409A of the Code, to the extent applicable.</w:t>
      </w:r>
    </w:p>
    <w:p>
      <w:pPr>
        <w:spacing w:after="0" w:line="64" w:lineRule="exact"/>
        <w:rPr>
          <w:sz w:val="20"/>
          <w:szCs w:val="20"/>
          <w:color w:val="auto"/>
        </w:rPr>
      </w:pPr>
    </w:p>
    <w:p>
      <w:pPr>
        <w:ind w:firstLine="422"/>
        <w:spacing w:after="0" w:line="257"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i w:val="1"/>
          <w:iCs w:val="1"/>
          <w:color w:val="auto"/>
        </w:rPr>
        <w:t>Terms of Stock Appreciation Rights</w:t>
      </w:r>
      <w:r>
        <w:rPr>
          <w:rFonts w:ascii="Times New Roman" w:cs="Times New Roman" w:eastAsia="Times New Roman" w:hAnsi="Times New Roman"/>
          <w:sz w:val="17"/>
          <w:szCs w:val="17"/>
          <w:color w:val="auto"/>
        </w:rPr>
        <w:t xml:space="preserve">. The Committee shall in its discretion provide in an Award Agreement the time or times at which or the conditions upon which, a Stock Appreciation Right or portion thereof shall become vested and/or exercisable. The requirements for vesting and exercisability of a Stock Appreciation Right may be based on the continued Service of a Participant with the Company or a Subsidiary for a specified time period (or periods), on the attainment of a specified performance goal(s) and/or on such other terms and conditions as approved by the Committee in its discretion. If the vesting requirements of a Stock Appreciation Right are not satisfied, the Award shall be forfeited. A Stock Appreciation Right will be exercisable or payable at such time or times as determined by the Committee;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maximum term of a Stock Appreciation Right shall be ten (10) years from the Date of Grant. Subject to compliance with Section 409A of the Code and the provisions of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the Committee may extend at any time the period in which a Stock Appreciation Right may be exercised, but not beyond ten (10) years from the Date of Grant. The Committee may provide that a Stock Appreciation Right will cease to be exercisable upon or at the end of a period following a termination of Service for any reason. The base price of a Stock Appreciation Right shall be determined by the Committee in its discretion;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base price per share shall not be less than one hundred percent (100%) of the Fair Market Value of a share of Common Stock on the Date of Grant (other than with respect to a Stock Appreciation Right substituted or assumed under </w:t>
      </w:r>
      <w:r>
        <w:rPr>
          <w:rFonts w:ascii="Times New Roman" w:cs="Times New Roman" w:eastAsia="Times New Roman" w:hAnsi="Times New Roman"/>
          <w:sz w:val="17"/>
          <w:szCs w:val="17"/>
          <w:u w:val="single" w:color="auto"/>
          <w:color w:val="auto"/>
        </w:rPr>
        <w:t>Section 15.10</w:t>
      </w:r>
      <w:r>
        <w:rPr>
          <w:rFonts w:ascii="Times New Roman" w:cs="Times New Roman" w:eastAsia="Times New Roman" w:hAnsi="Times New Roman"/>
          <w:sz w:val="17"/>
          <w:szCs w:val="17"/>
          <w:color w:val="auto"/>
        </w:rPr>
        <w:t>).</w:t>
      </w:r>
    </w:p>
    <w:p>
      <w:pPr>
        <w:spacing w:after="0" w:line="78" w:lineRule="exact"/>
        <w:rPr>
          <w:sz w:val="20"/>
          <w:szCs w:val="20"/>
          <w:color w:val="auto"/>
        </w:rPr>
      </w:pPr>
    </w:p>
    <w:p>
      <w:pPr>
        <w:ind w:right="60" w:firstLine="422"/>
        <w:spacing w:after="0" w:line="262"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i w:val="1"/>
          <w:iCs w:val="1"/>
          <w:color w:val="auto"/>
        </w:rPr>
        <w:t>Payment of Stock Appreciation Rights</w:t>
      </w:r>
      <w:r>
        <w:rPr>
          <w:rFonts w:ascii="Times New Roman" w:cs="Times New Roman" w:eastAsia="Times New Roman" w:hAnsi="Times New Roman"/>
          <w:sz w:val="17"/>
          <w:szCs w:val="17"/>
          <w:color w:val="auto"/>
        </w:rPr>
        <w:t>. A Stock Appreciation Right will entitle the holder, upon exercise or other payment of the Stock Appreciation Right, as applicable, to receive an amount determined by multiplying: (i) the excess of the Fair Market Value of a share of Common Stock on the date of exercise or payment of the Stock Appreciation Right over the base price of such Stock Appreciation Right, by (ii) the number of shares as to which such Stock Appreciation Right is exercised or paid. Payment of the amount determined under the foregoing may be made, as approved by the Committee and set forth in the Award Agreement, in shares of Common Stock valued at their Fair Market Value on the date of exercise or payment, in cash or in a combination of shares of Common Stock and cash, subject to applicable tax withholding requirements.</w:t>
      </w:r>
    </w:p>
    <w:p>
      <w:pPr>
        <w:spacing w:after="0" w:line="66" w:lineRule="exact"/>
        <w:rPr>
          <w:sz w:val="20"/>
          <w:szCs w:val="20"/>
          <w:color w:val="auto"/>
        </w:rPr>
      </w:pPr>
    </w:p>
    <w:p>
      <w:pPr>
        <w:ind w:right="100" w:firstLine="422"/>
        <w:spacing w:after="0" w:line="261" w:lineRule="auto"/>
        <w:rPr>
          <w:sz w:val="20"/>
          <w:szCs w:val="20"/>
          <w:color w:val="auto"/>
        </w:rPr>
      </w:pPr>
      <w:r>
        <w:rPr>
          <w:rFonts w:ascii="Times New Roman" w:cs="Times New Roman" w:eastAsia="Times New Roman" w:hAnsi="Times New Roman"/>
          <w:sz w:val="17"/>
          <w:szCs w:val="17"/>
          <w:color w:val="auto"/>
        </w:rPr>
        <w:t xml:space="preserve">7.4 </w:t>
      </w:r>
      <w:r>
        <w:rPr>
          <w:rFonts w:ascii="Times New Roman" w:cs="Times New Roman" w:eastAsia="Times New Roman" w:hAnsi="Times New Roman"/>
          <w:sz w:val="17"/>
          <w:szCs w:val="17"/>
          <w:i w:val="1"/>
          <w:iCs w:val="1"/>
          <w:color w:val="auto"/>
        </w:rPr>
        <w:t>Repricing Prohibited</w:t>
      </w:r>
      <w:r>
        <w:rPr>
          <w:rFonts w:ascii="Times New Roman" w:cs="Times New Roman" w:eastAsia="Times New Roman" w:hAnsi="Times New Roman"/>
          <w:sz w:val="17"/>
          <w:szCs w:val="17"/>
          <w:color w:val="auto"/>
        </w:rPr>
        <w:t xml:space="preserve">. Subject to the adjustment provisions contained in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hereof and other than in connection with a Change in Control, without the prior approval of the Company’s stockholders neither the Committee nor the Board shall cancel a Stock Appreciation Right when the base price per share exceeds the Fair Market Value of one share of Common Stock in exchange for cash or another Award or cause the cancellation, substitution or amendment of a Stock Appreciation Right that would have the effect of reducing the base price of such a Stock Appreciation Right previously granted under the Plan or otherwise approve any modification to such Stock Appreciation Right that would be treated as a “repricing” under the then applicable rules, regulations or listing requirements adopted by the NASDAQ or other principal exchange on which the Common Stock is then listed.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560"/>
          </w:cols>
          <w:pgMar w:left="660" w:top="264" w:right="679" w:bottom="1440" w:gutter="0" w:footer="0" w:header="0"/>
        </w:sectPr>
      </w:pPr>
    </w:p>
    <w:bookmarkStart w:id="21" w:name="page22"/>
    <w:bookmarkEnd w:id="21"/>
    <w:p>
      <w:pPr>
        <w:ind w:right="20" w:firstLine="422"/>
        <w:spacing w:after="0" w:line="29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7.5 </w:t>
      </w:r>
      <w:r>
        <w:rPr>
          <w:rFonts w:ascii="Times New Roman" w:cs="Times New Roman" w:eastAsia="Times New Roman" w:hAnsi="Times New Roman"/>
          <w:sz w:val="17"/>
          <w:szCs w:val="17"/>
          <w:i w:val="1"/>
          <w:iCs w:val="1"/>
          <w:color w:val="auto"/>
        </w:rPr>
        <w:t>No Rights as Stockholder</w:t>
      </w:r>
      <w:r>
        <w:rPr>
          <w:rFonts w:ascii="Times New Roman" w:cs="Times New Roman" w:eastAsia="Times New Roman" w:hAnsi="Times New Roman"/>
          <w:sz w:val="17"/>
          <w:szCs w:val="17"/>
          <w:color w:val="auto"/>
        </w:rPr>
        <w:t>. The Participant shall not have any rights as a stockholder with respect to the shares underlying a Stock Appreciation Right unless and until such time as shares of Common Stock are delivered to the Participant pursuant to the terms of the Award Agreement.</w:t>
      </w:r>
    </w:p>
    <w:p>
      <w:pPr>
        <w:spacing w:after="0" w:line="41" w:lineRule="exact"/>
        <w:rPr>
          <w:sz w:val="20"/>
          <w:szCs w:val="20"/>
          <w:color w:val="auto"/>
        </w:rPr>
      </w:pPr>
    </w:p>
    <w:p>
      <w:pPr>
        <w:ind w:left="600" w:hanging="177"/>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Stock Awards</w:t>
      </w:r>
      <w:r>
        <w:rPr>
          <w:rFonts w:ascii="Times New Roman" w:cs="Times New Roman" w:eastAsia="Times New Roman" w:hAnsi="Times New Roman"/>
          <w:sz w:val="17"/>
          <w:szCs w:val="17"/>
          <w:color w:val="auto"/>
        </w:rPr>
        <w:t>.</w:t>
      </w:r>
    </w:p>
    <w:p>
      <w:pPr>
        <w:spacing w:after="0" w:line="113" w:lineRule="exact"/>
        <w:rPr>
          <w:sz w:val="20"/>
          <w:szCs w:val="20"/>
          <w:color w:val="auto"/>
        </w:rPr>
      </w:pPr>
    </w:p>
    <w:p>
      <w:pPr>
        <w:ind w:right="780" w:firstLine="422"/>
        <w:spacing w:after="0" w:line="294"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i w:val="1"/>
          <w:iCs w:val="1"/>
          <w:color w:val="auto"/>
        </w:rPr>
        <w:t>Grant of Restricted Stock Awards</w:t>
      </w:r>
      <w:r>
        <w:rPr>
          <w:rFonts w:ascii="Times New Roman" w:cs="Times New Roman" w:eastAsia="Times New Roman" w:hAnsi="Times New Roman"/>
          <w:sz w:val="17"/>
          <w:szCs w:val="17"/>
          <w:color w:val="auto"/>
        </w:rPr>
        <w:t>. A Restricted Stock Award may be granted to any Eligible Person selected by the Committee. The Committee may require the payment by the Participant of a specified purchase price in connection with any Restricted Stock Award.</w:t>
      </w:r>
    </w:p>
    <w:p>
      <w:pPr>
        <w:spacing w:after="0" w:line="39" w:lineRule="exact"/>
        <w:rPr>
          <w:sz w:val="20"/>
          <w:szCs w:val="20"/>
          <w:color w:val="auto"/>
        </w:rPr>
      </w:pPr>
    </w:p>
    <w:p>
      <w:pPr>
        <w:ind w:right="200" w:firstLine="422"/>
        <w:spacing w:after="0" w:line="262"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i w:val="1"/>
          <w:iCs w:val="1"/>
          <w:color w:val="auto"/>
        </w:rPr>
        <w:t>Vesting Requirements</w:t>
      </w:r>
      <w:r>
        <w:rPr>
          <w:rFonts w:ascii="Times New Roman" w:cs="Times New Roman" w:eastAsia="Times New Roman" w:hAnsi="Times New Roman"/>
          <w:sz w:val="17"/>
          <w:szCs w:val="17"/>
          <w:color w:val="auto"/>
        </w:rPr>
        <w:t>. The restrictions imposed on shares granted under a Restricted Stock Award shall lapse in accordance with the vesting requirements specified by the Committee in the Award Agreement. The requirements for vesting of a Restricted Stock Award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Restricted Stock Award are not satisfied, the Award shall be forfeited and the shares of Common Stock subject to the Award shall be returned to the Company.</w:t>
      </w:r>
    </w:p>
    <w:p>
      <w:pPr>
        <w:spacing w:after="0" w:line="66" w:lineRule="exact"/>
        <w:rPr>
          <w:sz w:val="20"/>
          <w:szCs w:val="20"/>
          <w:color w:val="auto"/>
        </w:rPr>
      </w:pPr>
    </w:p>
    <w:p>
      <w:pPr>
        <w:ind w:firstLine="422"/>
        <w:spacing w:after="0" w:line="264" w:lineRule="auto"/>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i w:val="1"/>
          <w:iCs w:val="1"/>
          <w:color w:val="auto"/>
        </w:rPr>
        <w:t>Transfer Restrictions</w:t>
      </w:r>
      <w:r>
        <w:rPr>
          <w:rFonts w:ascii="Times New Roman" w:cs="Times New Roman" w:eastAsia="Times New Roman" w:hAnsi="Times New Roman"/>
          <w:sz w:val="17"/>
          <w:szCs w:val="17"/>
          <w:color w:val="auto"/>
        </w:rPr>
        <w:t xml:space="preserve">. Shares granted under any Restricted Stock Award may not be transferred, assigned or subject to any encumbrance, pledge or charge until all applicable restrictions are removed or have expired, except as provided in </w:t>
      </w:r>
      <w:r>
        <w:rPr>
          <w:rFonts w:ascii="Times New Roman" w:cs="Times New Roman" w:eastAsia="Times New Roman" w:hAnsi="Times New Roman"/>
          <w:sz w:val="17"/>
          <w:szCs w:val="17"/>
          <w:u w:val="single" w:color="auto"/>
          <w:color w:val="auto"/>
        </w:rPr>
        <w:t>Section 15.3</w:t>
      </w:r>
      <w:r>
        <w:rPr>
          <w:rFonts w:ascii="Times New Roman" w:cs="Times New Roman" w:eastAsia="Times New Roman" w:hAnsi="Times New Roman"/>
          <w:sz w:val="17"/>
          <w:szCs w:val="17"/>
          <w:color w:val="auto"/>
        </w:rPr>
        <w:t xml:space="preserve"> hereof. Failure to satisfy any applicable restrictions shall result in the subject shares of the Restricted Stock Award being forfeited and returned to the Company. The Committee may require that the appropriate entry on the books of the Company or a duly authorized transfer agent of the Company note any restrictions with respect to the share of Common Stock covered by an Award until the restrictions thereof shall have lapsed.</w:t>
      </w:r>
    </w:p>
    <w:p>
      <w:pPr>
        <w:spacing w:after="0" w:line="64" w:lineRule="exact"/>
        <w:rPr>
          <w:sz w:val="20"/>
          <w:szCs w:val="20"/>
          <w:color w:val="auto"/>
        </w:rPr>
      </w:pPr>
    </w:p>
    <w:p>
      <w:pPr>
        <w:ind w:right="40" w:firstLine="422"/>
        <w:spacing w:after="0" w:line="260"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i w:val="1"/>
          <w:iCs w:val="1"/>
          <w:color w:val="auto"/>
        </w:rPr>
        <w:t>Rights as Stockholder</w:t>
      </w:r>
      <w:r>
        <w:rPr>
          <w:rFonts w:ascii="Times New Roman" w:cs="Times New Roman" w:eastAsia="Times New Roman" w:hAnsi="Times New Roman"/>
          <w:sz w:val="17"/>
          <w:szCs w:val="17"/>
          <w:color w:val="auto"/>
        </w:rPr>
        <w:t xml:space="preserve">. Subject to the foregoing provisions of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and the applicable Award Agreement, the Participant shall have all rights of a stockholder with respect to the shares granted to the Participant under a Restricted Stock Award, including the right to vote the shares and receive all dividends and other distributions paid or made with respect thereto, unless the Committee determines otherwise at the time the Restricted Stock Award is granted. The Committee shall determine and set forth in a Participant’s Award Agreement whether or not a Participant holding a Restricted Stock Award granted hereunder shall have the right to exercise voting rights with respect to the period during which the Restricted Stock Award is subject to forfeiture (the “</w:t>
      </w:r>
      <w:r>
        <w:rPr>
          <w:rFonts w:ascii="Times New Roman" w:cs="Times New Roman" w:eastAsia="Times New Roman" w:hAnsi="Times New Roman"/>
          <w:sz w:val="17"/>
          <w:szCs w:val="17"/>
          <w:i w:val="1"/>
          <w:iCs w:val="1"/>
          <w:color w:val="auto"/>
        </w:rPr>
        <w:t>Restriction Period</w:t>
      </w:r>
      <w:r>
        <w:rPr>
          <w:rFonts w:ascii="Times New Roman" w:cs="Times New Roman" w:eastAsia="Times New Roman" w:hAnsi="Times New Roman"/>
          <w:sz w:val="17"/>
          <w:szCs w:val="17"/>
          <w:color w:val="auto"/>
        </w:rPr>
        <w:t xml:space="preserve">”), and have the right to receive dividends on the Restricted Stock Award during the Restriction Period (and, if so, on what terms);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if a Participant has the right to receive dividends paid with respect to the Restricted Stock Award, such dividends shall be subject to the same vesting terms as the related Restricted Stock Award unless otherwise provided in an Award Agreement.</w:t>
      </w:r>
    </w:p>
    <w:p>
      <w:pPr>
        <w:spacing w:after="0" w:line="67" w:lineRule="exact"/>
        <w:rPr>
          <w:sz w:val="20"/>
          <w:szCs w:val="20"/>
          <w:color w:val="auto"/>
        </w:rPr>
      </w:pPr>
    </w:p>
    <w:p>
      <w:pPr>
        <w:ind w:right="20" w:firstLine="422"/>
        <w:spacing w:after="0" w:line="264"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i w:val="1"/>
          <w:iCs w:val="1"/>
          <w:color w:val="auto"/>
        </w:rPr>
        <w:t>Section 83(b) Election</w:t>
      </w:r>
      <w:r>
        <w:rPr>
          <w:rFonts w:ascii="Times New Roman" w:cs="Times New Roman" w:eastAsia="Times New Roman" w:hAnsi="Times New Roman"/>
          <w:sz w:val="17"/>
          <w:szCs w:val="17"/>
          <w:color w:val="auto"/>
        </w:rPr>
        <w:t>. If a Participant makes an election pursuant to Section 83(b) of the Code with respect to a Restricted Stock Award, the Participant shall file, within thirty (30) days following the Date of Grant, a copy of such election with the Company and with the Internal Revenue Service, in accordance with the regulations under Section 83 of the Code. The Committee may provide in an Award Agreement that the Restricted Stock Award is conditioned upon the Participant’s making or refraining from making an election with respect to the Restricted Stock Award under Section 83(b) of the Code.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560"/>
          </w:cols>
          <w:pgMar w:left="660" w:top="262" w:right="679" w:bottom="1440" w:gutter="0" w:footer="0" w:header="0"/>
        </w:sectPr>
      </w:pPr>
    </w:p>
    <w:bookmarkStart w:id="22" w:name="page23"/>
    <w:bookmarkEnd w:id="22"/>
    <w:p>
      <w:pPr>
        <w:ind w:left="600" w:hanging="17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Restricted Stock Units</w:t>
      </w:r>
      <w:r>
        <w:rPr>
          <w:rFonts w:ascii="Times New Roman" w:cs="Times New Roman" w:eastAsia="Times New Roman" w:hAnsi="Times New Roman"/>
          <w:sz w:val="17"/>
          <w:szCs w:val="17"/>
          <w:color w:val="auto"/>
        </w:rPr>
        <w:t>.</w:t>
      </w:r>
    </w:p>
    <w:p>
      <w:pPr>
        <w:spacing w:after="0" w:line="113" w:lineRule="exact"/>
        <w:rPr>
          <w:sz w:val="20"/>
          <w:szCs w:val="20"/>
          <w:color w:val="auto"/>
        </w:rPr>
      </w:pPr>
    </w:p>
    <w:p>
      <w:pPr>
        <w:ind w:right="80" w:firstLine="422"/>
        <w:spacing w:after="0" w:line="267" w:lineRule="auto"/>
        <w:rPr>
          <w:sz w:val="20"/>
          <w:szCs w:val="20"/>
          <w:color w:val="auto"/>
        </w:rPr>
      </w:pP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i w:val="1"/>
          <w:iCs w:val="1"/>
          <w:color w:val="auto"/>
        </w:rPr>
        <w:t>Grant of Restricted Stock Units</w:t>
      </w:r>
      <w:r>
        <w:rPr>
          <w:rFonts w:ascii="Times New Roman" w:cs="Times New Roman" w:eastAsia="Times New Roman" w:hAnsi="Times New Roman"/>
          <w:sz w:val="17"/>
          <w:szCs w:val="17"/>
          <w:color w:val="auto"/>
        </w:rPr>
        <w:t xml:space="preserve">. A Restricted Stock Unit may be granted to any Eligible Person selected by the Committee. The value of each Restricted Stock Unit is equal to the Fair Market Value of a share of Common Stock on the applicable date or time period of determination, as specified by the Committee. Restricted Stock Units shall be subject to such restrictions and conditions as the Committee shall determine. Restricted Stock Units shall be non-transferable, except as provided in </w:t>
      </w:r>
      <w:r>
        <w:rPr>
          <w:rFonts w:ascii="Times New Roman" w:cs="Times New Roman" w:eastAsia="Times New Roman" w:hAnsi="Times New Roman"/>
          <w:sz w:val="17"/>
          <w:szCs w:val="17"/>
          <w:u w:val="single" w:color="auto"/>
          <w:color w:val="auto"/>
        </w:rPr>
        <w:t>Section 15.3</w:t>
      </w:r>
      <w:r>
        <w:rPr>
          <w:rFonts w:ascii="Times New Roman" w:cs="Times New Roman" w:eastAsia="Times New Roman" w:hAnsi="Times New Roman"/>
          <w:sz w:val="17"/>
          <w:szCs w:val="17"/>
          <w:color w:val="auto"/>
        </w:rPr>
        <w:t xml:space="preserve"> hereof.</w:t>
      </w:r>
    </w:p>
    <w:p>
      <w:pPr>
        <w:spacing w:after="0" w:line="63" w:lineRule="exact"/>
        <w:rPr>
          <w:sz w:val="20"/>
          <w:szCs w:val="20"/>
          <w:color w:val="auto"/>
        </w:rPr>
      </w:pPr>
    </w:p>
    <w:p>
      <w:pPr>
        <w:jc w:val="both"/>
        <w:ind w:right="60" w:firstLine="422"/>
        <w:spacing w:after="0" w:line="264" w:lineRule="auto"/>
        <w:rPr>
          <w:sz w:val="20"/>
          <w:szCs w:val="20"/>
          <w:color w:val="auto"/>
        </w:rPr>
      </w:pPr>
      <w:r>
        <w:rPr>
          <w:rFonts w:ascii="Times New Roman" w:cs="Times New Roman" w:eastAsia="Times New Roman" w:hAnsi="Times New Roman"/>
          <w:sz w:val="17"/>
          <w:szCs w:val="17"/>
          <w:color w:val="auto"/>
        </w:rPr>
        <w:t xml:space="preserve">9.2 </w:t>
      </w:r>
      <w:r>
        <w:rPr>
          <w:rFonts w:ascii="Times New Roman" w:cs="Times New Roman" w:eastAsia="Times New Roman" w:hAnsi="Times New Roman"/>
          <w:sz w:val="17"/>
          <w:szCs w:val="17"/>
          <w:i w:val="1"/>
          <w:iCs w:val="1"/>
          <w:color w:val="auto"/>
        </w:rPr>
        <w:t>Vesting of Restricted Stock Units</w:t>
      </w:r>
      <w:r>
        <w:rPr>
          <w:rFonts w:ascii="Times New Roman" w:cs="Times New Roman" w:eastAsia="Times New Roman" w:hAnsi="Times New Roman"/>
          <w:sz w:val="17"/>
          <w:szCs w:val="17"/>
          <w:color w:val="auto"/>
        </w:rPr>
        <w:t>. The Committee shall, in its discretion, determine any vesting requirements with respect to Restricted Stock Units, which shall be set forth in the Award Agreement. The requirements for vesting of a Restricted Stock Unit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Restricted Stock Unit Award are not satisfied, the Award shall be forfeited.</w:t>
      </w:r>
    </w:p>
    <w:p>
      <w:pPr>
        <w:spacing w:after="0" w:line="64" w:lineRule="exact"/>
        <w:rPr>
          <w:sz w:val="20"/>
          <w:szCs w:val="20"/>
          <w:color w:val="auto"/>
        </w:rPr>
      </w:pPr>
    </w:p>
    <w:p>
      <w:pPr>
        <w:ind w:firstLine="422"/>
        <w:spacing w:after="0" w:line="264"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i w:val="1"/>
          <w:iCs w:val="1"/>
          <w:color w:val="auto"/>
        </w:rPr>
        <w:t>Payment of Restricted Stock Units</w:t>
      </w:r>
      <w:r>
        <w:rPr>
          <w:rFonts w:ascii="Times New Roman" w:cs="Times New Roman" w:eastAsia="Times New Roman" w:hAnsi="Times New Roman"/>
          <w:sz w:val="17"/>
          <w:szCs w:val="17"/>
          <w:color w:val="auto"/>
        </w:rPr>
        <w:t>. Restricted Stock Units shall become payable to a Participant at the time or times determined by the Committee and set forth in the Award Agreement, which may be upon or following the vesting of the Award. Payment of a Restricted Stock Unit may be made, as approved by the Committee and set forth in the Award Agreement, in cash or in shares of Common Stock or in a combination thereof, subject to compliance with Section 409A of the Code and applicable tax withholding requirements. Any cash payment of a Restricted Stock Unit shall be made based upon the Fair Market Value of a share of Common Stock, determined on such date or over such time period as determined by the Committee.</w:t>
      </w:r>
    </w:p>
    <w:p>
      <w:pPr>
        <w:spacing w:after="0" w:line="64" w:lineRule="exact"/>
        <w:rPr>
          <w:sz w:val="20"/>
          <w:szCs w:val="20"/>
          <w:color w:val="auto"/>
        </w:rPr>
      </w:pPr>
    </w:p>
    <w:p>
      <w:pPr>
        <w:ind w:right="60" w:firstLine="422"/>
        <w:spacing w:after="0" w:line="267" w:lineRule="auto"/>
        <w:rPr>
          <w:sz w:val="20"/>
          <w:szCs w:val="20"/>
          <w:color w:val="auto"/>
        </w:rPr>
      </w:pPr>
      <w:r>
        <w:rPr>
          <w:rFonts w:ascii="Times New Roman" w:cs="Times New Roman" w:eastAsia="Times New Roman" w:hAnsi="Times New Roman"/>
          <w:sz w:val="17"/>
          <w:szCs w:val="17"/>
          <w:color w:val="auto"/>
        </w:rPr>
        <w:t xml:space="preserve">9.4 </w:t>
      </w:r>
      <w:r>
        <w:rPr>
          <w:rFonts w:ascii="Times New Roman" w:cs="Times New Roman" w:eastAsia="Times New Roman" w:hAnsi="Times New Roman"/>
          <w:sz w:val="17"/>
          <w:szCs w:val="17"/>
          <w:i w:val="1"/>
          <w:iCs w:val="1"/>
          <w:color w:val="auto"/>
        </w:rPr>
        <w:t>Dividend Equivalent Rights.</w:t>
      </w:r>
      <w:r>
        <w:rPr>
          <w:rFonts w:ascii="Times New Roman" w:cs="Times New Roman" w:eastAsia="Times New Roman" w:hAnsi="Times New Roman"/>
          <w:sz w:val="17"/>
          <w:szCs w:val="17"/>
          <w:color w:val="auto"/>
        </w:rPr>
        <w:t xml:space="preserve"> Dividends shall not be paid with respect to Restricted Stock Units. Dividend equivalent rights may be granted with respect to the Shares subject to Restricted Stock Units to the extent permitted by the Committee and set forth in the applicable Award Agreement; provided that any dividend equivalent rights granted shall be subject to the same vesting terms as the related Restricted Stock Units unless otherwise set forth in an Award Agreement.</w:t>
      </w:r>
    </w:p>
    <w:p>
      <w:pPr>
        <w:spacing w:after="0" w:line="63" w:lineRule="exact"/>
        <w:rPr>
          <w:sz w:val="20"/>
          <w:szCs w:val="20"/>
          <w:color w:val="auto"/>
        </w:rPr>
      </w:pPr>
    </w:p>
    <w:p>
      <w:pPr>
        <w:ind w:right="300" w:firstLine="422"/>
        <w:spacing w:after="0" w:line="294" w:lineRule="auto"/>
        <w:rPr>
          <w:sz w:val="20"/>
          <w:szCs w:val="20"/>
          <w:color w:val="auto"/>
        </w:rPr>
      </w:pPr>
      <w:r>
        <w:rPr>
          <w:rFonts w:ascii="Times New Roman" w:cs="Times New Roman" w:eastAsia="Times New Roman" w:hAnsi="Times New Roman"/>
          <w:sz w:val="17"/>
          <w:szCs w:val="17"/>
          <w:color w:val="auto"/>
        </w:rPr>
        <w:t xml:space="preserve">9.5 </w:t>
      </w:r>
      <w:r>
        <w:rPr>
          <w:rFonts w:ascii="Times New Roman" w:cs="Times New Roman" w:eastAsia="Times New Roman" w:hAnsi="Times New Roman"/>
          <w:sz w:val="17"/>
          <w:szCs w:val="17"/>
          <w:i w:val="1"/>
          <w:iCs w:val="1"/>
          <w:color w:val="auto"/>
        </w:rPr>
        <w:t>No Rights as Stockholder</w:t>
      </w:r>
      <w:r>
        <w:rPr>
          <w:rFonts w:ascii="Times New Roman" w:cs="Times New Roman" w:eastAsia="Times New Roman" w:hAnsi="Times New Roman"/>
          <w:sz w:val="17"/>
          <w:szCs w:val="17"/>
          <w:color w:val="auto"/>
        </w:rPr>
        <w:t>. The Participant shall not have any rights as a stockholder with respect to the shares subject to a Restricted Stock Unit until such time as shares of Common Stock are delivered to the Participant pursuant to the terms of the Award Agreement.</w:t>
      </w:r>
    </w:p>
    <w:p>
      <w:pPr>
        <w:spacing w:after="0" w:line="41" w:lineRule="exact"/>
        <w:rPr>
          <w:sz w:val="20"/>
          <w:szCs w:val="20"/>
          <w:color w:val="auto"/>
        </w:rPr>
      </w:pPr>
    </w:p>
    <w:p>
      <w:pPr>
        <w:ind w:left="680" w:hanging="257"/>
        <w:spacing w:after="0"/>
        <w:tabs>
          <w:tab w:leader="none" w:pos="6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Awards</w:t>
      </w:r>
      <w:r>
        <w:rPr>
          <w:rFonts w:ascii="Times New Roman" w:cs="Times New Roman" w:eastAsia="Times New Roman" w:hAnsi="Times New Roman"/>
          <w:sz w:val="17"/>
          <w:szCs w:val="17"/>
          <w:color w:val="auto"/>
        </w:rPr>
        <w:t>.</w:t>
      </w:r>
    </w:p>
    <w:p>
      <w:pPr>
        <w:spacing w:after="0" w:line="113" w:lineRule="exact"/>
        <w:rPr>
          <w:sz w:val="20"/>
          <w:szCs w:val="20"/>
          <w:color w:val="auto"/>
        </w:rPr>
      </w:pPr>
    </w:p>
    <w:p>
      <w:pPr>
        <w:ind w:firstLine="422"/>
        <w:spacing w:after="0" w:line="264"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i w:val="1"/>
          <w:iCs w:val="1"/>
          <w:color w:val="auto"/>
        </w:rPr>
        <w:t>Grant of Stock Awards</w:t>
      </w:r>
      <w:r>
        <w:rPr>
          <w:rFonts w:ascii="Times New Roman" w:cs="Times New Roman" w:eastAsia="Times New Roman" w:hAnsi="Times New Roman"/>
          <w:sz w:val="17"/>
          <w:szCs w:val="17"/>
          <w:color w:val="auto"/>
        </w:rPr>
        <w:t>. A Stock Award may be granted to any Eligible Person selected by the Committee. A Stock Award may be granted for past Services, in lieu of bonus or other cash compensation, as directors’ compensation or for any other valid purpose as determined by the Committee, and may be based upon or calculated by reference to shares of Common Stock. The Committee shall determine the terms and conditions of such Awards, and such Awards may be made without vesting requirements. In addition, the Committee may, in connection with any Stock Award, require the payment of a specified purchase price.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560"/>
          </w:cols>
          <w:pgMar w:left="660" w:top="264" w:right="679" w:bottom="1440" w:gutter="0" w:footer="0" w:header="0"/>
        </w:sectPr>
      </w:pPr>
    </w:p>
    <w:bookmarkStart w:id="23" w:name="page24"/>
    <w:bookmarkEnd w:id="23"/>
    <w:p>
      <w:pPr>
        <w:ind w:firstLine="422"/>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10.2 </w:t>
      </w:r>
      <w:r>
        <w:rPr>
          <w:rFonts w:ascii="Times New Roman" w:cs="Times New Roman" w:eastAsia="Times New Roman" w:hAnsi="Times New Roman"/>
          <w:sz w:val="17"/>
          <w:szCs w:val="17"/>
          <w:i w:val="1"/>
          <w:iCs w:val="1"/>
          <w:color w:val="auto"/>
        </w:rPr>
        <w:t>Rights as Stockholder</w:t>
      </w:r>
      <w:r>
        <w:rPr>
          <w:rFonts w:ascii="Times New Roman" w:cs="Times New Roman" w:eastAsia="Times New Roman" w:hAnsi="Times New Roman"/>
          <w:sz w:val="17"/>
          <w:szCs w:val="17"/>
          <w:color w:val="auto"/>
        </w:rPr>
        <w:t>. The Participant shall not have any rights as a stockholder with respect to the shares of Common Stock, including the right to vote the shares and receive all dividends and other distributions paid or made with respect thereto, until such time as shares of Common Stock, if any, are issued to the Participant pursuant to the terms of the Award Agreement. If a Participant has the right to receive dividends paid with respect to the Stock Award, such dividends shall be subject to the same vesting terms as the related Stock Award (if applicable), unless otherwise set forth in an Award Agreement.</w:t>
      </w:r>
    </w:p>
    <w:p>
      <w:pPr>
        <w:spacing w:after="0" w:line="66" w:lineRule="exact"/>
        <w:rPr>
          <w:sz w:val="20"/>
          <w:szCs w:val="20"/>
          <w:color w:val="auto"/>
        </w:rPr>
      </w:pPr>
    </w:p>
    <w:p>
      <w:pPr>
        <w:ind w:left="680" w:hanging="257"/>
        <w:spacing w:after="0"/>
        <w:tabs>
          <w:tab w:leader="none" w:pos="6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w:t>
      </w:r>
    </w:p>
    <w:p>
      <w:pPr>
        <w:spacing w:after="0" w:line="113" w:lineRule="exact"/>
        <w:rPr>
          <w:sz w:val="20"/>
          <w:szCs w:val="20"/>
          <w:color w:val="auto"/>
        </w:rPr>
      </w:pPr>
    </w:p>
    <w:p>
      <w:pPr>
        <w:ind w:firstLine="422"/>
        <w:spacing w:after="0" w:line="260" w:lineRule="auto"/>
        <w:rPr>
          <w:sz w:val="20"/>
          <w:szCs w:val="20"/>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i w:val="1"/>
          <w:iCs w:val="1"/>
          <w:color w:val="auto"/>
        </w:rPr>
        <w:t>Effect on Awards</w:t>
      </w:r>
      <w:r>
        <w:rPr>
          <w:rFonts w:ascii="Times New Roman" w:cs="Times New Roman" w:eastAsia="Times New Roman" w:hAnsi="Times New Roman"/>
          <w:sz w:val="17"/>
          <w:szCs w:val="17"/>
          <w:color w:val="auto"/>
        </w:rPr>
        <w:t xml:space="preserve">. Upon the occurrence of a Change in Control, all outstanding Awards shall either be (a) continued or assumed by the Company (if it is the surviving company or corporation) or by the surviving company or corporation or its parent (with such continuation or assumption including conversion into the right to receive securities, cash or a combination of both), or (b) substituted by the surviving company or its parent for awards (with such substitution including conversion into the right to receive securities, cash or a combination of both), with substantially similar terms to the outstanding Awards (with appropriate adjustments to the type of consideration payable upon settlement of the Awards or other relevant factors, and with any applicable performance conditions adjusted pursuant to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or deemed achieved (i) for any completed performance period, based on actual performance, or (ii) for any partial or future performance period, at the target level, in each case as determined by the Committee (with the Award remaining subject only to time vesting), unless otherwise provided in an Award Agreement or employment agreement).</w:t>
      </w:r>
    </w:p>
    <w:p>
      <w:pPr>
        <w:spacing w:after="0" w:line="67" w:lineRule="exact"/>
        <w:rPr>
          <w:sz w:val="20"/>
          <w:szCs w:val="20"/>
          <w:color w:val="auto"/>
        </w:rPr>
      </w:pPr>
    </w:p>
    <w:p>
      <w:pPr>
        <w:jc w:val="both"/>
        <w:ind w:right="400" w:firstLine="422"/>
        <w:spacing w:after="0" w:line="274" w:lineRule="auto"/>
        <w:rPr>
          <w:sz w:val="20"/>
          <w:szCs w:val="20"/>
          <w:color w:val="auto"/>
        </w:rPr>
      </w:pPr>
      <w:r>
        <w:rPr>
          <w:rFonts w:ascii="Times New Roman" w:cs="Times New Roman" w:eastAsia="Times New Roman" w:hAnsi="Times New Roman"/>
          <w:sz w:val="17"/>
          <w:szCs w:val="17"/>
          <w:color w:val="auto"/>
        </w:rPr>
        <w:t xml:space="preserve">11.2 </w:t>
      </w:r>
      <w:r>
        <w:rPr>
          <w:rFonts w:ascii="Times New Roman" w:cs="Times New Roman" w:eastAsia="Times New Roman" w:hAnsi="Times New Roman"/>
          <w:sz w:val="17"/>
          <w:szCs w:val="17"/>
          <w:i w:val="1"/>
          <w:iCs w:val="1"/>
          <w:color w:val="auto"/>
        </w:rPr>
        <w:t>Certain Adjustments</w:t>
      </w:r>
      <w:r>
        <w:rPr>
          <w:rFonts w:ascii="Times New Roman" w:cs="Times New Roman" w:eastAsia="Times New Roman" w:hAnsi="Times New Roman"/>
          <w:sz w:val="17"/>
          <w:szCs w:val="17"/>
          <w:color w:val="auto"/>
        </w:rPr>
        <w:t xml:space="preserve">. To the extent that outstanding Awards are not continued, assumed or substituted pursuant to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xml:space="preserve"> upon the occurrence of a Change in Control, the Committee is authorized (but not obligated) to make adjustments to the terms and conditions of outstanding Awards, including without limitation the following (or any combination thereof):</w:t>
      </w:r>
    </w:p>
    <w:p>
      <w:pPr>
        <w:spacing w:after="0" w:line="58" w:lineRule="exact"/>
        <w:rPr>
          <w:sz w:val="20"/>
          <w:szCs w:val="20"/>
          <w:color w:val="auto"/>
        </w:rPr>
      </w:pPr>
    </w:p>
    <w:p>
      <w:pPr>
        <w:ind w:right="40" w:firstLine="951"/>
        <w:spacing w:after="0" w:line="291" w:lineRule="auto"/>
        <w:tabs>
          <w:tab w:leader="none" w:pos="118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acceleration of exercisability, vesting and/or payment of outstanding Awards immediately prior to the occurrence of such event or upon or following such event;</w:t>
      </w:r>
    </w:p>
    <w:p>
      <w:pPr>
        <w:spacing w:after="0" w:line="43" w:lineRule="exact"/>
        <w:rPr>
          <w:rFonts w:ascii="Times New Roman" w:cs="Times New Roman" w:eastAsia="Times New Roman" w:hAnsi="Times New Roman"/>
          <w:sz w:val="17"/>
          <w:szCs w:val="17"/>
          <w:color w:val="auto"/>
        </w:rPr>
      </w:pPr>
    </w:p>
    <w:p>
      <w:pPr>
        <w:ind w:right="280" w:firstLine="951"/>
        <w:spacing w:after="0" w:line="266" w:lineRule="auto"/>
        <w:tabs>
          <w:tab w:leader="none" w:pos="119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written notice, providing that any outstanding Stock Options and Stock Appreciation Rights are exercisable during a period of time immediately prior to the scheduled consummation of the event or such other period as determined by the Committee (contingent upon the consummation of the event), and at the end of such period, such Stock Options and Stock Appreciation Rights shall terminate to the extent not so exercised within the relevant period; and</w:t>
      </w:r>
    </w:p>
    <w:p>
      <w:pPr>
        <w:spacing w:after="0" w:line="65" w:lineRule="exact"/>
        <w:rPr>
          <w:rFonts w:ascii="Times New Roman" w:cs="Times New Roman" w:eastAsia="Times New Roman" w:hAnsi="Times New Roman"/>
          <w:sz w:val="17"/>
          <w:szCs w:val="17"/>
          <w:color w:val="auto"/>
        </w:rPr>
      </w:pPr>
    </w:p>
    <w:p>
      <w:pPr>
        <w:ind w:right="80" w:firstLine="951"/>
        <w:spacing w:after="0" w:line="273" w:lineRule="auto"/>
        <w:tabs>
          <w:tab w:leader="none" w:pos="118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cancellation of all or any portion of outstanding Awards for fair value (in the form of cash, shares of Common Stock, other property or any combination thereof) as determined in the sole discretion of the Committee;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case of Stock Options and Stock Appreciation Rights or similar Awards, the fair value may equal the excess, if</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560"/>
          </w:cols>
          <w:pgMar w:left="660" w:top="262" w:right="679" w:bottom="1440" w:gutter="0" w:footer="0" w:header="0"/>
        </w:sectPr>
      </w:pPr>
    </w:p>
    <w:bookmarkStart w:id="24" w:name="page25"/>
    <w:bookmarkEnd w:id="24"/>
    <w:p>
      <w:pPr>
        <w:ind w:right="120"/>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any, of the value or amount of the consideration to be paid in the Change in Control transaction to holders of shares of Common Stock (or, if no such consideration is paid, Fair Market Value of the shares of Common Stock) over the aggregate exercise or base price, as applicable, with respect to such Awards or portion thereof being canceled, or if there is no such excess, zero;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if any payments or other consideration are deferred and/or contingent as a result of escrows, earn outs, holdbacks or any other contingencies, payments under this provision may be made on substantially the same terms and conditions applicable to, and only to the extent actually paid to, the holders of shares of Common Stock in connection with the Change in Control.</w:t>
      </w:r>
    </w:p>
    <w:p>
      <w:pPr>
        <w:spacing w:after="0" w:line="69" w:lineRule="exact"/>
        <w:rPr>
          <w:sz w:val="20"/>
          <w:szCs w:val="20"/>
          <w:color w:val="auto"/>
        </w:rPr>
      </w:pPr>
    </w:p>
    <w:p>
      <w:pPr>
        <w:ind w:right="20" w:firstLine="422"/>
        <w:spacing w:after="0" w:line="262" w:lineRule="auto"/>
        <w:rPr>
          <w:sz w:val="20"/>
          <w:szCs w:val="20"/>
          <w:color w:val="auto"/>
        </w:rPr>
      </w:pPr>
      <w:r>
        <w:rPr>
          <w:rFonts w:ascii="Times New Roman" w:cs="Times New Roman" w:eastAsia="Times New Roman" w:hAnsi="Times New Roman"/>
          <w:sz w:val="17"/>
          <w:szCs w:val="17"/>
          <w:color w:val="auto"/>
        </w:rPr>
        <w:t xml:space="preserve">11.3 </w:t>
      </w:r>
      <w:r>
        <w:rPr>
          <w:rFonts w:ascii="Times New Roman" w:cs="Times New Roman" w:eastAsia="Times New Roman" w:hAnsi="Times New Roman"/>
          <w:sz w:val="17"/>
          <w:szCs w:val="17"/>
          <w:i w:val="1"/>
          <w:iCs w:val="1"/>
          <w:color w:val="auto"/>
        </w:rPr>
        <w:t>Certain Terminations of Service</w:t>
      </w:r>
      <w:r>
        <w:rPr>
          <w:rFonts w:ascii="Times New Roman" w:cs="Times New Roman" w:eastAsia="Times New Roman" w:hAnsi="Times New Roman"/>
          <w:sz w:val="17"/>
          <w:szCs w:val="17"/>
          <w:color w:val="auto"/>
        </w:rPr>
        <w:t xml:space="preserve">. Notwithstanding the provisions of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11.2</w:t>
      </w:r>
      <w:r>
        <w:rPr>
          <w:rFonts w:ascii="Times New Roman" w:cs="Times New Roman" w:eastAsia="Times New Roman" w:hAnsi="Times New Roman"/>
          <w:sz w:val="17"/>
          <w:szCs w:val="17"/>
          <w:color w:val="auto"/>
        </w:rPr>
        <w:t>, if a Participant’s Service with the Company and its Subsidiaries is terminated upon or within twenty four (24) months following a Change in Control by the Company without Cause or upon such other circumstances set forth in the applicable Award Agreement, the unvested portion (if any) of all outstanding Awards held by the Participant shall immediately vest (and, to the extent applicable, become exercisable) and be paid in full upon such termination, with any applicable performance conditions deemed achieved (i) for any completed performance period, based on actual performance, or (ii) for any partial or future performance period, at the target level, in each case as determined by the Committee, unless otherwise provided in an Award Agreement or employment agreement.</w:t>
      </w:r>
    </w:p>
    <w:p>
      <w:pPr>
        <w:spacing w:after="0" w:line="66" w:lineRule="exact"/>
        <w:rPr>
          <w:sz w:val="20"/>
          <w:szCs w:val="20"/>
          <w:color w:val="auto"/>
        </w:rPr>
      </w:pPr>
    </w:p>
    <w:p>
      <w:pPr>
        <w:ind w:right="160" w:firstLine="422"/>
        <w:spacing w:after="0" w:line="294" w:lineRule="auto"/>
        <w:rPr>
          <w:sz w:val="20"/>
          <w:szCs w:val="20"/>
          <w:color w:val="auto"/>
        </w:rPr>
      </w:pPr>
      <w:r>
        <w:rPr>
          <w:rFonts w:ascii="Times New Roman" w:cs="Times New Roman" w:eastAsia="Times New Roman" w:hAnsi="Times New Roman"/>
          <w:sz w:val="17"/>
          <w:szCs w:val="17"/>
          <w:color w:val="auto"/>
        </w:rPr>
        <w:t xml:space="preserve">11.4 </w:t>
      </w:r>
      <w:r>
        <w:rPr>
          <w:rFonts w:ascii="Times New Roman" w:cs="Times New Roman" w:eastAsia="Times New Roman" w:hAnsi="Times New Roman"/>
          <w:sz w:val="17"/>
          <w:szCs w:val="17"/>
          <w:i w:val="1"/>
          <w:iCs w:val="1"/>
          <w:color w:val="auto"/>
        </w:rPr>
        <w:t>Definition of Change in Control.</w:t>
      </w:r>
      <w:r>
        <w:rPr>
          <w:rFonts w:ascii="Times New Roman" w:cs="Times New Roman" w:eastAsia="Times New Roman" w:hAnsi="Times New Roman"/>
          <w:sz w:val="17"/>
          <w:szCs w:val="17"/>
          <w:color w:val="auto"/>
        </w:rPr>
        <w:t xml:space="preserve"> Unless otherwise defined in an Award Agreement or other written agreement approved by the Committee, “Change in Control” means, and shall occur, if:</w:t>
      </w:r>
    </w:p>
    <w:p>
      <w:pPr>
        <w:spacing w:after="0" w:line="41" w:lineRule="exact"/>
        <w:rPr>
          <w:sz w:val="20"/>
          <w:szCs w:val="20"/>
          <w:color w:val="auto"/>
        </w:rPr>
      </w:pPr>
    </w:p>
    <w:p>
      <w:pPr>
        <w:ind w:firstLine="951"/>
        <w:spacing w:after="0" w:line="266" w:lineRule="auto"/>
        <w:tabs>
          <w:tab w:leader="none" w:pos="118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(other than the Company, any trustee or other fiduciary holding securities under any employee benefit plan of the Company, or any company owned, directly or indirectly, by the stockholders of the Company in substantially the same proportions as their ownership of shares of Common Stock), becomes the Beneficial Owner, directly or indirectly, of securities of the Company representing 50% or more of the combined voting power of the Company’s then outstanding securities;</w:t>
      </w:r>
    </w:p>
    <w:p>
      <w:pPr>
        <w:spacing w:after="0" w:line="63" w:lineRule="exact"/>
        <w:rPr>
          <w:rFonts w:ascii="Times New Roman" w:cs="Times New Roman" w:eastAsia="Times New Roman" w:hAnsi="Times New Roman"/>
          <w:sz w:val="17"/>
          <w:szCs w:val="17"/>
          <w:color w:val="auto"/>
        </w:rPr>
      </w:pPr>
    </w:p>
    <w:p>
      <w:pPr>
        <w:ind w:right="40" w:firstLine="951"/>
        <w:spacing w:after="0" w:line="261" w:lineRule="auto"/>
        <w:tabs>
          <w:tab w:leader="none" w:pos="119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any period of two consecutive years (the “</w:t>
      </w:r>
      <w:r>
        <w:rPr>
          <w:rFonts w:ascii="Times New Roman" w:cs="Times New Roman" w:eastAsia="Times New Roman" w:hAnsi="Times New Roman"/>
          <w:sz w:val="17"/>
          <w:szCs w:val="17"/>
          <w:i w:val="1"/>
          <w:iCs w:val="1"/>
          <w:color w:val="auto"/>
        </w:rPr>
        <w:t>Board Measurement Period</w:t>
      </w:r>
      <w:r>
        <w:rPr>
          <w:rFonts w:ascii="Times New Roman" w:cs="Times New Roman" w:eastAsia="Times New Roman" w:hAnsi="Times New Roman"/>
          <w:sz w:val="17"/>
          <w:szCs w:val="17"/>
          <w:color w:val="auto"/>
        </w:rPr>
        <w:t xml:space="preserve">”) individuals who at the beginning of such period constitute the Board and any new director (other than a director designated by a Person who has entered into an agreement with the Company to effect a transaction described in paragraph (a), (c), or (d) of this </w:t>
      </w:r>
      <w:r>
        <w:rPr>
          <w:rFonts w:ascii="Times New Roman" w:cs="Times New Roman" w:eastAsia="Times New Roman" w:hAnsi="Times New Roman"/>
          <w:sz w:val="17"/>
          <w:szCs w:val="17"/>
          <w:u w:val="single" w:color="auto"/>
          <w:color w:val="auto"/>
        </w:rPr>
        <w:t>Section 11.3</w:t>
      </w:r>
      <w:r>
        <w:rPr>
          <w:rFonts w:ascii="Times New Roman" w:cs="Times New Roman" w:eastAsia="Times New Roman" w:hAnsi="Times New Roman"/>
          <w:sz w:val="17"/>
          <w:szCs w:val="17"/>
          <w:color w:val="auto"/>
        </w:rPr>
        <w:t>, or a director initially elected or nominated as a result of an actual or threatened election contest with respect to directors or as a result of any other actual or threatened solicitation of proxies by or on behalf of any Person other than the Board) whose election by the Board or nomination for election by the Company’s stockholders was approved by a vote of at least two-thirds of the directors then still in office, who either were directors at the beginning of the Board Measurement Period or whose election or nomination for election was previously so approved, cease for any reason to constitute at least a majority of the Board;</w:t>
      </w:r>
    </w:p>
    <w:p>
      <w:pPr>
        <w:spacing w:after="0" w:line="67" w:lineRule="exact"/>
        <w:rPr>
          <w:rFonts w:ascii="Times New Roman" w:cs="Times New Roman" w:eastAsia="Times New Roman" w:hAnsi="Times New Roman"/>
          <w:sz w:val="17"/>
          <w:szCs w:val="17"/>
          <w:color w:val="auto"/>
        </w:rPr>
      </w:pPr>
    </w:p>
    <w:p>
      <w:pPr>
        <w:jc w:val="both"/>
        <w:ind w:right="100" w:firstLine="951"/>
        <w:spacing w:after="0" w:line="273" w:lineRule="auto"/>
        <w:tabs>
          <w:tab w:leader="none" w:pos="118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merger or consolidation of the Company with any other corporation, other than a merger or consolidation which would result in any of the holders of voting securities of the Company immediately prior thereto continuing to hold (either by remaining outstanding or by being converted into voting securities of the surviving entity) more than 50% of the combined</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540"/>
          </w:cols>
          <w:pgMar w:left="660" w:top="264" w:right="699" w:bottom="1440" w:gutter="0" w:footer="0" w:header="0"/>
        </w:sectPr>
      </w:pPr>
    </w:p>
    <w:bookmarkStart w:id="25" w:name="page26"/>
    <w:bookmarkEnd w:id="25"/>
    <w:p>
      <w:pPr>
        <w:ind w:right="8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voting power of the voting securities of the Company or such surviving entity outstanding immediately after such merger or consolidation; provided, however, that a merger or consolidation effected to implement a recapitalization of the Company (or similar transaction) in which no Person (other than those covered by the exceptions in (i) below) acquires more than 50% of the combined voting power of the Company’s then outstanding securities shall not constitute a Change in Control of the Company; or</w:t>
      </w:r>
    </w:p>
    <w:p>
      <w:pPr>
        <w:spacing w:after="0" w:line="66" w:lineRule="exact"/>
        <w:rPr>
          <w:sz w:val="20"/>
          <w:szCs w:val="20"/>
          <w:color w:val="auto"/>
        </w:rPr>
      </w:pPr>
    </w:p>
    <w:p>
      <w:pPr>
        <w:ind w:right="40" w:firstLine="951"/>
        <w:spacing w:after="0" w:line="266" w:lineRule="auto"/>
        <w:tabs>
          <w:tab w:leader="none" w:pos="119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the sale or disposition by the Company of all or substantially all of the Company’s assets other than (i) the sale or disposition of all or substantially all of the assets of the Company to a Person or Persons who beneficially own, directly or indirectly, more than 50% of the combined voting power of the outstanding voting securities of the Company at the time of the sale or disposition or (ii) pursuant to a spinoff type transaction, directly or indirectly, of such assets to the stockholders of the Company.</w:t>
      </w:r>
    </w:p>
    <w:p>
      <w:pPr>
        <w:spacing w:after="0" w:line="169"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7"/>
          <w:szCs w:val="17"/>
          <w:color w:val="auto"/>
        </w:rPr>
        <w:t>Notwithstanding the foregoing, to the extent necessary to comply with Section 409A of the Code with respect to the payment of “nonqualified deferred compensation,” “Change in Control” shall be limited to a “change in control event” as defined under Section 409A of the Code.</w:t>
      </w:r>
    </w:p>
    <w:p>
      <w:pPr>
        <w:spacing w:after="0" w:line="44" w:lineRule="exact"/>
        <w:rPr>
          <w:sz w:val="20"/>
          <w:szCs w:val="20"/>
          <w:color w:val="auto"/>
        </w:rPr>
      </w:pPr>
    </w:p>
    <w:p>
      <w:pPr>
        <w:ind w:left="680" w:hanging="257"/>
        <w:spacing w:after="0"/>
        <w:tabs>
          <w:tab w:leader="none" w:pos="6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Forfeiture Events</w:t>
      </w:r>
      <w:r>
        <w:rPr>
          <w:rFonts w:ascii="Times New Roman" w:cs="Times New Roman" w:eastAsia="Times New Roman" w:hAnsi="Times New Roman"/>
          <w:sz w:val="17"/>
          <w:szCs w:val="17"/>
          <w:color w:val="auto"/>
        </w:rPr>
        <w:t>.</w:t>
      </w:r>
    </w:p>
    <w:p>
      <w:pPr>
        <w:spacing w:after="0" w:line="113" w:lineRule="exact"/>
        <w:rPr>
          <w:sz w:val="20"/>
          <w:szCs w:val="20"/>
          <w:color w:val="auto"/>
        </w:rPr>
      </w:pPr>
    </w:p>
    <w:p>
      <w:pPr>
        <w:ind w:right="20" w:firstLine="422"/>
        <w:spacing w:after="0" w:line="262" w:lineRule="auto"/>
        <w:rPr>
          <w:sz w:val="20"/>
          <w:szCs w:val="20"/>
          <w:color w:val="auto"/>
        </w:rPr>
      </w:pPr>
      <w:r>
        <w:rPr>
          <w:rFonts w:ascii="Times New Roman" w:cs="Times New Roman" w:eastAsia="Times New Roman" w:hAnsi="Times New Roman"/>
          <w:sz w:val="17"/>
          <w:szCs w:val="17"/>
          <w:color w:val="auto"/>
        </w:rPr>
        <w:t xml:space="preserve">12.1 </w:t>
      </w:r>
      <w:r>
        <w:rPr>
          <w:rFonts w:ascii="Times New Roman" w:cs="Times New Roman" w:eastAsia="Times New Roman" w:hAnsi="Times New Roman"/>
          <w:sz w:val="17"/>
          <w:szCs w:val="17"/>
          <w:i w:val="1"/>
          <w:iCs w:val="1"/>
          <w:color w:val="auto"/>
        </w:rPr>
        <w:t>General</w:t>
      </w:r>
      <w:r>
        <w:rPr>
          <w:rFonts w:ascii="Times New Roman" w:cs="Times New Roman" w:eastAsia="Times New Roman" w:hAnsi="Times New Roman"/>
          <w:sz w:val="17"/>
          <w:szCs w:val="17"/>
          <w:color w:val="auto"/>
        </w:rPr>
        <w:t>. The Committee may specify in an Award Agreement that the Participant’s rights, payments and benefits with respect to an Award are subject to reduction, cancellation, forfeiture or recoupment upon the occurrence of certain specified events, in addition to any otherwise applicable vesting or performance conditions of an Award. Such events may include, without limitation, termination of Service for Cause, violation of laws, regulations or material Company policies, breach of noncompetition, non-solicitation, confidentiality or other restrictive covenants that may apply to the Participant, application of a Company clawback policy relating to financial restatement, or other conduct by the Participant that is detrimental to the business or reputation of the Company.</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12.2 </w:t>
      </w:r>
      <w:r>
        <w:rPr>
          <w:rFonts w:ascii="Times New Roman" w:cs="Times New Roman" w:eastAsia="Times New Roman" w:hAnsi="Times New Roman"/>
          <w:sz w:val="17"/>
          <w:szCs w:val="17"/>
          <w:i w:val="1"/>
          <w:iCs w:val="1"/>
          <w:color w:val="auto"/>
        </w:rPr>
        <w:t>Termination for Cause</w:t>
      </w:r>
      <w:r>
        <w:rPr>
          <w:rFonts w:ascii="Times New Roman" w:cs="Times New Roman" w:eastAsia="Times New Roman" w:hAnsi="Times New Roman"/>
          <w:sz w:val="17"/>
          <w:szCs w:val="17"/>
          <w:color w:val="auto"/>
        </w:rPr>
        <w:t>.</w:t>
      </w:r>
    </w:p>
    <w:p>
      <w:pPr>
        <w:spacing w:after="0" w:line="115" w:lineRule="exact"/>
        <w:rPr>
          <w:sz w:val="20"/>
          <w:szCs w:val="20"/>
          <w:color w:val="auto"/>
        </w:rPr>
      </w:pPr>
    </w:p>
    <w:p>
      <w:pPr>
        <w:ind w:left="1180" w:hanging="229"/>
        <w:spacing w:after="0"/>
        <w:tabs>
          <w:tab w:leader="none" w:pos="118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Treatment of Awards</w:t>
      </w:r>
      <w:r>
        <w:rPr>
          <w:rFonts w:ascii="Times New Roman" w:cs="Times New Roman" w:eastAsia="Times New Roman" w:hAnsi="Times New Roman"/>
          <w:sz w:val="17"/>
          <w:szCs w:val="17"/>
          <w:color w:val="auto"/>
        </w:rPr>
        <w:t>. Unless otherwise provided by the Committee and set forth in an Award Agreement or employment agreement, if</w:t>
      </w:r>
    </w:p>
    <w:p>
      <w:pPr>
        <w:spacing w:after="0" w:line="32" w:lineRule="exact"/>
        <w:rPr>
          <w:rFonts w:ascii="Times New Roman" w:cs="Times New Roman" w:eastAsia="Times New Roman" w:hAnsi="Times New Roman"/>
          <w:sz w:val="17"/>
          <w:szCs w:val="17"/>
          <w:color w:val="auto"/>
        </w:rPr>
      </w:pPr>
    </w:p>
    <w:p>
      <w:pPr>
        <w:spacing w:after="0" w:line="256" w:lineRule="auto"/>
        <w:tabs>
          <w:tab w:leader="none" w:pos="20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Participant’s Service with the Company or any Subsidiary is terminated for Cause or (ii) after termination of Service for any other reason, the Committee determines in its discretion either that, (1) during the Participant’s period of Service, the Participant engaged in an act or omission which would have warranted a termination of Service for Cause or (2) after termination, the Participant engages in conduct that violates any continuing obligation or duty of the Participant in respect of the Company or any Subsidiary, such Participant’s rights, payments and benefits with respect to an Award shall be subject to cancellation, forfeiture and/or recoupment, as provided in </w:t>
      </w:r>
      <w:r>
        <w:rPr>
          <w:rFonts w:ascii="Times New Roman" w:cs="Times New Roman" w:eastAsia="Times New Roman" w:hAnsi="Times New Roman"/>
          <w:sz w:val="17"/>
          <w:szCs w:val="17"/>
          <w:u w:val="single" w:color="auto"/>
          <w:color w:val="auto"/>
        </w:rPr>
        <w:t>Section 12.3</w:t>
      </w:r>
      <w:r>
        <w:rPr>
          <w:rFonts w:ascii="Times New Roman" w:cs="Times New Roman" w:eastAsia="Times New Roman" w:hAnsi="Times New Roman"/>
          <w:sz w:val="17"/>
          <w:szCs w:val="17"/>
          <w:color w:val="auto"/>
        </w:rPr>
        <w:t xml:space="preserve"> below. The Company shall have the power to determine whether the Participant has been terminated for Cause, the date upon which such termination for Cause occurs, whether the Participant engaged in an act or omission which would have warranted a termination of Service for Cause or engaged in conduct that violated any continuing obligation or duty of the Participant in respect of the Company or any Subsidiary. Any such determination shall be final, conclusive and binding upon all Persons. In addition, if the Company shall reasonably determine that a Participant has committed or may have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560"/>
          </w:cols>
          <w:pgMar w:left="660" w:top="264" w:right="679" w:bottom="1440" w:gutter="0" w:footer="0" w:header="0"/>
        </w:sectPr>
      </w:pPr>
    </w:p>
    <w:bookmarkStart w:id="26" w:name="page27"/>
    <w:bookmarkEnd w:id="26"/>
    <w:p>
      <w:pPr>
        <w:ind w:right="12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committed any act which could constitute the basis for a termination of such Participant’s Service for Cause or violates any continuing obligation or duty of the Participant in respect of the Company or any Subsidiary, the Company may suspend the Participant’s rights to exercise any Stock Option or Stock Appreciation Right, receive any payment or vest in any right with respect to any Award pending a determination by the Company of whether an act or omission could constitute the basis for a termination for Cause as provided in this </w:t>
      </w:r>
      <w:r>
        <w:rPr>
          <w:rFonts w:ascii="Times New Roman" w:cs="Times New Roman" w:eastAsia="Times New Roman" w:hAnsi="Times New Roman"/>
          <w:sz w:val="17"/>
          <w:szCs w:val="17"/>
          <w:u w:val="single" w:color="auto"/>
          <w:color w:val="auto"/>
        </w:rPr>
        <w:t>Section 12.2</w:t>
      </w:r>
      <w:r>
        <w:rPr>
          <w:rFonts w:ascii="Times New Roman" w:cs="Times New Roman" w:eastAsia="Times New Roman" w:hAnsi="Times New Roman"/>
          <w:sz w:val="17"/>
          <w:szCs w:val="17"/>
          <w:color w:val="auto"/>
        </w:rPr>
        <w:t>.</w:t>
      </w:r>
    </w:p>
    <w:p>
      <w:pPr>
        <w:spacing w:after="0" w:line="64" w:lineRule="exact"/>
        <w:rPr>
          <w:sz w:val="20"/>
          <w:szCs w:val="20"/>
          <w:color w:val="auto"/>
        </w:rPr>
      </w:pPr>
    </w:p>
    <w:p>
      <w:pPr>
        <w:ind w:firstLine="951"/>
        <w:spacing w:after="0" w:line="257" w:lineRule="auto"/>
        <w:tabs>
          <w:tab w:leader="none" w:pos="119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Definition of Cause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Cause</w:t>
      </w:r>
      <w:r>
        <w:rPr>
          <w:rFonts w:ascii="Times New Roman" w:cs="Times New Roman" w:eastAsia="Times New Roman" w:hAnsi="Times New Roman"/>
          <w:sz w:val="17"/>
          <w:szCs w:val="17"/>
          <w:color w:val="auto"/>
        </w:rPr>
        <w:t>” means with respect to a Participant’s termination of Service, the following: (a) in the case where there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 employment agreement, consulting agreement, change in control agreement or similar agreement in effect between the Company or an Affiliate and the Participant (or where there is such an agreement but it does not define “cause” (or words of like import, which shall include but not be limited to “gross misconduct”)), termination due to a Participant’s (1) failure to substantially perform Participant’s duties or obey lawful directives that continues after receipt of written notice from the Company and a ten (10)-day opportunity to cure; (2) gross misconduct or gross negligence in the performance of Participant’s duties; (3) fraud, embezzlement, theft, or any other act of material dishonesty or misconduct; (4) conviction of, indictment for, or plea of guilty or nolo contendere to, a felony or any crime involving moral turpitude; (5) (x) material breach or violation of any agreement with the Company or its Affiliates, including any restrictive covenant agreement applicable to Participant, or (y) significant violation of the code of conduct or similar written policy, including, without limitation, any sexual harassment policy, of the Company or its Affiliates; or (6) other conduct, acts or omissions that, in the good faith judgment of the Company, are likely to significantly injure the reputation, business or a business relationship of the Company or any of its Affiliates; or (b) in the case where there is an employment agreement, consulting agreement, change in control agreement or similar agreement in effect between the Company or an Affiliate and the Participant that defines “cause” (or words of like import, which shall include but not be limited to “gross misconduct”), “cause” as defined under such agreement. With respect to a termination of Service for a non-employee director, Cause means an act or failure to act that constitutes cause for removal of a director under applicable Delaware law. Any voluntary termination of Service by the Participant in anticipation of an involuntary termination of the Participant’s Service for Cause shall be deemed to be a termination for Cause.</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12.3 </w:t>
      </w:r>
      <w:r>
        <w:rPr>
          <w:rFonts w:ascii="Times New Roman" w:cs="Times New Roman" w:eastAsia="Times New Roman" w:hAnsi="Times New Roman"/>
          <w:sz w:val="17"/>
          <w:szCs w:val="17"/>
          <w:i w:val="1"/>
          <w:iCs w:val="1"/>
          <w:color w:val="auto"/>
        </w:rPr>
        <w:t>Right of Recapture</w:t>
      </w:r>
      <w:r>
        <w:rPr>
          <w:rFonts w:ascii="Times New Roman" w:cs="Times New Roman" w:eastAsia="Times New Roman" w:hAnsi="Times New Roman"/>
          <w:sz w:val="17"/>
          <w:szCs w:val="17"/>
          <w:color w:val="auto"/>
        </w:rPr>
        <w:t>.</w:t>
      </w:r>
    </w:p>
    <w:p>
      <w:pPr>
        <w:spacing w:after="0" w:line="115" w:lineRule="exact"/>
        <w:rPr>
          <w:sz w:val="20"/>
          <w:szCs w:val="20"/>
          <w:color w:val="auto"/>
        </w:rPr>
      </w:pPr>
    </w:p>
    <w:p>
      <w:pPr>
        <w:ind w:right="20" w:firstLine="951"/>
        <w:spacing w:after="0" w:line="259" w:lineRule="auto"/>
        <w:tabs>
          <w:tab w:leader="none" w:pos="118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General</w:t>
      </w:r>
      <w:r>
        <w:rPr>
          <w:rFonts w:ascii="Times New Roman" w:cs="Times New Roman" w:eastAsia="Times New Roman" w:hAnsi="Times New Roman"/>
          <w:sz w:val="17"/>
          <w:szCs w:val="17"/>
          <w:color w:val="auto"/>
        </w:rPr>
        <w:t>. If at any time within one (1) year (or such longer time specified in an Award Agreement or other agreement with a Participant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policy applicable to the Participant) after the date on which a Participant exercises a Stock Option or Stock Appreciation Right or on which a Stock Award, Restricted Stock Award or Restricted Stock Unit vests, is settled in shares or otherwise becomes payable, or on which income otherwise is realized or property is received by a Participant in connection with an Award, (i) a Participant’s Service is terminated for Cause, (ii) the Committee determines in its discretion that the Participant is subject to any recoupment of benefits pursuant to the Company’s compensation recovery, “clawback” or similar policy, as may be in effect from time to time, or (iii) after a Participant’s Service terminates for any other reason, the Committee determines in its discretion either that, (1) during the Participant’s period of Service, the Participant engaged in an act or omission which would have warranted a termination of the Participant’s Service for Cause or (2) after a Participant’s termination of Service, the Participant engaged in conduct that violated any continuing obligation or duty of the Participant</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540"/>
          </w:cols>
          <w:pgMar w:left="660" w:top="264" w:right="699" w:bottom="1440" w:gutter="0" w:footer="0" w:header="0"/>
        </w:sectPr>
      </w:pPr>
    </w:p>
    <w:bookmarkStart w:id="27" w:name="page28"/>
    <w:bookmarkEnd w:id="27"/>
    <w:p>
      <w:pPr>
        <w:ind w:right="20"/>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in respect of the Company or any Subsidiary, then, at the sole discretion of the Committee, any gain realized by the Participant from the exercise, vesting, payment, settlement or other realization of income or receipt of property by the Participant in connection with an Award, shall be repaid by the Participant to the Company upon notice from the Company, subject to applicable law. Such gain shall be determined as of the date or dates on which the gain is realized by the Participant, without regard to any subsequent change in the Fair Market Value of a share of Common Stock. To the extent not otherwise prohibited by law, the Company shall have the right to offset the amount of such repayment obligation against any amounts otherwise owed to the Participant by the Company (whether as wages, vacation pay or pursuant to any benefit plan or other compensatory arrangement).</w:t>
      </w:r>
    </w:p>
    <w:p>
      <w:pPr>
        <w:spacing w:after="0" w:line="69" w:lineRule="exact"/>
        <w:rPr>
          <w:sz w:val="20"/>
          <w:szCs w:val="20"/>
          <w:color w:val="auto"/>
        </w:rPr>
      </w:pPr>
    </w:p>
    <w:p>
      <w:pPr>
        <w:ind w:firstLine="951"/>
        <w:spacing w:after="0" w:line="258" w:lineRule="auto"/>
        <w:tabs>
          <w:tab w:leader="none" w:pos="1195"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Accounting Restatement</w:t>
      </w:r>
      <w:r>
        <w:rPr>
          <w:rFonts w:ascii="Times New Roman" w:cs="Times New Roman" w:eastAsia="Times New Roman" w:hAnsi="Times New Roman"/>
          <w:sz w:val="17"/>
          <w:szCs w:val="17"/>
          <w:color w:val="auto"/>
        </w:rPr>
        <w:t>. If a Participant receives compensation pursuant to an Award under the Plan based on financial statements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subsequently restated in a way that would decrease the value of such compensation, the Participant will, to the extent not otherwise prohibited by law, upon the written request of the Company, forfeit and repay to the Company the difference between what the Participant received and what the Participant should have received based on the accounting restatement, in accordance with (i) any compensation recovery, “clawback” or similar policy, as may be in effect from time to time to which such Participant is subject and (ii) any compensation recovery, “clawback” or similar policy made applicable by law including the provisions of Section 954 of the Dodd-Frank Wall Street Reform and Consumer Protection Act and the rules, regulations and requirements adopted thereunder by the Securities and Exchange Commission and/or any national securities exchange on which the Company’s equity securities may be listed (the “</w:t>
      </w:r>
      <w:r>
        <w:rPr>
          <w:rFonts w:ascii="Times New Roman" w:cs="Times New Roman" w:eastAsia="Times New Roman" w:hAnsi="Times New Roman"/>
          <w:sz w:val="17"/>
          <w:szCs w:val="17"/>
          <w:i w:val="1"/>
          <w:iCs w:val="1"/>
          <w:color w:val="auto"/>
        </w:rPr>
        <w:t>Policy</w:t>
      </w:r>
      <w:r>
        <w:rPr>
          <w:rFonts w:ascii="Times New Roman" w:cs="Times New Roman" w:eastAsia="Times New Roman" w:hAnsi="Times New Roman"/>
          <w:sz w:val="17"/>
          <w:szCs w:val="17"/>
          <w:color w:val="auto"/>
        </w:rPr>
        <w:t>”). By accepting an Award hereunder, the Participant acknowledges and agrees that the Policy, whenever adopted, shall apply to such Award, and all incentive-based compensation payable pursuant to such Award shall be subject to forfeiture and repayment pursuant to the terms of the Policy.</w:t>
      </w:r>
    </w:p>
    <w:p>
      <w:pPr>
        <w:spacing w:after="0" w:line="76" w:lineRule="exact"/>
        <w:rPr>
          <w:rFonts w:ascii="Times New Roman" w:cs="Times New Roman" w:eastAsia="Times New Roman" w:hAnsi="Times New Roman"/>
          <w:sz w:val="17"/>
          <w:szCs w:val="17"/>
          <w:color w:val="auto"/>
        </w:rPr>
      </w:pPr>
    </w:p>
    <w:p>
      <w:pPr>
        <w:ind w:right="40" w:firstLine="423"/>
        <w:spacing w:after="0" w:line="263" w:lineRule="auto"/>
        <w:tabs>
          <w:tab w:leader="none" w:pos="681"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Goals; Adjustment</w:t>
      </w:r>
      <w:r>
        <w:rPr>
          <w:rFonts w:ascii="Times New Roman" w:cs="Times New Roman" w:eastAsia="Times New Roman" w:hAnsi="Times New Roman"/>
          <w:sz w:val="17"/>
          <w:szCs w:val="17"/>
          <w:color w:val="auto"/>
        </w:rPr>
        <w:t>. The Committee may provide for the performance goals to which an Award is subject, or the manner in which performance will be measured against such performance goals, to be adjusted in such manner as it deems appropriate, including, without limitation, adjustments to reflect changes for restructurings, non-operating income, the impact of corporate transactions or discontinued operations, events that are unusual in nature or infrequent in occurrence and other non-recurring items, currency fluctuations, litigation or claim judgements, settlements, and the effects of accounting or tax law changes.</w:t>
      </w:r>
    </w:p>
    <w:p>
      <w:pPr>
        <w:spacing w:after="0" w:line="68" w:lineRule="exact"/>
        <w:rPr>
          <w:rFonts w:ascii="Times New Roman" w:cs="Times New Roman" w:eastAsia="Times New Roman" w:hAnsi="Times New Roman"/>
          <w:sz w:val="17"/>
          <w:szCs w:val="17"/>
          <w:color w:val="auto"/>
        </w:rPr>
      </w:pPr>
    </w:p>
    <w:p>
      <w:pPr>
        <w:ind w:right="20" w:firstLine="423"/>
        <w:spacing w:after="0" w:line="263" w:lineRule="auto"/>
        <w:tabs>
          <w:tab w:leader="none" w:pos="681"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Leave of Absence, Etc</w:t>
      </w:r>
      <w:r>
        <w:rPr>
          <w:rFonts w:ascii="Times New Roman" w:cs="Times New Roman" w:eastAsia="Times New Roman" w:hAnsi="Times New Roman"/>
          <w:sz w:val="17"/>
          <w:szCs w:val="17"/>
          <w:color w:val="auto"/>
        </w:rPr>
        <w:t>. For purposes of the Plan, except as otherwise determined by the Committee, the following events shall not be deemed a termination of Service: (a) a transfer to the service of the Company from a Subsidiary or from the Company to a Subsidiary, or from one Subsidiary to another; or (b) an approved leave of absence for military service or sickness, a leave of absence where the employee’s right to re-employment is protected either by a statute or by contract or under the policy pursuant to which the leave of absence was granted, a leave of absence for any other purpose approved by the Company or if the Committee otherwise so provides in writing.</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560"/>
          </w:cols>
          <w:pgMar w:left="660" w:top="264" w:right="679" w:bottom="1440" w:gutter="0" w:footer="0" w:header="0"/>
        </w:sectPr>
      </w:pPr>
    </w:p>
    <w:bookmarkStart w:id="28" w:name="page29"/>
    <w:bookmarkEnd w:id="28"/>
    <w:p>
      <w:pPr>
        <w:ind w:left="680" w:hanging="257"/>
        <w:spacing w:after="0"/>
        <w:tabs>
          <w:tab w:leader="none" w:pos="6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General Provisions</w:t>
      </w:r>
      <w:r>
        <w:rPr>
          <w:rFonts w:ascii="Times New Roman" w:cs="Times New Roman" w:eastAsia="Times New Roman" w:hAnsi="Times New Roman"/>
          <w:sz w:val="17"/>
          <w:szCs w:val="17"/>
          <w:color w:val="auto"/>
        </w:rPr>
        <w:t>.</w:t>
      </w:r>
    </w:p>
    <w:p>
      <w:pPr>
        <w:spacing w:after="0" w:line="113" w:lineRule="exact"/>
        <w:rPr>
          <w:sz w:val="20"/>
          <w:szCs w:val="20"/>
          <w:color w:val="auto"/>
        </w:rPr>
      </w:pPr>
    </w:p>
    <w:p>
      <w:pPr>
        <w:ind w:firstLine="422"/>
        <w:spacing w:after="0" w:line="294" w:lineRule="auto"/>
        <w:rPr>
          <w:sz w:val="20"/>
          <w:szCs w:val="20"/>
          <w:color w:val="auto"/>
        </w:rPr>
      </w:pPr>
      <w:r>
        <w:rPr>
          <w:rFonts w:ascii="Times New Roman" w:cs="Times New Roman" w:eastAsia="Times New Roman" w:hAnsi="Times New Roman"/>
          <w:sz w:val="17"/>
          <w:szCs w:val="17"/>
          <w:color w:val="auto"/>
        </w:rPr>
        <w:t xml:space="preserve">15.1 </w:t>
      </w:r>
      <w:r>
        <w:rPr>
          <w:rFonts w:ascii="Times New Roman" w:cs="Times New Roman" w:eastAsia="Times New Roman" w:hAnsi="Times New Roman"/>
          <w:sz w:val="17"/>
          <w:szCs w:val="17"/>
          <w:i w:val="1"/>
          <w:iCs w:val="1"/>
          <w:color w:val="auto"/>
        </w:rPr>
        <w:t>Status of Plan</w:t>
      </w:r>
      <w:r>
        <w:rPr>
          <w:rFonts w:ascii="Times New Roman" w:cs="Times New Roman" w:eastAsia="Times New Roman" w:hAnsi="Times New Roman"/>
          <w:sz w:val="17"/>
          <w:szCs w:val="17"/>
          <w:color w:val="auto"/>
        </w:rPr>
        <w:t>. The Committee may authorize the creation of trusts or other arrangements to meet the Company’s obligations to deliver shares of Common Stock or make payments with respect to Awards.</w:t>
      </w:r>
    </w:p>
    <w:p>
      <w:pPr>
        <w:spacing w:after="0" w:line="39" w:lineRule="exact"/>
        <w:rPr>
          <w:sz w:val="20"/>
          <w:szCs w:val="20"/>
          <w:color w:val="auto"/>
        </w:rPr>
      </w:pPr>
    </w:p>
    <w:p>
      <w:pPr>
        <w:ind w:right="20" w:firstLine="422"/>
        <w:spacing w:after="0" w:line="257" w:lineRule="auto"/>
        <w:rPr>
          <w:sz w:val="20"/>
          <w:szCs w:val="20"/>
          <w:color w:val="auto"/>
        </w:rPr>
      </w:pPr>
      <w:r>
        <w:rPr>
          <w:rFonts w:ascii="Times New Roman" w:cs="Times New Roman" w:eastAsia="Times New Roman" w:hAnsi="Times New Roman"/>
          <w:sz w:val="17"/>
          <w:szCs w:val="17"/>
          <w:color w:val="auto"/>
        </w:rPr>
        <w:t xml:space="preserve">15.2 </w:t>
      </w:r>
      <w:r>
        <w:rPr>
          <w:rFonts w:ascii="Times New Roman" w:cs="Times New Roman" w:eastAsia="Times New Roman" w:hAnsi="Times New Roman"/>
          <w:sz w:val="17"/>
          <w:szCs w:val="17"/>
          <w:i w:val="1"/>
          <w:iCs w:val="1"/>
          <w:color w:val="auto"/>
        </w:rPr>
        <w:t>Award Agreement</w:t>
      </w:r>
      <w:r>
        <w:rPr>
          <w:rFonts w:ascii="Times New Roman" w:cs="Times New Roman" w:eastAsia="Times New Roman" w:hAnsi="Times New Roman"/>
          <w:sz w:val="17"/>
          <w:szCs w:val="17"/>
          <w:color w:val="auto"/>
        </w:rPr>
        <w:t>. An Award under the Plan shall be evidenced by an Award Agreement in a written or electronic form approved by the Committee setting forth the number of shares of Common Stock or other amounts or securities subject to the Award, the exercise price, base price or purchase price of the Award, the time or times at which an Award will become vested, exercisable or payable and the term of the Award. The Award Agreement also may set forth the effect on an Award of a Change in Control and/or a termination of Service under certain circumstances. The Award Agreement shall be subject to and incorporate, by reference or otherwise, all of the applicable terms and conditions of the Plan, and also may set forth other terms and conditions applicable to the Award as determined by the Committee consistent with the limitations of the Plan. The grant of an Award under the Plan shall not confer any rights upon the Participant holding such Award other than such terms, and subject to such conditions, as are specified in the Plan as being applicable to such type of Award (or to all Awards) or as are expressly set forth in the Award Agreement. The Committee need not require the execution of an Award Agreement by a Participant, in which case, acceptance of the Award by the Participant shall constitute agreement by the Participant to the terms, conditions, restrictions and limitations set forth in the Plan and the Award Agreement as well as the administrative guidelines of the Company in effect from time to time. In the event of any conflict between the provisions of the Plan and any Award Agreement, the provisions of the Plan shall prevail.</w:t>
      </w:r>
    </w:p>
    <w:p>
      <w:pPr>
        <w:spacing w:after="0" w:line="78" w:lineRule="exact"/>
        <w:rPr>
          <w:sz w:val="20"/>
          <w:szCs w:val="20"/>
          <w:color w:val="auto"/>
        </w:rPr>
      </w:pPr>
    </w:p>
    <w:p>
      <w:pPr>
        <w:ind w:right="20" w:firstLine="422"/>
        <w:spacing w:after="0" w:line="257" w:lineRule="auto"/>
        <w:rPr>
          <w:sz w:val="20"/>
          <w:szCs w:val="20"/>
          <w:color w:val="auto"/>
        </w:rPr>
      </w:pPr>
      <w:r>
        <w:rPr>
          <w:rFonts w:ascii="Times New Roman" w:cs="Times New Roman" w:eastAsia="Times New Roman" w:hAnsi="Times New Roman"/>
          <w:sz w:val="17"/>
          <w:szCs w:val="17"/>
          <w:color w:val="auto"/>
        </w:rPr>
        <w:t xml:space="preserve">15.3 </w:t>
      </w:r>
      <w:r>
        <w:rPr>
          <w:rFonts w:ascii="Times New Roman" w:cs="Times New Roman" w:eastAsia="Times New Roman" w:hAnsi="Times New Roman"/>
          <w:sz w:val="17"/>
          <w:szCs w:val="17"/>
          <w:i w:val="1"/>
          <w:iCs w:val="1"/>
          <w:color w:val="auto"/>
        </w:rPr>
        <w:t>No Assignment or Transfer; Beneficiaries</w:t>
      </w:r>
      <w:r>
        <w:rPr>
          <w:rFonts w:ascii="Times New Roman" w:cs="Times New Roman" w:eastAsia="Times New Roman" w:hAnsi="Times New Roman"/>
          <w:sz w:val="17"/>
          <w:szCs w:val="17"/>
          <w:color w:val="auto"/>
        </w:rPr>
        <w:t xml:space="preserve">. Except as provided in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xml:space="preserve"> hereof or as otherwise provided by the Committee to the extent not prohibited under Section A.1.(5) of the general instructions of Form S-8, as may be amended from time to time, Awards under the Plan shall not be assignable or transferable by the Participant, and shall not be subject in any manner to assignment, alienation, pledge, encumbrance or charge; provided, that Awards may be transferred to (i) a Participant’s spouse, (ii) the lineal descendants of the Participant (clauses (i) and (ii) collectively, the “</w:t>
      </w:r>
      <w:r>
        <w:rPr>
          <w:rFonts w:ascii="Times New Roman" w:cs="Times New Roman" w:eastAsia="Times New Roman" w:hAnsi="Times New Roman"/>
          <w:sz w:val="17"/>
          <w:szCs w:val="17"/>
          <w:i w:val="1"/>
          <w:iCs w:val="1"/>
          <w:color w:val="auto"/>
        </w:rPr>
        <w:t>Family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Members</w:t>
      </w:r>
      <w:r>
        <w:rPr>
          <w:rFonts w:ascii="Times New Roman" w:cs="Times New Roman" w:eastAsia="Times New Roman" w:hAnsi="Times New Roman"/>
          <w:sz w:val="17"/>
          <w:szCs w:val="17"/>
          <w:color w:val="auto"/>
        </w:rPr>
        <w:t>”) and (iii) a grantor trust for the exclusive benefit of the Participant and/or one or more Family Members. Notwithstanding the foregoing,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event of the death of a Participant, except as otherwise provided by the Committee, an outstanding Award may be exercised by or shall become payable to the Participant’s beneficiary as determined under the Company 401(k) retirement plan or other applicable retirement or pension plan. In lieu of such determination, a Participant may, from time to time, name any beneficiary or beneficiaries to receive any benefit in case of the Participant’s death before the Participant receives any or all of such benefit. Each such designation shall revoke all prior designations by the same Participant and will be effective only when filed by the Participant in writing (in such form or manner as may be prescribed by the Committee) with the Company during the Participant’s lifetime. In the absence of a valid designation as provided above, if no validly designated beneficiary survives the Participant or if each surviving validly designated beneficiary is legally impaired or prohibited from receiving the benefits under an Award, the Participant’s beneficiary shall be the legatee or legatees of such Award designated under the Participant’s last will or by such Participant’s executors, personal representatives or distributees of such Award in accordance with the Participant’s will or the laws of descent and distribution. The Committee may provide in the terms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560"/>
          </w:cols>
          <w:pgMar w:left="660" w:top="264" w:right="679" w:bottom="1440" w:gutter="0" w:footer="0" w:header="0"/>
        </w:sectPr>
      </w:pPr>
    </w:p>
    <w:bookmarkStart w:id="29" w:name="page30"/>
    <w:bookmarkEnd w:id="29"/>
    <w:p>
      <w:pPr>
        <w:ind w:right="32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of an Award Agreement or in any other manner prescribed by the Committee that the Participant shall have the right to designate a beneficiary or beneficiaries who shall be entitled to any rights, payments or other benefits specified under an Award following the Participant’s death. Any transfer permitted under this </w:t>
      </w:r>
      <w:r>
        <w:rPr>
          <w:rFonts w:ascii="Times New Roman" w:cs="Times New Roman" w:eastAsia="Times New Roman" w:hAnsi="Times New Roman"/>
          <w:sz w:val="17"/>
          <w:szCs w:val="17"/>
          <w:u w:val="single" w:color="auto"/>
          <w:color w:val="auto"/>
        </w:rPr>
        <w:t>Section 15.3</w:t>
      </w:r>
      <w:r>
        <w:rPr>
          <w:rFonts w:ascii="Times New Roman" w:cs="Times New Roman" w:eastAsia="Times New Roman" w:hAnsi="Times New Roman"/>
          <w:sz w:val="17"/>
          <w:szCs w:val="17"/>
          <w:color w:val="auto"/>
        </w:rPr>
        <w:t xml:space="preserve"> shall be for no consideration.</w:t>
      </w:r>
    </w:p>
    <w:p>
      <w:pPr>
        <w:spacing w:after="0" w:line="56" w:lineRule="exact"/>
        <w:rPr>
          <w:sz w:val="20"/>
          <w:szCs w:val="20"/>
          <w:color w:val="auto"/>
        </w:rPr>
      </w:pPr>
    </w:p>
    <w:p>
      <w:pPr>
        <w:ind w:right="100" w:firstLine="422"/>
        <w:spacing w:after="0" w:line="267" w:lineRule="auto"/>
        <w:rPr>
          <w:sz w:val="20"/>
          <w:szCs w:val="20"/>
          <w:color w:val="auto"/>
        </w:rPr>
      </w:pPr>
      <w:r>
        <w:rPr>
          <w:rFonts w:ascii="Times New Roman" w:cs="Times New Roman" w:eastAsia="Times New Roman" w:hAnsi="Times New Roman"/>
          <w:sz w:val="17"/>
          <w:szCs w:val="17"/>
          <w:color w:val="auto"/>
        </w:rPr>
        <w:t xml:space="preserve">15.4 </w:t>
      </w:r>
      <w:r>
        <w:rPr>
          <w:rFonts w:ascii="Times New Roman" w:cs="Times New Roman" w:eastAsia="Times New Roman" w:hAnsi="Times New Roman"/>
          <w:sz w:val="17"/>
          <w:szCs w:val="17"/>
          <w:i w:val="1"/>
          <w:iCs w:val="1"/>
          <w:color w:val="auto"/>
        </w:rPr>
        <w:t>No Right to Employment or Continued Service</w:t>
      </w:r>
      <w:r>
        <w:rPr>
          <w:rFonts w:ascii="Times New Roman" w:cs="Times New Roman" w:eastAsia="Times New Roman" w:hAnsi="Times New Roman"/>
          <w:sz w:val="17"/>
          <w:szCs w:val="17"/>
          <w:color w:val="auto"/>
        </w:rPr>
        <w:t>. Nothing in the Plan, in the grant of any Award or in any Award Agreement shall confer upon any Eligible Person or any Participant any right to continue in the Service of the Company or any of its Subsidiaries or interfere in any way with the right of the Company or any of its Subsidiaries to terminate the employment or other service relationship of an Eligible Person or a Participant for any reason or no reason at any time.</w:t>
      </w:r>
    </w:p>
    <w:p>
      <w:pPr>
        <w:spacing w:after="0" w:line="63" w:lineRule="exact"/>
        <w:rPr>
          <w:sz w:val="20"/>
          <w:szCs w:val="20"/>
          <w:color w:val="auto"/>
        </w:rPr>
      </w:pPr>
    </w:p>
    <w:p>
      <w:pPr>
        <w:ind w:right="20" w:firstLine="422"/>
        <w:spacing w:after="0" w:line="260" w:lineRule="auto"/>
        <w:rPr>
          <w:sz w:val="20"/>
          <w:szCs w:val="20"/>
          <w:color w:val="auto"/>
        </w:rPr>
      </w:pPr>
      <w:r>
        <w:rPr>
          <w:rFonts w:ascii="Times New Roman" w:cs="Times New Roman" w:eastAsia="Times New Roman" w:hAnsi="Times New Roman"/>
          <w:sz w:val="17"/>
          <w:szCs w:val="17"/>
          <w:color w:val="auto"/>
        </w:rPr>
        <w:t xml:space="preserve">15.5 </w:t>
      </w:r>
      <w:r>
        <w:rPr>
          <w:rFonts w:ascii="Times New Roman" w:cs="Times New Roman" w:eastAsia="Times New Roman" w:hAnsi="Times New Roman"/>
          <w:sz w:val="17"/>
          <w:szCs w:val="17"/>
          <w:i w:val="1"/>
          <w:iCs w:val="1"/>
          <w:color w:val="auto"/>
        </w:rPr>
        <w:t>Rights as Stockholder</w:t>
      </w:r>
      <w:r>
        <w:rPr>
          <w:rFonts w:ascii="Times New Roman" w:cs="Times New Roman" w:eastAsia="Times New Roman" w:hAnsi="Times New Roman"/>
          <w:sz w:val="17"/>
          <w:szCs w:val="17"/>
          <w:color w:val="auto"/>
        </w:rPr>
        <w:t xml:space="preserve">. A Participant shall have no rights as a holder of shares of Common Stock with respect to any unissued shares of Common Stock covered by an Award until the date the Participant becomes the holder of record of such shares. Except as provided in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hereof, no adjustment or other provision shall be made for dividends or other stockholder rights, except to the extent that the Award Agreement provides for dividend payments or dividend equivalent rights. The Committee may determine in its discretion the manner of delivery of Common Stock to be issued under the Plan, which may be by delivery of stock certificates, electronic account entry into new or existing accounts or any other means as the Committee, in its discretion, deems appropriate. The Committee may require that the appropriate entry on the books of the Company or a duly authorized transfer agent of the Company note any restrictions with respect to the share of Common Stock covered by an Award until the restrictions thereof shall have lapsed.</w:t>
      </w:r>
    </w:p>
    <w:p>
      <w:pPr>
        <w:spacing w:after="0" w:line="67" w:lineRule="exact"/>
        <w:rPr>
          <w:sz w:val="20"/>
          <w:szCs w:val="20"/>
          <w:color w:val="auto"/>
        </w:rPr>
      </w:pPr>
    </w:p>
    <w:p>
      <w:pPr>
        <w:ind w:right="460" w:firstLine="422"/>
        <w:spacing w:after="0" w:line="294" w:lineRule="auto"/>
        <w:rPr>
          <w:sz w:val="20"/>
          <w:szCs w:val="20"/>
          <w:color w:val="auto"/>
        </w:rPr>
      </w:pPr>
      <w:r>
        <w:rPr>
          <w:rFonts w:ascii="Times New Roman" w:cs="Times New Roman" w:eastAsia="Times New Roman" w:hAnsi="Times New Roman"/>
          <w:sz w:val="17"/>
          <w:szCs w:val="17"/>
          <w:color w:val="auto"/>
        </w:rPr>
        <w:t xml:space="preserve">15.6 </w:t>
      </w:r>
      <w:r>
        <w:rPr>
          <w:rFonts w:ascii="Times New Roman" w:cs="Times New Roman" w:eastAsia="Times New Roman" w:hAnsi="Times New Roman"/>
          <w:sz w:val="17"/>
          <w:szCs w:val="17"/>
          <w:i w:val="1"/>
          <w:iCs w:val="1"/>
          <w:color w:val="auto"/>
        </w:rPr>
        <w:t>Trading Policy and Other Restrictions</w:t>
      </w:r>
      <w:r>
        <w:rPr>
          <w:rFonts w:ascii="Times New Roman" w:cs="Times New Roman" w:eastAsia="Times New Roman" w:hAnsi="Times New Roman"/>
          <w:sz w:val="17"/>
          <w:szCs w:val="17"/>
          <w:color w:val="auto"/>
        </w:rPr>
        <w:t>. Transactions involving Awards under the Plan shall be subject to the Company’s insider trading policy and other restrictions, terms, conditions and policies established by the Board or Committee from time to time or by applicable law.</w:t>
      </w:r>
    </w:p>
    <w:p>
      <w:pPr>
        <w:spacing w:after="0" w:line="39" w:lineRule="exact"/>
        <w:rPr>
          <w:sz w:val="20"/>
          <w:szCs w:val="20"/>
          <w:color w:val="auto"/>
        </w:rPr>
      </w:pPr>
    </w:p>
    <w:p>
      <w:pPr>
        <w:ind w:firstLine="422"/>
        <w:spacing w:after="0" w:line="257" w:lineRule="auto"/>
        <w:rPr>
          <w:sz w:val="20"/>
          <w:szCs w:val="20"/>
          <w:color w:val="auto"/>
        </w:rPr>
      </w:pPr>
      <w:r>
        <w:rPr>
          <w:rFonts w:ascii="Times New Roman" w:cs="Times New Roman" w:eastAsia="Times New Roman" w:hAnsi="Times New Roman"/>
          <w:sz w:val="17"/>
          <w:szCs w:val="17"/>
          <w:color w:val="auto"/>
        </w:rPr>
        <w:t xml:space="preserve">15.7 </w:t>
      </w:r>
      <w:r>
        <w:rPr>
          <w:rFonts w:ascii="Times New Roman" w:cs="Times New Roman" w:eastAsia="Times New Roman" w:hAnsi="Times New Roman"/>
          <w:sz w:val="17"/>
          <w:szCs w:val="17"/>
          <w:i w:val="1"/>
          <w:iCs w:val="1"/>
          <w:color w:val="auto"/>
        </w:rPr>
        <w:t>Section 409A Compliance</w:t>
      </w:r>
      <w:r>
        <w:rPr>
          <w:rFonts w:ascii="Times New Roman" w:cs="Times New Roman" w:eastAsia="Times New Roman" w:hAnsi="Times New Roman"/>
          <w:sz w:val="17"/>
          <w:szCs w:val="17"/>
          <w:color w:val="auto"/>
        </w:rPr>
        <w:t>. To the extent applicable, it is intended that the Plan and all Awards hereunder comply with, or be exempt from, the requirements of Section 409A of the Code and the Treasury Regulations and other guidance issued thereunder, and that the Plan and all Award Agreements shall be interpreted and applied by the Committee in a manner consistent with this intent in order to avoid the imposition of any additional tax under Section 409A of the Code. In the event that any (i) provision of the Plan or an Award Agreement, (ii) Award, payment, transaction or (iii) other action or arrangement contemplated by the provisions of the Plan is determined by the Committee to not comply with the applicable requirements of Section 409A of the Code and the Treasury Regulations and other guidance issued thereunder, the Committee shall have the authority to take such actions and to make such changes to the Plan or an Award Agreement as the Committee deems necessary to comply with such requirements. No payment that constitutes deferred compensation under Section 409A of the Code that would otherwise be made under the Plan or an Award Agreement upon a termination of Service will be made or provided unless and until such termination is also a “separation from service,” as determined in accordance with Section 409A of the Code. Notwithstanding the foregoing or anything elsewhere in the Plan or an Award Agreement to the contrary, if a Participant is a “specified employee” as defined in Section 409A of the Code at the time of termination of Service with respect to an Award, then solely to the extent necessary to avoid the imposition of any additional tax under Section 409A</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560"/>
          </w:cols>
          <w:pgMar w:left="660" w:top="264" w:right="679" w:bottom="1440" w:gutter="0" w:footer="0" w:header="0"/>
        </w:sectPr>
      </w:pPr>
    </w:p>
    <w:bookmarkStart w:id="30" w:name="page31"/>
    <w:bookmarkEnd w:id="30"/>
    <w:p>
      <w:pPr>
        <w:spacing w:after="0" w:line="26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of the Code, the commencement of any payments or benefits under the Award shall be deferred until the date that is six (6) months plus one (1) day following the date of the Participant’s termination of Service or, if earlier, the Participant’s death (or such other period as required to comply with Section 409A). For purposes of Section 409A of the Code, a Participant’s right to receive any installment payments pursuant to this Plan or any Award granted hereunder shall be treated as a right to receive a series of separate and distinct payments. For the avoidance of doubt, each applicable tranche of shares of Common Stock subject to vesting under any Award shall be considered a right to receive a series of separate and distinct payments. In no event whatsoever shall the Company be liable for any additional tax, interest or penalties that may be imposed on a Participant by Section 409A of the Code or any damages for failing to comply with Section 409A of the Code.</w:t>
      </w:r>
    </w:p>
    <w:p>
      <w:pPr>
        <w:spacing w:after="0" w:line="70" w:lineRule="exact"/>
        <w:rPr>
          <w:sz w:val="20"/>
          <w:szCs w:val="20"/>
          <w:color w:val="auto"/>
        </w:rPr>
      </w:pPr>
    </w:p>
    <w:p>
      <w:pPr>
        <w:ind w:right="40" w:firstLine="422"/>
        <w:spacing w:after="0" w:line="260" w:lineRule="auto"/>
        <w:rPr>
          <w:sz w:val="20"/>
          <w:szCs w:val="20"/>
          <w:color w:val="auto"/>
        </w:rPr>
      </w:pPr>
      <w:r>
        <w:rPr>
          <w:rFonts w:ascii="Times New Roman" w:cs="Times New Roman" w:eastAsia="Times New Roman" w:hAnsi="Times New Roman"/>
          <w:sz w:val="17"/>
          <w:szCs w:val="17"/>
          <w:color w:val="auto"/>
        </w:rPr>
        <w:t xml:space="preserve">15.8 </w:t>
      </w:r>
      <w:r>
        <w:rPr>
          <w:rFonts w:ascii="Times New Roman" w:cs="Times New Roman" w:eastAsia="Times New Roman" w:hAnsi="Times New Roman"/>
          <w:sz w:val="17"/>
          <w:szCs w:val="17"/>
          <w:i w:val="1"/>
          <w:iCs w:val="1"/>
          <w:color w:val="auto"/>
        </w:rPr>
        <w:t>Section 457A Compliance.</w:t>
      </w:r>
      <w:r>
        <w:rPr>
          <w:rFonts w:ascii="Times New Roman" w:cs="Times New Roman" w:eastAsia="Times New Roman" w:hAnsi="Times New Roman"/>
          <w:sz w:val="17"/>
          <w:szCs w:val="17"/>
          <w:color w:val="auto"/>
        </w:rPr>
        <w:t xml:space="preserve"> In the event any Award is subject to Section 457A of the Code (“</w:t>
      </w:r>
      <w:r>
        <w:rPr>
          <w:rFonts w:ascii="Times New Roman" w:cs="Times New Roman" w:eastAsia="Times New Roman" w:hAnsi="Times New Roman"/>
          <w:sz w:val="17"/>
          <w:szCs w:val="17"/>
          <w:i w:val="1"/>
          <w:iCs w:val="1"/>
          <w:color w:val="auto"/>
        </w:rPr>
        <w:t>Section 457A</w:t>
      </w:r>
      <w:r>
        <w:rPr>
          <w:rFonts w:ascii="Times New Roman" w:cs="Times New Roman" w:eastAsia="Times New Roman" w:hAnsi="Times New Roman"/>
          <w:sz w:val="17"/>
          <w:szCs w:val="17"/>
          <w:color w:val="auto"/>
        </w:rPr>
        <w:t>”), the Committee may, in its sole discretion and without a Participant’s prior consent, amend the Plan and/or Awards, adopt policies and procedures, or take any other actions (including amendments, policies, procedures and actions with retroactive effect) as are necessary or appropriate to (i) exempt the Plan and/or any Award from the application of Section 457A, (ii) preserve the intended tax treatment of any such Award, or (iii) comply with the requirements of Section 457A, including without limitation any such regulations, guidance, compliance programs and other interpretative authority that may be issued after the date of the grant. To the extent that an Award constitutes deferred compensation subject to Section 457A, such Award will be subject to taxation in accordance with Section 457A. In no event whatsoever shall the Company be liable for any additional tax, interest or penalties that may be imposed on a Participant by Section 457A of the Code or any damages for failing to comply with Section 457A of the Code.</w:t>
      </w:r>
    </w:p>
    <w:p>
      <w:pPr>
        <w:spacing w:after="0" w:line="67" w:lineRule="exact"/>
        <w:rPr>
          <w:sz w:val="20"/>
          <w:szCs w:val="20"/>
          <w:color w:val="auto"/>
        </w:rPr>
      </w:pPr>
    </w:p>
    <w:p>
      <w:pPr>
        <w:ind w:firstLine="422"/>
        <w:spacing w:after="0" w:line="259" w:lineRule="auto"/>
        <w:rPr>
          <w:sz w:val="20"/>
          <w:szCs w:val="20"/>
          <w:color w:val="auto"/>
        </w:rPr>
      </w:pPr>
      <w:r>
        <w:rPr>
          <w:rFonts w:ascii="Times New Roman" w:cs="Times New Roman" w:eastAsia="Times New Roman" w:hAnsi="Times New Roman"/>
          <w:sz w:val="17"/>
          <w:szCs w:val="17"/>
          <w:color w:val="auto"/>
        </w:rPr>
        <w:t xml:space="preserve">15.9 </w:t>
      </w:r>
      <w:r>
        <w:rPr>
          <w:rFonts w:ascii="Times New Roman" w:cs="Times New Roman" w:eastAsia="Times New Roman" w:hAnsi="Times New Roman"/>
          <w:sz w:val="17"/>
          <w:szCs w:val="17"/>
          <w:i w:val="1"/>
          <w:iCs w:val="1"/>
          <w:color w:val="auto"/>
        </w:rPr>
        <w:t>Securities Law Compliance</w:t>
      </w:r>
      <w:r>
        <w:rPr>
          <w:rFonts w:ascii="Times New Roman" w:cs="Times New Roman" w:eastAsia="Times New Roman" w:hAnsi="Times New Roman"/>
          <w:sz w:val="17"/>
          <w:szCs w:val="17"/>
          <w:color w:val="auto"/>
        </w:rPr>
        <w:t>. No shares of Common Stock will be issued or transferred pursuant to an Award unless and until all then applicable requirements imposed by Federal and state securities and other laws, rules and regulations and by any regulatory agencies having jurisdiction, and by any exchanges upon which the shares of Common Stock may be listed, have been fully met. As a condition precedent to the issuance of shares of Common Stock pursuant to the grant or exercise of an Award, the Company may require the Participant to take any action that the Company determines is necessary or advisable to meet such requirements. The Committee may impose such conditions on any shares of Common Stock issuable under the Plan as it may deem advisable, including, without limitation, restrictions under the Securities Act, under the requirements of any exchange upon which such shares of the same class are then listed, and under any blue sky or other securities laws applicable to such shares. The Committee may also require the Participant to represent and warrant at the time of issuance or transfer that the shares of Common Stock are being acquired solely for investment purposes and without any current intention to sell or distribute such shares.</w:t>
      </w:r>
    </w:p>
    <w:p>
      <w:pPr>
        <w:spacing w:after="0" w:line="70" w:lineRule="exact"/>
        <w:rPr>
          <w:sz w:val="20"/>
          <w:szCs w:val="20"/>
          <w:color w:val="auto"/>
        </w:rPr>
      </w:pPr>
    </w:p>
    <w:p>
      <w:pPr>
        <w:ind w:right="140" w:firstLine="422"/>
        <w:spacing w:after="0" w:line="267" w:lineRule="auto"/>
        <w:rPr>
          <w:sz w:val="20"/>
          <w:szCs w:val="20"/>
          <w:color w:val="auto"/>
        </w:rPr>
      </w:pPr>
      <w:r>
        <w:rPr>
          <w:rFonts w:ascii="Times New Roman" w:cs="Times New Roman" w:eastAsia="Times New Roman" w:hAnsi="Times New Roman"/>
          <w:sz w:val="17"/>
          <w:szCs w:val="17"/>
          <w:color w:val="auto"/>
        </w:rPr>
        <w:t xml:space="preserve">15.10 </w:t>
      </w:r>
      <w:r>
        <w:rPr>
          <w:rFonts w:ascii="Times New Roman" w:cs="Times New Roman" w:eastAsia="Times New Roman" w:hAnsi="Times New Roman"/>
          <w:sz w:val="17"/>
          <w:szCs w:val="17"/>
          <w:i w:val="1"/>
          <w:iCs w:val="1"/>
          <w:color w:val="auto"/>
        </w:rPr>
        <w:t>Substitution or Assumption of Awards in Corporate Transactions</w:t>
      </w:r>
      <w:r>
        <w:rPr>
          <w:rFonts w:ascii="Times New Roman" w:cs="Times New Roman" w:eastAsia="Times New Roman" w:hAnsi="Times New Roman"/>
          <w:sz w:val="17"/>
          <w:szCs w:val="17"/>
          <w:color w:val="auto"/>
        </w:rPr>
        <w:t>. The Committee may grant Awards under the Plan in connection with the acquisition, whether by purchase, merger, consolidation or other corporate transaction, of the business or assets of any corporation or other entity, in substitution for awards previously granted by such corporation or other entity or otherwise. The Committee may also assume any previously granted awards of a former employee or a current employee, director, consultant or other service provider of another corporation or</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560"/>
          </w:cols>
          <w:pgMar w:left="660" w:top="264" w:right="679" w:bottom="1440" w:gutter="0" w:footer="0" w:header="0"/>
        </w:sectPr>
      </w:pPr>
    </w:p>
    <w:bookmarkStart w:id="31" w:name="page32"/>
    <w:bookmarkEnd w:id="31"/>
    <w:p>
      <w:pPr>
        <w:ind w:right="10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“entity” that becomes an Eligible Person by reason of such corporation transaction. The terms and conditions of the substituted or assumed awards may vary from the terms and conditions that would otherwise be required by the Plan solely to the extent the Committee deems necessary for such purpose. To the extent permitted by applicable law and the listing requirements of the NASDAQ or other exchange or securities market on which the shares of Common Stock are listed, any such substituted or assumed awards shall not reduce the Share Reserve.</w:t>
      </w:r>
    </w:p>
    <w:p>
      <w:pPr>
        <w:spacing w:after="0" w:line="64" w:lineRule="exact"/>
        <w:rPr>
          <w:sz w:val="20"/>
          <w:szCs w:val="20"/>
          <w:color w:val="auto"/>
        </w:rPr>
      </w:pPr>
    </w:p>
    <w:p>
      <w:pPr>
        <w:ind w:firstLine="422"/>
        <w:spacing w:after="0" w:line="257" w:lineRule="auto"/>
        <w:rPr>
          <w:sz w:val="20"/>
          <w:szCs w:val="20"/>
          <w:color w:val="auto"/>
        </w:rPr>
      </w:pPr>
      <w:r>
        <w:rPr>
          <w:rFonts w:ascii="Times New Roman" w:cs="Times New Roman" w:eastAsia="Times New Roman" w:hAnsi="Times New Roman"/>
          <w:sz w:val="17"/>
          <w:szCs w:val="17"/>
          <w:color w:val="auto"/>
        </w:rPr>
        <w:t xml:space="preserve">15.11 </w:t>
      </w:r>
      <w:r>
        <w:rPr>
          <w:rFonts w:ascii="Times New Roman" w:cs="Times New Roman" w:eastAsia="Times New Roman" w:hAnsi="Times New Roman"/>
          <w:sz w:val="17"/>
          <w:szCs w:val="17"/>
          <w:i w:val="1"/>
          <w:iCs w:val="1"/>
          <w:color w:val="auto"/>
        </w:rPr>
        <w:t>Tax Withholding</w:t>
      </w:r>
      <w:r>
        <w:rPr>
          <w:rFonts w:ascii="Times New Roman" w:cs="Times New Roman" w:eastAsia="Times New Roman" w:hAnsi="Times New Roman"/>
          <w:sz w:val="17"/>
          <w:szCs w:val="17"/>
          <w:color w:val="auto"/>
        </w:rPr>
        <w:t>. The Participant shall be responsible for payment of any taxes or similar charges required by law to be paid or withheld from an Award or an amount paid in satisfaction of an Award. Any required withholdings shall be paid by the Participant on or prior to the payment or other event that results in taxable income in respect of an Award. The Award Agreement may specify the manner in which the withholding obligation shall be satisfied with respect to the particular type of Award, which may include permitting the Participant to elect to satisfy the withholding obligation by tendering shares of Common Stock to the Company or having the Company withhold a number of shares of Common Stock having a value in each case up to the maximum statutory tax rates in the applicable jurisdiction or as the Committee may approve in its discretion (provided that such withholding does not result in adverse tax or accounting consequences to the Company), or similar charge required to be paid or withheld. In addition, to the extent permitted by the Committee in its sole discretion in an Award Agreement or otherwise, and subject to Section 16 of the Exchange Act, withholding may be satisfied through an open-market, broker-assisted sales transaction pursuant to which the Company is promptly delivered the amount of proceeds necessary to satisfy the withholding amount, which shall be subject to any terms and conditions imposed by the Committee. The Company shall have the power and the right to require a Participant to remit to the Company the amount necessary to satisfy federal, state, provincial and local taxes, domestic or foreign, required by law or regulation to be withheld, and to deduct or withhold from any shares of Common Stock deliverable under an Award to satisfy such withholding obligation.</w:t>
      </w:r>
    </w:p>
    <w:p>
      <w:pPr>
        <w:spacing w:after="0" w:line="76" w:lineRule="exact"/>
        <w:rPr>
          <w:sz w:val="20"/>
          <w:szCs w:val="20"/>
          <w:color w:val="auto"/>
        </w:rPr>
      </w:pPr>
    </w:p>
    <w:p>
      <w:pPr>
        <w:ind w:right="60" w:firstLine="422"/>
        <w:spacing w:after="0" w:line="262" w:lineRule="auto"/>
        <w:rPr>
          <w:sz w:val="20"/>
          <w:szCs w:val="20"/>
          <w:color w:val="auto"/>
        </w:rPr>
      </w:pPr>
      <w:r>
        <w:rPr>
          <w:rFonts w:ascii="Times New Roman" w:cs="Times New Roman" w:eastAsia="Times New Roman" w:hAnsi="Times New Roman"/>
          <w:sz w:val="17"/>
          <w:szCs w:val="17"/>
          <w:color w:val="auto"/>
        </w:rPr>
        <w:t xml:space="preserve">15.12 </w:t>
      </w:r>
      <w:r>
        <w:rPr>
          <w:rFonts w:ascii="Times New Roman" w:cs="Times New Roman" w:eastAsia="Times New Roman" w:hAnsi="Times New Roman"/>
          <w:sz w:val="17"/>
          <w:szCs w:val="17"/>
          <w:i w:val="1"/>
          <w:iCs w:val="1"/>
          <w:color w:val="auto"/>
        </w:rPr>
        <w:t>Unfunded Plan</w:t>
      </w:r>
      <w:r>
        <w:rPr>
          <w:rFonts w:ascii="Times New Roman" w:cs="Times New Roman" w:eastAsia="Times New Roman" w:hAnsi="Times New Roman"/>
          <w:sz w:val="17"/>
          <w:szCs w:val="17"/>
          <w:color w:val="auto"/>
        </w:rPr>
        <w:t>. The adoption of the Plan and any reservation of shares of Common Stock or cash amounts by the Company to discharge its obligations hereunder shall not be deemed to create a trust or other funded arrangement. Except upon the issuance of shares of Common Stock pursuant to an Award, any rights of a Participant under the Plan shall be those of a general unsecured creditor of the Company, and neither a Participant nor the Participant’s permitted transferees or estate shall have any other interest in any assets of the Company by virtue of the Plan. Notwithstanding the foregoing, the Company shall have the right to implement or set aside funds in a grantor trust, subject to the claims of the Company’s creditors or otherwise, to discharge its obligations under the Plan.</w:t>
      </w:r>
    </w:p>
    <w:p>
      <w:pPr>
        <w:spacing w:after="0" w:line="66" w:lineRule="exact"/>
        <w:rPr>
          <w:sz w:val="20"/>
          <w:szCs w:val="20"/>
          <w:color w:val="auto"/>
        </w:rPr>
      </w:pPr>
    </w:p>
    <w:p>
      <w:pPr>
        <w:ind w:right="60" w:firstLine="422"/>
        <w:spacing w:after="0" w:line="262" w:lineRule="auto"/>
        <w:rPr>
          <w:sz w:val="20"/>
          <w:szCs w:val="20"/>
          <w:color w:val="auto"/>
        </w:rPr>
      </w:pPr>
      <w:r>
        <w:rPr>
          <w:rFonts w:ascii="Times New Roman" w:cs="Times New Roman" w:eastAsia="Times New Roman" w:hAnsi="Times New Roman"/>
          <w:sz w:val="17"/>
          <w:szCs w:val="17"/>
          <w:color w:val="auto"/>
        </w:rPr>
        <w:t xml:space="preserve">15.13 </w:t>
      </w:r>
      <w:r>
        <w:rPr>
          <w:rFonts w:ascii="Times New Roman" w:cs="Times New Roman" w:eastAsia="Times New Roman" w:hAnsi="Times New Roman"/>
          <w:sz w:val="17"/>
          <w:szCs w:val="17"/>
          <w:i w:val="1"/>
          <w:iCs w:val="1"/>
          <w:color w:val="auto"/>
        </w:rPr>
        <w:t>Other Compensation and Benefit Plans</w:t>
      </w:r>
      <w:r>
        <w:rPr>
          <w:rFonts w:ascii="Times New Roman" w:cs="Times New Roman" w:eastAsia="Times New Roman" w:hAnsi="Times New Roman"/>
          <w:sz w:val="17"/>
          <w:szCs w:val="17"/>
          <w:color w:val="auto"/>
        </w:rPr>
        <w:t>. The adoption of the Plan shall not affect any other share incentive or other compensation plans in effect for the Company or any Subsidiary, nor shall the Plan preclude the Company from establishing any other forms of share incentive or other compensation or benefit program for service providers of the Company or any Subsidiary. The amount of any compensation deemed to be received by a Participant pursuant to an Award shall not constitute includable compensation for purposes of determining the amount of benefits to which a Participant is entitled under any other compensation or benefit plan or program of the Company or a Subsidiary, including, without limitation, under any pension or severance benefits plan, except to the extent specifically provided by the terms of any such plan.</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560"/>
          </w:cols>
          <w:pgMar w:left="660" w:top="264" w:right="679" w:bottom="1440" w:gutter="0" w:footer="0" w:header="0"/>
        </w:sectPr>
      </w:pPr>
    </w:p>
    <w:bookmarkStart w:id="32" w:name="page33"/>
    <w:bookmarkEnd w:id="32"/>
    <w:p>
      <w:pPr>
        <w:jc w:val="both"/>
        <w:ind w:right="40" w:firstLine="422"/>
        <w:spacing w:after="0" w:line="29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15.14 </w:t>
      </w:r>
      <w:r>
        <w:rPr>
          <w:rFonts w:ascii="Times New Roman" w:cs="Times New Roman" w:eastAsia="Times New Roman" w:hAnsi="Times New Roman"/>
          <w:sz w:val="17"/>
          <w:szCs w:val="17"/>
          <w:i w:val="1"/>
          <w:iCs w:val="1"/>
          <w:color w:val="auto"/>
        </w:rPr>
        <w:t>Plan Binding on Transferees</w:t>
      </w:r>
      <w:r>
        <w:rPr>
          <w:rFonts w:ascii="Times New Roman" w:cs="Times New Roman" w:eastAsia="Times New Roman" w:hAnsi="Times New Roman"/>
          <w:sz w:val="17"/>
          <w:szCs w:val="17"/>
          <w:color w:val="auto"/>
        </w:rPr>
        <w:t>. The Plan shall be binding upon the Company, its transferees and assigns, and the Participant, the Participant’s executor, administrator and permitted transferees and beneficiaries.</w:t>
      </w:r>
    </w:p>
    <w:p>
      <w:pPr>
        <w:spacing w:after="0" w:line="39" w:lineRule="exact"/>
        <w:rPr>
          <w:sz w:val="20"/>
          <w:szCs w:val="20"/>
          <w:color w:val="auto"/>
        </w:rPr>
      </w:pPr>
    </w:p>
    <w:p>
      <w:pPr>
        <w:jc w:val="both"/>
        <w:ind w:right="60" w:firstLine="422"/>
        <w:spacing w:after="0" w:line="274" w:lineRule="auto"/>
        <w:rPr>
          <w:sz w:val="20"/>
          <w:szCs w:val="20"/>
          <w:color w:val="auto"/>
        </w:rPr>
      </w:pPr>
      <w:r>
        <w:rPr>
          <w:rFonts w:ascii="Times New Roman" w:cs="Times New Roman" w:eastAsia="Times New Roman" w:hAnsi="Times New Roman"/>
          <w:sz w:val="17"/>
          <w:szCs w:val="17"/>
          <w:color w:val="auto"/>
        </w:rPr>
        <w:t xml:space="preserve">15.15 </w:t>
      </w:r>
      <w:r>
        <w:rPr>
          <w:rFonts w:ascii="Times New Roman" w:cs="Times New Roman" w:eastAsia="Times New Roman" w:hAnsi="Times New Roman"/>
          <w:sz w:val="17"/>
          <w:szCs w:val="17"/>
          <w:i w:val="1"/>
          <w:iCs w:val="1"/>
          <w:color w:val="auto"/>
        </w:rPr>
        <w:t>Severability</w:t>
      </w:r>
      <w:r>
        <w:rPr>
          <w:rFonts w:ascii="Times New Roman" w:cs="Times New Roman" w:eastAsia="Times New Roman" w:hAnsi="Times New Roman"/>
          <w:sz w:val="17"/>
          <w:szCs w:val="17"/>
          <w:color w:val="auto"/>
        </w:rPr>
        <w:t>.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56" w:lineRule="exact"/>
        <w:rPr>
          <w:sz w:val="20"/>
          <w:szCs w:val="20"/>
          <w:color w:val="auto"/>
        </w:rPr>
      </w:pPr>
    </w:p>
    <w:p>
      <w:pPr>
        <w:ind w:firstLine="422"/>
        <w:spacing w:after="0" w:line="262" w:lineRule="auto"/>
        <w:rPr>
          <w:sz w:val="20"/>
          <w:szCs w:val="20"/>
          <w:color w:val="auto"/>
        </w:rPr>
      </w:pPr>
      <w:r>
        <w:rPr>
          <w:rFonts w:ascii="Times New Roman" w:cs="Times New Roman" w:eastAsia="Times New Roman" w:hAnsi="Times New Roman"/>
          <w:sz w:val="17"/>
          <w:szCs w:val="17"/>
          <w:color w:val="auto"/>
        </w:rPr>
        <w:t xml:space="preserve">15.16 </w:t>
      </w:r>
      <w:r>
        <w:rPr>
          <w:rFonts w:ascii="Times New Roman" w:cs="Times New Roman" w:eastAsia="Times New Roman" w:hAnsi="Times New Roman"/>
          <w:sz w:val="17"/>
          <w:szCs w:val="17"/>
          <w:i w:val="1"/>
          <w:iCs w:val="1"/>
          <w:color w:val="auto"/>
        </w:rPr>
        <w:t>Governing Law</w:t>
      </w:r>
      <w:r>
        <w:rPr>
          <w:rFonts w:ascii="Times New Roman" w:cs="Times New Roman" w:eastAsia="Times New Roman" w:hAnsi="Times New Roman"/>
          <w:sz w:val="17"/>
          <w:szCs w:val="17"/>
          <w:color w:val="auto"/>
        </w:rPr>
        <w:t>. The Plan, all Awards and all Award Agreements, and all claims or causes of action (whether in contract, tort or statute) that may be based upon, arise out of or relate to the Plan, any Award or Award Agreement, or the negotiation, execution or performance of any such documents or matter related thereto (including any claim or cause of action based upon, arising out of or related to any representation or warranty made in or in connection with the Plan, any Award or Award Agreement, or as an inducement to enter into any Award Agreement), shall be governed by, and enforced in accordance with, the internal laws of the State of Delaware, including its statutes of limitations and repose, but without regard to any borrowing statute that would result in the application of the statute of limitations or repose of any other jurisdiction.</w:t>
      </w:r>
    </w:p>
    <w:p>
      <w:pPr>
        <w:spacing w:after="0" w:line="66" w:lineRule="exact"/>
        <w:rPr>
          <w:sz w:val="20"/>
          <w:szCs w:val="20"/>
          <w:color w:val="auto"/>
        </w:rPr>
      </w:pPr>
    </w:p>
    <w:p>
      <w:pPr>
        <w:ind w:right="20" w:firstLine="422"/>
        <w:spacing w:after="0" w:line="274" w:lineRule="auto"/>
        <w:rPr>
          <w:sz w:val="20"/>
          <w:szCs w:val="20"/>
          <w:color w:val="auto"/>
        </w:rPr>
      </w:pPr>
      <w:r>
        <w:rPr>
          <w:rFonts w:ascii="Times New Roman" w:cs="Times New Roman" w:eastAsia="Times New Roman" w:hAnsi="Times New Roman"/>
          <w:sz w:val="17"/>
          <w:szCs w:val="17"/>
          <w:color w:val="auto"/>
        </w:rPr>
        <w:t xml:space="preserve">15.17 </w:t>
      </w:r>
      <w:r>
        <w:rPr>
          <w:rFonts w:ascii="Times New Roman" w:cs="Times New Roman" w:eastAsia="Times New Roman" w:hAnsi="Times New Roman"/>
          <w:sz w:val="17"/>
          <w:szCs w:val="17"/>
          <w:i w:val="1"/>
          <w:iCs w:val="1"/>
          <w:color w:val="auto"/>
        </w:rPr>
        <w:t>No Fractional Shares</w:t>
      </w:r>
      <w:r>
        <w:rPr>
          <w:rFonts w:ascii="Times New Roman" w:cs="Times New Roman" w:eastAsia="Times New Roman" w:hAnsi="Times New Roman"/>
          <w:sz w:val="17"/>
          <w:szCs w:val="17"/>
          <w:color w:val="auto"/>
        </w:rPr>
        <w:t>. No fractional shares of Common Stock shall be issued or delivered pursuant to the Plan or any Award, and the Committee shall determine whether cash, other securities or other property shall be paid or transferred in lieu of any fractional shares of Common Stock or whether such fractional shares or any rights thereto shall be canceled, terminated or otherwise eliminated.</w:t>
      </w:r>
    </w:p>
    <w:p>
      <w:pPr>
        <w:spacing w:after="0" w:line="56" w:lineRule="exact"/>
        <w:rPr>
          <w:sz w:val="20"/>
          <w:szCs w:val="20"/>
          <w:color w:val="auto"/>
        </w:rPr>
      </w:pPr>
    </w:p>
    <w:p>
      <w:pPr>
        <w:ind w:right="60" w:firstLine="422"/>
        <w:spacing w:after="0" w:line="267" w:lineRule="auto"/>
        <w:rPr>
          <w:sz w:val="20"/>
          <w:szCs w:val="20"/>
          <w:color w:val="auto"/>
        </w:rPr>
      </w:pPr>
      <w:r>
        <w:rPr>
          <w:rFonts w:ascii="Times New Roman" w:cs="Times New Roman" w:eastAsia="Times New Roman" w:hAnsi="Times New Roman"/>
          <w:sz w:val="17"/>
          <w:szCs w:val="17"/>
          <w:color w:val="auto"/>
        </w:rPr>
        <w:t xml:space="preserve">15.18 </w:t>
      </w:r>
      <w:r>
        <w:rPr>
          <w:rFonts w:ascii="Times New Roman" w:cs="Times New Roman" w:eastAsia="Times New Roman" w:hAnsi="Times New Roman"/>
          <w:sz w:val="17"/>
          <w:szCs w:val="17"/>
          <w:i w:val="1"/>
          <w:iCs w:val="1"/>
          <w:color w:val="auto"/>
        </w:rPr>
        <w:t>No Guarantees Regarding Tax Treatment</w:t>
      </w:r>
      <w:r>
        <w:rPr>
          <w:rFonts w:ascii="Times New Roman" w:cs="Times New Roman" w:eastAsia="Times New Roman" w:hAnsi="Times New Roman"/>
          <w:sz w:val="17"/>
          <w:szCs w:val="17"/>
          <w:color w:val="auto"/>
        </w:rPr>
        <w:t>. Neither the Company nor the Committee make any guarantees to any Person regarding the tax treatment of Awards or payments made under the Plan. Neither the Company nor the Committee has any obligation to take any action to prevent the assessment of any tax on any Person with respect to any Award under Section 409A of the Code, Section 4999 of the Code or otherwise and neither the Company nor the Committee shall have any liability to a Person with respect thereto.</w:t>
      </w:r>
    </w:p>
    <w:p>
      <w:pPr>
        <w:spacing w:after="0" w:line="63" w:lineRule="exact"/>
        <w:rPr>
          <w:sz w:val="20"/>
          <w:szCs w:val="20"/>
          <w:color w:val="auto"/>
        </w:rPr>
      </w:pPr>
    </w:p>
    <w:p>
      <w:pPr>
        <w:ind w:right="80" w:firstLine="422"/>
        <w:spacing w:after="0" w:line="274" w:lineRule="auto"/>
        <w:rPr>
          <w:sz w:val="20"/>
          <w:szCs w:val="20"/>
          <w:color w:val="auto"/>
        </w:rPr>
      </w:pPr>
      <w:r>
        <w:rPr>
          <w:rFonts w:ascii="Times New Roman" w:cs="Times New Roman" w:eastAsia="Times New Roman" w:hAnsi="Times New Roman"/>
          <w:sz w:val="17"/>
          <w:szCs w:val="17"/>
          <w:color w:val="auto"/>
        </w:rPr>
        <w:t xml:space="preserve">15.19 </w:t>
      </w:r>
      <w:r>
        <w:rPr>
          <w:rFonts w:ascii="Times New Roman" w:cs="Times New Roman" w:eastAsia="Times New Roman" w:hAnsi="Times New Roman"/>
          <w:sz w:val="17"/>
          <w:szCs w:val="17"/>
          <w:i w:val="1"/>
          <w:iCs w:val="1"/>
          <w:color w:val="auto"/>
        </w:rPr>
        <w:t>Data Protection</w:t>
      </w:r>
      <w:r>
        <w:rPr>
          <w:rFonts w:ascii="Times New Roman" w:cs="Times New Roman" w:eastAsia="Times New Roman" w:hAnsi="Times New Roman"/>
          <w:sz w:val="17"/>
          <w:szCs w:val="17"/>
          <w:color w:val="auto"/>
        </w:rPr>
        <w:t>. By participating in the Plan, each Participant consents to the collection, processing, transmission and storage by the Company, its Subsidiaries and any third party administrators of any data of a professional or personal nature for the purposes of administering the Plan and in connection with a Participant’s status as a stockholder of the Company upon the issuance of any shares of Common Stock pursuant to an Award.</w:t>
      </w:r>
    </w:p>
    <w:p>
      <w:pPr>
        <w:spacing w:after="0" w:line="56" w:lineRule="exact"/>
        <w:rPr>
          <w:sz w:val="20"/>
          <w:szCs w:val="20"/>
          <w:color w:val="auto"/>
        </w:rPr>
      </w:pPr>
    </w:p>
    <w:p>
      <w:pPr>
        <w:ind w:right="20" w:firstLine="422"/>
        <w:spacing w:after="0" w:line="261" w:lineRule="auto"/>
        <w:rPr>
          <w:sz w:val="20"/>
          <w:szCs w:val="20"/>
          <w:color w:val="auto"/>
        </w:rPr>
      </w:pPr>
      <w:r>
        <w:rPr>
          <w:rFonts w:ascii="Times New Roman" w:cs="Times New Roman" w:eastAsia="Times New Roman" w:hAnsi="Times New Roman"/>
          <w:sz w:val="17"/>
          <w:szCs w:val="17"/>
          <w:color w:val="auto"/>
        </w:rPr>
        <w:t xml:space="preserve">15.20 </w:t>
      </w:r>
      <w:r>
        <w:rPr>
          <w:rFonts w:ascii="Times New Roman" w:cs="Times New Roman" w:eastAsia="Times New Roman" w:hAnsi="Times New Roman"/>
          <w:sz w:val="17"/>
          <w:szCs w:val="17"/>
          <w:i w:val="1"/>
          <w:iCs w:val="1"/>
          <w:color w:val="auto"/>
        </w:rPr>
        <w:t>Awards to Non-U.S. Participants.</w:t>
      </w:r>
      <w:r>
        <w:rPr>
          <w:rFonts w:ascii="Times New Roman" w:cs="Times New Roman" w:eastAsia="Times New Roman" w:hAnsi="Times New Roman"/>
          <w:sz w:val="17"/>
          <w:szCs w:val="17"/>
          <w:color w:val="auto"/>
        </w:rPr>
        <w:t xml:space="preserve"> To comply with the laws in countries other than the United States in which the Company or any of its Subsidiaries or Affiliates operates or has employees, Non-Employee Directors or consultants, the Committee, in its sole discretion, shall have the power and authority to (i) modify the terms and conditions of any Award granted to Participants outside the United States to comply with applicable foreign laws, (ii) take any action, before or after an Award is made, that it deems advisable to obtain approval or comply with any necessary local government regulatory exemptions or approvals and (iii) establish subplans and modify exercise procedures and other terms and procedures, to the extent such actions may be necessary or advisable. Any subplans and modifications to Plan terms and procedures established under this </w:t>
      </w:r>
      <w:r>
        <w:rPr>
          <w:rFonts w:ascii="Times New Roman" w:cs="Times New Roman" w:eastAsia="Times New Roman" w:hAnsi="Times New Roman"/>
          <w:sz w:val="17"/>
          <w:szCs w:val="17"/>
          <w:u w:val="single" w:color="auto"/>
          <w:color w:val="auto"/>
        </w:rPr>
        <w:t>Section 15.20</w:t>
      </w:r>
      <w:r>
        <w:rPr>
          <w:rFonts w:ascii="Times New Roman" w:cs="Times New Roman" w:eastAsia="Times New Roman" w:hAnsi="Times New Roman"/>
          <w:sz w:val="17"/>
          <w:szCs w:val="17"/>
          <w:color w:val="auto"/>
        </w:rPr>
        <w:t xml:space="preserve"> by the Committee shall be attached to this Plan document as appendices.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520"/>
          </w:cols>
          <w:pgMar w:left="660" w:top="262" w:right="719" w:bottom="1440" w:gutter="0" w:footer="0" w:header="0"/>
        </w:sectPr>
      </w:pPr>
    </w:p>
    <w:bookmarkStart w:id="33" w:name="page34"/>
    <w:bookmarkEnd w:id="33"/>
    <w:p>
      <w:pPr>
        <w:ind w:left="680" w:hanging="257"/>
        <w:spacing w:after="0"/>
        <w:tabs>
          <w:tab w:leader="none" w:pos="6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Term; Amendment and Termination; Stockholder Approval</w:t>
      </w:r>
      <w:r>
        <w:rPr>
          <w:rFonts w:ascii="Times New Roman" w:cs="Times New Roman" w:eastAsia="Times New Roman" w:hAnsi="Times New Roman"/>
          <w:sz w:val="17"/>
          <w:szCs w:val="17"/>
          <w:color w:val="auto"/>
        </w:rPr>
        <w:t>.</w:t>
      </w:r>
    </w:p>
    <w:p>
      <w:pPr>
        <w:spacing w:after="0" w:line="113" w:lineRule="exact"/>
        <w:rPr>
          <w:sz w:val="20"/>
          <w:szCs w:val="20"/>
          <w:color w:val="auto"/>
        </w:rPr>
      </w:pPr>
    </w:p>
    <w:p>
      <w:pPr>
        <w:ind w:right="20" w:firstLine="422"/>
        <w:spacing w:after="0" w:line="294" w:lineRule="auto"/>
        <w:rPr>
          <w:sz w:val="20"/>
          <w:szCs w:val="20"/>
          <w:color w:val="auto"/>
        </w:rPr>
      </w:pPr>
      <w:r>
        <w:rPr>
          <w:rFonts w:ascii="Times New Roman" w:cs="Times New Roman" w:eastAsia="Times New Roman" w:hAnsi="Times New Roman"/>
          <w:sz w:val="17"/>
          <w:szCs w:val="17"/>
          <w:color w:val="auto"/>
        </w:rPr>
        <w:t xml:space="preserve">16.1 </w:t>
      </w:r>
      <w:r>
        <w:rPr>
          <w:rFonts w:ascii="Times New Roman" w:cs="Times New Roman" w:eastAsia="Times New Roman" w:hAnsi="Times New Roman"/>
          <w:sz w:val="17"/>
          <w:szCs w:val="17"/>
          <w:i w:val="1"/>
          <w:iCs w:val="1"/>
          <w:color w:val="auto"/>
        </w:rPr>
        <w:t>Term</w:t>
      </w:r>
      <w:r>
        <w:rPr>
          <w:rFonts w:ascii="Times New Roman" w:cs="Times New Roman" w:eastAsia="Times New Roman" w:hAnsi="Times New Roman"/>
          <w:sz w:val="17"/>
          <w:szCs w:val="17"/>
          <w:color w:val="auto"/>
        </w:rPr>
        <w:t xml:space="preserve">. The Plan shall be effective as of the Effective Date. Subject to </w:t>
      </w:r>
      <w:r>
        <w:rPr>
          <w:rFonts w:ascii="Times New Roman" w:cs="Times New Roman" w:eastAsia="Times New Roman" w:hAnsi="Times New Roman"/>
          <w:sz w:val="17"/>
          <w:szCs w:val="17"/>
          <w:u w:val="single" w:color="auto"/>
          <w:color w:val="auto"/>
        </w:rPr>
        <w:t>Section 16.2</w:t>
      </w:r>
      <w:r>
        <w:rPr>
          <w:rFonts w:ascii="Times New Roman" w:cs="Times New Roman" w:eastAsia="Times New Roman" w:hAnsi="Times New Roman"/>
          <w:sz w:val="17"/>
          <w:szCs w:val="17"/>
          <w:color w:val="auto"/>
        </w:rPr>
        <w:t xml:space="preserve"> hereof, the Plan shall terminate on the tenth anniversary of the Effective Date.</w:t>
      </w:r>
    </w:p>
    <w:p>
      <w:pPr>
        <w:spacing w:after="0" w:line="39" w:lineRule="exact"/>
        <w:rPr>
          <w:sz w:val="20"/>
          <w:szCs w:val="20"/>
          <w:color w:val="auto"/>
        </w:rPr>
      </w:pPr>
    </w:p>
    <w:p>
      <w:pPr>
        <w:ind w:firstLine="422"/>
        <w:spacing w:after="0" w:line="259" w:lineRule="auto"/>
        <w:rPr>
          <w:sz w:val="20"/>
          <w:szCs w:val="20"/>
          <w:color w:val="auto"/>
        </w:rPr>
      </w:pPr>
      <w:r>
        <w:rPr>
          <w:rFonts w:ascii="Times New Roman" w:cs="Times New Roman" w:eastAsia="Times New Roman" w:hAnsi="Times New Roman"/>
          <w:sz w:val="17"/>
          <w:szCs w:val="17"/>
          <w:color w:val="auto"/>
        </w:rPr>
        <w:t xml:space="preserve">16.2 </w:t>
      </w:r>
      <w:r>
        <w:rPr>
          <w:rFonts w:ascii="Times New Roman" w:cs="Times New Roman" w:eastAsia="Times New Roman" w:hAnsi="Times New Roman"/>
          <w:sz w:val="17"/>
          <w:szCs w:val="17"/>
          <w:i w:val="1"/>
          <w:iCs w:val="1"/>
          <w:color w:val="auto"/>
        </w:rPr>
        <w:t>Amendment and Termination</w:t>
      </w:r>
      <w:r>
        <w:rPr>
          <w:rFonts w:ascii="Times New Roman" w:cs="Times New Roman" w:eastAsia="Times New Roman" w:hAnsi="Times New Roman"/>
          <w:sz w:val="17"/>
          <w:szCs w:val="17"/>
          <w:color w:val="auto"/>
        </w:rPr>
        <w:t xml:space="preserve">. The Board may from time to time and in any respect, amend, modify, suspend or terminate the Plan;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amendment, modification, suspension or termination of the Plan shall materially and adversely affect any Award theretofore granted without the consent of the Participant or the permitted transferee of the Award. The Board may seek the approval of any amendment, modification, suspension or termination by the Company’s stockholders to the extent it deems necessary in its discretion for purposes of compliance with Section 422 of the Code or for any other purpose, and shall seek such approval to the extent it deems necessary in its discretion to comply with applicable law or listing requirements of the NASDAQ or other exchange or securities market. Notwithstanding the foregoing, the Board shall have broad authority to amend the Plan or any Award under the Plan without the consent of a Participant to the extent it deems necessary or desirable in its discretion to comply with, take into account changes in, or interpretations of, applicable tax laws, securities laws, employment laws, accounting rules and other applicable laws, rules and regulations.</w:t>
      </w:r>
    </w:p>
    <w:p>
      <w:pPr>
        <w:spacing w:after="0" w:line="1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500"/>
          </w:cols>
          <w:pgMar w:left="660" w:top="264" w:right="739" w:bottom="1440" w:gutter="0" w:footer="0" w:header="0"/>
        </w:sectPr>
      </w:pPr>
    </w:p>
    <w:bookmarkStart w:id="34" w:name="page35"/>
    <w:bookmarkEnd w:id="34"/>
    <w:p>
      <w:pPr>
        <w:ind w:left="2980"/>
        <w:spacing w:after="0"/>
        <w:rPr>
          <w:sz w:val="20"/>
          <w:szCs w:val="20"/>
          <w:color w:val="auto"/>
        </w:rPr>
      </w:pPr>
      <w:r>
        <w:rPr>
          <w:rFonts w:ascii="Arial" w:cs="Arial" w:eastAsia="Arial" w:hAnsi="Arial"/>
          <w:sz w:val="35"/>
          <w:szCs w:val="35"/>
          <w:b w:val="1"/>
          <w:bCs w:val="1"/>
          <w:color w:val="auto"/>
        </w:rPr>
        <w:t>Calculation of Filing Fee Tables</w:t>
      </w:r>
    </w:p>
    <w:p>
      <w:pPr>
        <w:spacing w:after="0" w:line="206" w:lineRule="exact"/>
        <w:rPr>
          <w:sz w:val="20"/>
          <w:szCs w:val="20"/>
          <w:color w:val="auto"/>
        </w:rPr>
      </w:pPr>
    </w:p>
    <w:p>
      <w:pPr>
        <w:ind w:left="528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jc w:val="center"/>
        <w:ind w:right="240"/>
        <w:spacing w:after="0"/>
        <w:rPr>
          <w:sz w:val="20"/>
          <w:szCs w:val="20"/>
          <w:color w:val="auto"/>
        </w:rPr>
      </w:pPr>
      <w:r>
        <w:rPr>
          <w:rFonts w:ascii="Arial" w:cs="Arial" w:eastAsia="Arial" w:hAnsi="Arial"/>
          <w:sz w:val="35"/>
          <w:szCs w:val="35"/>
          <w:b w:val="1"/>
          <w:bCs w:val="1"/>
          <w:color w:val="auto"/>
        </w:rPr>
        <w:t>SOLV Energy, Inc.</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Table 1: Newly Registered Securities</w:t>
      </w:r>
    </w:p>
    <w:p>
      <w:pPr>
        <w:spacing w:after="0" w:line="42" w:lineRule="exact"/>
        <w:rPr>
          <w:sz w:val="20"/>
          <w:szCs w:val="20"/>
          <w:color w:val="auto"/>
        </w:rPr>
      </w:pPr>
    </w:p>
    <w:tbl>
      <w:tblPr>
        <w:tblLayout w:type="fixed"/>
        <w:tblInd w:w="57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18"/>
                <w:szCs w:val="18"/>
                <w:color w:val="auto"/>
              </w:rPr>
            </w:pPr>
          </w:p>
        </w:tc>
        <w:tc>
          <w:tcPr>
            <w:tcW w:w="920" w:type="dxa"/>
            <w:vAlign w:val="bottom"/>
            <w:vMerge w:val="restart"/>
            <w:shd w:val="clear" w:color="auto" w:fill="9ADAF6"/>
          </w:tcPr>
          <w:p>
            <w:pPr>
              <w:jc w:val="center"/>
              <w:ind w:left="101"/>
              <w:spacing w:after="0"/>
              <w:rPr>
                <w:sz w:val="20"/>
                <w:szCs w:val="20"/>
                <w:color w:val="auto"/>
              </w:rPr>
            </w:pPr>
            <w:r>
              <w:rPr>
                <w:rFonts w:ascii="Arial" w:cs="Arial" w:eastAsia="Arial" w:hAnsi="Arial"/>
                <w:sz w:val="21"/>
                <w:szCs w:val="21"/>
                <w:b w:val="1"/>
                <w:bCs w:val="1"/>
                <w:color w:val="auto"/>
                <w:w w:val="99"/>
              </w:rPr>
              <w:t>Fee</w:t>
            </w:r>
          </w:p>
        </w:tc>
        <w:tc>
          <w:tcPr>
            <w:tcW w:w="22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9"/>
              </w:rPr>
              <w:t>Proposed</w:t>
            </w:r>
          </w:p>
        </w:tc>
        <w:tc>
          <w:tcPr>
            <w:tcW w:w="20" w:type="dxa"/>
            <w:vAlign w:val="bottom"/>
          </w:tcPr>
          <w:p>
            <w:pPr>
              <w:spacing w:after="0"/>
              <w:rPr>
                <w:sz w:val="18"/>
                <w:szCs w:val="18"/>
                <w:color w:val="auto"/>
              </w:rPr>
            </w:pPr>
          </w:p>
        </w:tc>
        <w:tc>
          <w:tcPr>
            <w:tcW w:w="15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Amount of</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18"/>
                <w:szCs w:val="18"/>
                <w:color w:val="auto"/>
              </w:rPr>
            </w:pPr>
          </w:p>
        </w:tc>
        <w:tc>
          <w:tcPr>
            <w:tcW w:w="9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vMerge w:val="continue"/>
            <w:shd w:val="clear" w:color="auto" w:fill="9ADAF6"/>
          </w:tcPr>
          <w:p>
            <w:pPr>
              <w:spacing w:after="0"/>
              <w:rPr>
                <w:sz w:val="18"/>
                <w:szCs w:val="18"/>
                <w:color w:val="auto"/>
              </w:rPr>
            </w:pPr>
          </w:p>
        </w:tc>
        <w:tc>
          <w:tcPr>
            <w:tcW w:w="22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shd w:val="clear" w:color="auto" w:fill="9ADAF6"/>
          </w:tcPr>
          <w:p>
            <w:pPr>
              <w:jc w:val="right"/>
              <w:ind w:right="76"/>
              <w:spacing w:after="0" w:line="208" w:lineRule="exact"/>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8"/>
                <w:szCs w:val="18"/>
                <w:color w:val="auto"/>
              </w:rPr>
            </w:pPr>
          </w:p>
        </w:tc>
        <w:tc>
          <w:tcPr>
            <w:tcW w:w="14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8"/>
                <w:szCs w:val="18"/>
                <w:color w:val="auto"/>
              </w:rPr>
            </w:pPr>
          </w:p>
        </w:tc>
        <w:tc>
          <w:tcPr>
            <w:tcW w:w="15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Fee Rate</w:t>
            </w:r>
          </w:p>
        </w:tc>
        <w:tc>
          <w:tcPr>
            <w:tcW w:w="20" w:type="dxa"/>
            <w:vAlign w:val="bottom"/>
          </w:tcPr>
          <w:p>
            <w:pPr>
              <w:spacing w:after="0"/>
              <w:rPr>
                <w:sz w:val="18"/>
                <w:szCs w:val="18"/>
                <w:color w:val="auto"/>
              </w:rPr>
            </w:pPr>
          </w:p>
        </w:tc>
        <w:tc>
          <w:tcPr>
            <w:tcW w:w="1520" w:type="dxa"/>
            <w:vAlign w:val="bottom"/>
            <w:vMerge w:val="continue"/>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Type</w:t>
            </w:r>
          </w:p>
        </w:tc>
        <w:tc>
          <w:tcPr>
            <w:tcW w:w="40" w:type="dxa"/>
            <w:vAlign w:val="bottom"/>
          </w:tcPr>
          <w:p>
            <w:pPr>
              <w:spacing w:after="0"/>
              <w:rPr>
                <w:sz w:val="12"/>
                <w:szCs w:val="12"/>
                <w:color w:val="auto"/>
              </w:rPr>
            </w:pPr>
          </w:p>
        </w:tc>
        <w:tc>
          <w:tcPr>
            <w:tcW w:w="9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Class</w:t>
            </w:r>
          </w:p>
        </w:tc>
        <w:tc>
          <w:tcPr>
            <w:tcW w:w="40" w:type="dxa"/>
            <w:vAlign w:val="bottom"/>
          </w:tcPr>
          <w:p>
            <w:pPr>
              <w:spacing w:after="0"/>
              <w:rPr>
                <w:sz w:val="12"/>
                <w:szCs w:val="12"/>
                <w:color w:val="auto"/>
              </w:rPr>
            </w:pPr>
          </w:p>
        </w:tc>
        <w:tc>
          <w:tcPr>
            <w:tcW w:w="1140" w:type="dxa"/>
            <w:vAlign w:val="bottom"/>
            <w:gridSpan w:val="2"/>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Calculation</w:t>
            </w:r>
          </w:p>
        </w:tc>
        <w:tc>
          <w:tcPr>
            <w:tcW w:w="40" w:type="dxa"/>
            <w:vAlign w:val="bottom"/>
          </w:tcPr>
          <w:p>
            <w:pPr>
              <w:spacing w:after="0"/>
              <w:rPr>
                <w:sz w:val="12"/>
                <w:szCs w:val="12"/>
                <w:color w:val="auto"/>
              </w:rPr>
            </w:pPr>
          </w:p>
        </w:tc>
        <w:tc>
          <w:tcPr>
            <w:tcW w:w="1100" w:type="dxa"/>
            <w:vAlign w:val="bottom"/>
            <w:vMerge w:val="restart"/>
            <w:shd w:val="clear" w:color="auto" w:fill="9ADAF6"/>
          </w:tcPr>
          <w:p>
            <w:pPr>
              <w:jc w:val="right"/>
              <w:spacing w:after="0"/>
              <w:rPr>
                <w:sz w:val="20"/>
                <w:szCs w:val="20"/>
                <w:color w:val="auto"/>
              </w:rPr>
            </w:pPr>
            <w:r>
              <w:rPr>
                <w:rFonts w:ascii="Arial" w:cs="Arial" w:eastAsia="Arial" w:hAnsi="Arial"/>
                <w:sz w:val="21"/>
                <w:szCs w:val="21"/>
                <w:b w:val="1"/>
                <w:bCs w:val="1"/>
                <w:color w:val="auto"/>
                <w:w w:val="97"/>
              </w:rPr>
              <w:t>Registered</w:t>
            </w:r>
          </w:p>
        </w:tc>
        <w:tc>
          <w:tcPr>
            <w:tcW w:w="20" w:type="dxa"/>
            <w:vAlign w:val="bottom"/>
          </w:tcPr>
          <w:p>
            <w:pPr>
              <w:spacing w:after="0"/>
              <w:rPr>
                <w:sz w:val="12"/>
                <w:szCs w:val="12"/>
                <w:color w:val="auto"/>
              </w:rPr>
            </w:pPr>
          </w:p>
        </w:tc>
        <w:tc>
          <w:tcPr>
            <w:tcW w:w="14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Offering Price</w:t>
            </w:r>
          </w:p>
        </w:tc>
        <w:tc>
          <w:tcPr>
            <w:tcW w:w="20" w:type="dxa"/>
            <w:vAlign w:val="bottom"/>
          </w:tcPr>
          <w:p>
            <w:pPr>
              <w:spacing w:after="0"/>
              <w:rPr>
                <w:sz w:val="12"/>
                <w:szCs w:val="12"/>
                <w:color w:val="auto"/>
              </w:rPr>
            </w:pPr>
          </w:p>
        </w:tc>
        <w:tc>
          <w:tcPr>
            <w:tcW w:w="15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2"/>
                <w:szCs w:val="12"/>
                <w:color w:val="auto"/>
              </w:rPr>
            </w:pPr>
          </w:p>
        </w:tc>
        <w:tc>
          <w:tcPr>
            <w:tcW w:w="102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Registration</w:t>
            </w: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18"/>
                <w:szCs w:val="18"/>
                <w:color w:val="auto"/>
              </w:rPr>
            </w:pPr>
          </w:p>
        </w:tc>
        <w:tc>
          <w:tcPr>
            <w:tcW w:w="920" w:type="dxa"/>
            <w:vAlign w:val="bottom"/>
            <w:shd w:val="clear" w:color="auto" w:fill="9ADAF6"/>
          </w:tcPr>
          <w:p>
            <w:pPr>
              <w:jc w:val="center"/>
              <w:ind w:left="101"/>
              <w:spacing w:after="0" w:line="208" w:lineRule="exact"/>
              <w:rPr>
                <w:sz w:val="20"/>
                <w:szCs w:val="20"/>
                <w:color w:val="auto"/>
              </w:rPr>
            </w:pPr>
            <w:r>
              <w:rPr>
                <w:rFonts w:ascii="Arial" w:cs="Arial" w:eastAsia="Arial" w:hAnsi="Arial"/>
                <w:sz w:val="21"/>
                <w:szCs w:val="21"/>
                <w:b w:val="1"/>
                <w:bCs w:val="1"/>
                <w:color w:val="auto"/>
                <w:w w:val="96"/>
              </w:rPr>
              <w:t>Rule</w:t>
            </w:r>
          </w:p>
        </w:tc>
        <w:tc>
          <w:tcPr>
            <w:tcW w:w="22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7"/>
              </w:rPr>
              <w:t>Offering Price</w:t>
            </w: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Fee</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0" w:type="dxa"/>
            <w:vAlign w:val="bottom"/>
            <w:tcBorders>
              <w:left w:val="single" w:sz="8" w:color="auto"/>
            </w:tcBorders>
          </w:tcPr>
          <w:p>
            <w:pPr>
              <w:spacing w:after="0"/>
              <w:rPr>
                <w:sz w:val="15"/>
                <w:szCs w:val="15"/>
                <w:color w:val="auto"/>
              </w:rPr>
            </w:pPr>
          </w:p>
        </w:tc>
        <w:tc>
          <w:tcPr>
            <w:tcW w:w="1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shd w:val="clear" w:color="auto" w:fill="9ADAF6"/>
          </w:tcPr>
          <w:p>
            <w:pPr>
              <w:jc w:val="center"/>
              <w:spacing w:after="0" w:line="182" w:lineRule="exact"/>
              <w:rPr>
                <w:sz w:val="20"/>
                <w:szCs w:val="20"/>
                <w:color w:val="auto"/>
              </w:rPr>
            </w:pPr>
            <w:r>
              <w:rPr>
                <w:rFonts w:ascii="Arial" w:cs="Arial" w:eastAsia="Arial" w:hAnsi="Arial"/>
                <w:sz w:val="21"/>
                <w:szCs w:val="21"/>
                <w:b w:val="1"/>
                <w:bCs w:val="1"/>
                <w:color w:val="auto"/>
                <w:w w:val="99"/>
              </w:rPr>
              <w:t>Per Unit</w:t>
            </w:r>
          </w:p>
        </w:tc>
        <w:tc>
          <w:tcPr>
            <w:tcW w:w="20" w:type="dxa"/>
            <w:vAlign w:val="bottom"/>
          </w:tcPr>
          <w:p>
            <w:pPr>
              <w:spacing w:after="0"/>
              <w:rPr>
                <w:sz w:val="15"/>
                <w:szCs w:val="15"/>
                <w:color w:val="auto"/>
              </w:rPr>
            </w:pPr>
          </w:p>
        </w:tc>
        <w:tc>
          <w:tcPr>
            <w:tcW w:w="1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shd w:val="clear" w:color="auto" w:fill="9ADAF6"/>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line="220" w:lineRule="exact"/>
              <w:rPr>
                <w:sz w:val="20"/>
                <w:szCs w:val="20"/>
                <w:color w:val="auto"/>
              </w:rPr>
            </w:pPr>
            <w:r>
              <w:rPr>
                <w:rFonts w:ascii="Arial" w:cs="Arial" w:eastAsia="Arial" w:hAnsi="Arial"/>
                <w:sz w:val="21"/>
                <w:szCs w:val="21"/>
                <w:color w:val="auto"/>
              </w:rPr>
              <w:t>Class A</w:t>
            </w: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2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20"/>
                <w:szCs w:val="20"/>
                <w:color w:val="auto"/>
              </w:rPr>
            </w:pPr>
          </w:p>
        </w:tc>
        <w:tc>
          <w:tcPr>
            <w:tcW w:w="9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920" w:type="dxa"/>
            <w:vAlign w:val="bottom"/>
            <w:vMerge w:val="restart"/>
            <w:shd w:val="clear" w:color="auto" w:fill="E7E7E2"/>
          </w:tcPr>
          <w:p>
            <w:pPr>
              <w:jc w:val="center"/>
              <w:ind w:left="101"/>
              <w:spacing w:after="0"/>
              <w:rPr>
                <w:sz w:val="20"/>
                <w:szCs w:val="20"/>
                <w:color w:val="auto"/>
              </w:rPr>
            </w:pPr>
            <w:r>
              <w:rPr>
                <w:rFonts w:ascii="Arial" w:cs="Arial" w:eastAsia="Arial" w:hAnsi="Arial"/>
                <w:sz w:val="21"/>
                <w:szCs w:val="21"/>
                <w:color w:val="auto"/>
                <w:w w:val="98"/>
              </w:rPr>
              <w:t>Other</w:t>
            </w:r>
          </w:p>
        </w:tc>
        <w:tc>
          <w:tcPr>
            <w:tcW w:w="2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7,500,000</w:t>
            </w:r>
          </w:p>
        </w:tc>
        <w:tc>
          <w:tcPr>
            <w:tcW w:w="20" w:type="dxa"/>
            <w:vAlign w:val="bottom"/>
          </w:tcPr>
          <w:p>
            <w:pPr>
              <w:spacing w:after="0"/>
              <w:rPr>
                <w:sz w:val="20"/>
                <w:szCs w:val="20"/>
                <w:color w:val="auto"/>
              </w:rPr>
            </w:pPr>
          </w:p>
        </w:tc>
        <w:tc>
          <w:tcPr>
            <w:tcW w:w="14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$ 25.00</w:t>
            </w:r>
          </w:p>
        </w:tc>
        <w:tc>
          <w:tcPr>
            <w:tcW w:w="20" w:type="dxa"/>
            <w:vAlign w:val="bottom"/>
          </w:tcPr>
          <w:p>
            <w:pPr>
              <w:spacing w:after="0"/>
              <w:rPr>
                <w:sz w:val="20"/>
                <w:szCs w:val="20"/>
                <w:color w:val="auto"/>
              </w:rPr>
            </w:pPr>
          </w:p>
        </w:tc>
        <w:tc>
          <w:tcPr>
            <w:tcW w:w="156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$ 25,893.75</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20"/>
                <w:szCs w:val="20"/>
                <w:color w:val="auto"/>
              </w:rPr>
            </w:pPr>
          </w:p>
        </w:tc>
        <w:tc>
          <w:tcPr>
            <w:tcW w:w="920" w:type="dxa"/>
            <w:vAlign w:val="bottom"/>
            <w:vMerge w:val="continue"/>
            <w:shd w:val="clear" w:color="auto" w:fill="E7E7E2"/>
          </w:tcPr>
          <w:p>
            <w:pPr>
              <w:spacing w:after="0"/>
              <w:rPr>
                <w:sz w:val="20"/>
                <w:szCs w:val="20"/>
                <w:color w:val="auto"/>
              </w:rPr>
            </w:pPr>
          </w:p>
        </w:tc>
        <w:tc>
          <w:tcPr>
            <w:tcW w:w="2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187,500,000.00</w:t>
            </w:r>
          </w:p>
        </w:tc>
        <w:tc>
          <w:tcPr>
            <w:tcW w:w="20" w:type="dxa"/>
            <w:vAlign w:val="bottom"/>
          </w:tcPr>
          <w:p>
            <w:pPr>
              <w:spacing w:after="0"/>
              <w:rPr>
                <w:sz w:val="20"/>
                <w:szCs w:val="20"/>
                <w:color w:val="auto"/>
              </w:rPr>
            </w:pPr>
          </w:p>
        </w:tc>
        <w:tc>
          <w:tcPr>
            <w:tcW w:w="102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continue"/>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$0.0001</w:t>
            </w:r>
          </w:p>
        </w:tc>
        <w:tc>
          <w:tcPr>
            <w:tcW w:w="4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2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40" w:type="dxa"/>
            <w:vAlign w:val="bottom"/>
          </w:tcPr>
          <w:p>
            <w:pPr>
              <w:spacing w:after="0"/>
              <w:rPr>
                <w:sz w:val="23"/>
                <w:szCs w:val="23"/>
                <w:color w:val="auto"/>
              </w:rPr>
            </w:pPr>
          </w:p>
        </w:tc>
        <w:tc>
          <w:tcPr>
            <w:tcW w:w="920" w:type="dxa"/>
            <w:vAlign w:val="bottom"/>
            <w:shd w:val="clear" w:color="auto" w:fill="E7E7E2"/>
          </w:tcPr>
          <w:p>
            <w:pPr>
              <w:spacing w:after="0"/>
              <w:rPr>
                <w:sz w:val="23"/>
                <w:szCs w:val="23"/>
                <w:color w:val="auto"/>
              </w:rPr>
            </w:pPr>
          </w:p>
        </w:tc>
        <w:tc>
          <w:tcPr>
            <w:tcW w:w="22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60" w:type="dxa"/>
            <w:vAlign w:val="bottom"/>
            <w:tcBorders>
              <w:lef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80" w:type="dxa"/>
            <w:vAlign w:val="bottom"/>
            <w:gridSpan w:val="4"/>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$ 25,893.75</w:t>
            </w: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 w:type="dxa"/>
            <w:vAlign w:val="bottom"/>
            <w:tcBorders>
              <w:lef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187,500,000.00</w:t>
            </w: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80" w:type="dxa"/>
            <w:vAlign w:val="bottom"/>
            <w:gridSpan w:val="4"/>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$ 25,893.75</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00"/>
        <w:spacing w:after="0"/>
        <w:rPr>
          <w:sz w:val="20"/>
          <w:szCs w:val="20"/>
          <w:color w:val="auto"/>
        </w:rPr>
      </w:pPr>
      <w:r>
        <w:rPr>
          <w:rFonts w:ascii="Arial" w:cs="Arial" w:eastAsia="Arial" w:hAnsi="Arial"/>
          <w:sz w:val="21"/>
          <w:szCs w:val="21"/>
          <w:b w:val="1"/>
          <w:bCs w:val="1"/>
          <w:color w:val="auto"/>
        </w:rPr>
        <w:t>Offering Note</w:t>
      </w:r>
    </w:p>
    <w:p>
      <w:pPr>
        <w:spacing w:after="0" w:line="134" w:lineRule="exact"/>
        <w:rPr>
          <w:sz w:val="20"/>
          <w:szCs w:val="20"/>
          <w:color w:val="auto"/>
        </w:rPr>
      </w:pPr>
    </w:p>
    <w:p>
      <w:pPr>
        <w:ind w:left="820" w:right="740" w:hanging="214"/>
        <w:spacing w:after="0" w:line="241" w:lineRule="auto"/>
        <w:tabs>
          <w:tab w:leader="none" w:pos="820" w:val="left"/>
        </w:tabs>
        <w:numPr>
          <w:ilvl w:val="0"/>
          <w:numId w:val="34"/>
        </w:numPr>
        <w:rPr>
          <w:rFonts w:ascii="Arial" w:cs="Arial" w:eastAsia="Arial" w:hAnsi="Arial"/>
          <w:sz w:val="25"/>
          <w:szCs w:val="25"/>
          <w:color w:val="auto"/>
          <w:vertAlign w:val="superscript"/>
        </w:rPr>
      </w:pPr>
      <w:r>
        <w:rPr>
          <w:rFonts w:ascii="Arial" w:cs="Arial" w:eastAsia="Arial" w:hAnsi="Arial"/>
          <w:sz w:val="20"/>
          <w:szCs w:val="20"/>
          <w:color w:val="auto"/>
        </w:rPr>
        <w:t>Shares of Class A common stock, par value $0.0001 per share ("Class A Common Stock"), of SOLV Energy, Inc. (the "Registrant") authorized for issuance under the SOLV Energy, Inc. 2026 Equity Incentive Plan. Pursuant to Rule 416(a) of the Securities Act of 1933, as amended (the "Securities Act"), this Registration Statement on Form S-8 (this "Registration Statement") shall cover any additional shares of Class A Common Stock as may issuable under the SOLV Energy, Inc. 2026 Equity Incentive Plan by reason of any stock splits, stock dividends, recapitalizations or similar transactions. Pursuant to Rule 457(c) and 457(h) of the Securities Act, the proposed maximum offering price per share and the proposed maximum aggregate offering price are estimated solely for the purpose of calculating the amount of the registration fee and are based on a price of $25.00 per share, which is the high-point of the estimated price range per share of Class A Common Stock for the Registrant's initial public offering of Class A Common Stock pursuant to the Registrant's Registration Statement on Form S-1 (File No. 333-292778).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81280</wp:posOffset>
            </wp:positionV>
            <wp:extent cx="6398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4380" w:type="dxa"/>
            <w:vAlign w:val="bottom"/>
            <w:tcBorders>
              <w:bottom w:val="single" w:sz="8" w:color="auto"/>
            </w:tcBorders>
            <w:gridSpan w:val="12"/>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324"/>
        </w:trPr>
        <w:tc>
          <w:tcPr>
            <w:tcW w:w="40" w:type="dxa"/>
            <w:vAlign w:val="bottom"/>
            <w:tcBorders>
              <w:left w:val="single" w:sz="8" w:color="auto"/>
            </w:tcBorders>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ind w:left="20"/>
              <w:spacing w:after="0"/>
              <w:rPr>
                <w:sz w:val="20"/>
                <w:szCs w:val="20"/>
                <w:color w:val="auto"/>
              </w:rPr>
            </w:pPr>
            <w:r>
              <w:rPr>
                <w:rFonts w:ascii="Arial" w:cs="Arial" w:eastAsia="Arial" w:hAnsi="Arial"/>
                <w:sz w:val="21"/>
                <w:szCs w:val="21"/>
                <w:b w:val="1"/>
                <w:bCs w:val="1"/>
                <w:color w:val="auto"/>
                <w:w w:val="98"/>
              </w:rPr>
              <w:t>Registrant</w:t>
            </w:r>
          </w:p>
        </w:tc>
        <w:tc>
          <w:tcPr>
            <w:tcW w:w="20" w:type="dxa"/>
            <w:vAlign w:val="bottom"/>
          </w:tcPr>
          <w:p>
            <w:pPr>
              <w:spacing w:after="0"/>
              <w:rPr>
                <w:sz w:val="24"/>
                <w:szCs w:val="24"/>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jc w:val="right"/>
              <w:ind w:right="136"/>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4"/>
                <w:szCs w:val="24"/>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4"/>
                <w:szCs w:val="24"/>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or Filer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Filing</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0"/>
                <w:szCs w:val="20"/>
                <w:color w:val="auto"/>
              </w:rPr>
            </w:pPr>
          </w:p>
        </w:tc>
        <w:tc>
          <w:tcPr>
            <w:tcW w:w="840" w:type="dxa"/>
            <w:vAlign w:val="bottom"/>
            <w:shd w:val="clear" w:color="auto" w:fill="9ADAF6"/>
          </w:tcPr>
          <w:p>
            <w:pPr>
              <w:ind w:left="120"/>
              <w:spacing w:after="0" w:line="233"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w:t>
            </w:r>
          </w:p>
        </w:tc>
        <w:tc>
          <w:tcPr>
            <w:tcW w:w="80" w:type="dxa"/>
            <w:vAlign w:val="bottom"/>
            <w:tcBorders>
              <w:right w:val="single" w:sz="8" w:color="auto"/>
            </w:tcBorders>
          </w:tcPr>
          <w:p>
            <w:pPr>
              <w:spacing w:after="0"/>
              <w:rPr>
                <w:sz w:val="20"/>
                <w:szCs w:val="20"/>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Date</w:t>
            </w:r>
          </w:p>
        </w:tc>
        <w:tc>
          <w:tcPr>
            <w:tcW w:w="40" w:type="dxa"/>
            <w:vAlign w:val="bottom"/>
          </w:tcPr>
          <w:p>
            <w:pPr>
              <w:spacing w:after="0"/>
              <w:rPr>
                <w:sz w:val="20"/>
                <w:szCs w:val="20"/>
                <w:color w:val="auto"/>
              </w:rPr>
            </w:pPr>
          </w:p>
        </w:tc>
        <w:tc>
          <w:tcPr>
            <w:tcW w:w="84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2"/>
                <w:szCs w:val="12"/>
                <w:color w:val="auto"/>
              </w:rPr>
            </w:pPr>
          </w:p>
        </w:tc>
        <w:tc>
          <w:tcPr>
            <w:tcW w:w="8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80" w:type="dxa"/>
            <w:vAlign w:val="bottom"/>
            <w:tcBorders>
              <w:right w:val="single" w:sz="8" w:color="auto"/>
            </w:tcBorders>
          </w:tcPr>
          <w:p>
            <w:pPr>
              <w:spacing w:after="0"/>
              <w:rPr>
                <w:sz w:val="12"/>
                <w:szCs w:val="12"/>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303"/>
        </w:trPr>
        <w:tc>
          <w:tcPr>
            <w:tcW w:w="4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Arial" w:cs="Arial" w:eastAsia="Arial" w:hAnsi="Arial"/>
                <w:sz w:val="21"/>
                <w:szCs w:val="21"/>
                <w:b w:val="1"/>
                <w:bCs w:val="1"/>
                <w:color w:val="auto"/>
              </w:rPr>
              <w:t>Rule 457(p)</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40"/>
      </w:cols>
      <w:pgMar w:left="320" w:top="1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07"/>
    </w:lvl>
  </w:abstractNum>
  <w:abstractNum w:abstractNumId="2">
    <w:nsid w:val="3F2DBA3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7C83E458"/>
    <w:multiLevelType w:val="hybridMultilevel"/>
    <w:lvl w:ilvl="0">
      <w:lvlJc w:val="left"/>
      <w:lvlText w:val="%1"/>
      <w:numFmt w:val="lowerLetter"/>
      <w:start w:val="1"/>
    </w:lvl>
    <w:lvl w:ilvl="1">
      <w:lvlJc w:val="left"/>
      <w:lvlText w:val="(%2)"/>
      <w:numFmt w:val="decimal"/>
      <w:start w:val="2"/>
    </w:lvl>
  </w:abstractNum>
  <w:abstractNum w:abstractNumId="4">
    <w:nsid w:val="257130A3"/>
    <w:multiLevelType w:val="hybridMultilevel"/>
    <w:lvl w:ilvl="0">
      <w:lvlJc w:val="left"/>
      <w:lvlText w:val="(%1)"/>
      <w:numFmt w:val="lowerLetter"/>
      <w:start w:val="2"/>
    </w:lvl>
    <w:lvl w:ilvl="1">
      <w:lvlJc w:val="left"/>
      <w:lvlText w:val="%2"/>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3"/>
    </w:lvl>
  </w:abstractNum>
  <w:abstractNum w:abstractNumId="7">
    <w:nsid w:val="628C895D"/>
    <w:multiLevelType w:val="hybridMultilevel"/>
    <w:lvl w:ilvl="0">
      <w:lvlJc w:val="left"/>
      <w:lvlText w:val="%1."/>
      <w:numFmt w:val="decimal"/>
      <w:start w:val="4"/>
    </w:lvl>
  </w:abstractNum>
  <w:abstractNum w:abstractNumId="8">
    <w:nsid w:val="333AB105"/>
    <w:multiLevelType w:val="hybridMultilevel"/>
    <w:lvl w:ilvl="0">
      <w:lvlJc w:val="left"/>
      <w:lvlText w:val="(%1)"/>
      <w:numFmt w:val="lowerLetter"/>
      <w:start w:val="35"/>
    </w:lvl>
  </w:abstractNum>
  <w:abstractNum w:abstractNumId="9">
    <w:nsid w:val="721DA317"/>
    <w:multiLevelType w:val="hybridMultilevel"/>
    <w:lvl w:ilvl="0">
      <w:lvlJc w:val="left"/>
      <w:lvlText w:val="(%1)"/>
      <w:numFmt w:val="lowerLetter"/>
      <w:start w:val="26"/>
    </w:lvl>
  </w:abstractNum>
  <w:abstractNum w:abstractNumId="10">
    <w:nsid w:val="2443A858"/>
    <w:multiLevelType w:val="hybridMultilevel"/>
    <w:lvl w:ilvl="0">
      <w:lvlJc w:val="left"/>
      <w:lvlText w:val="%1."/>
      <w:numFmt w:val="decimal"/>
      <w:start w:val="5"/>
    </w:lvl>
  </w:abstractNum>
  <w:abstractNum w:abstractNumId="11">
    <w:nsid w:val="2D1D5AE9"/>
    <w:multiLevelType w:val="hybridMultilevel"/>
    <w:lvl w:ilvl="0">
      <w:lvlJc w:val="left"/>
      <w:lvlText w:val="%1."/>
      <w:numFmt w:val="decimal"/>
      <w:start w:val="6"/>
    </w:lvl>
  </w:abstractNum>
  <w:abstractNum w:abstractNumId="12">
    <w:nsid w:val="6763845E"/>
    <w:multiLevelType w:val="hybridMultilevel"/>
    <w:lvl w:ilvl="0">
      <w:lvlJc w:val="left"/>
      <w:lvlText w:val="(%1)"/>
      <w:numFmt w:val="upperLetter"/>
      <w:start w:val="1"/>
    </w:lvl>
  </w:abstractNum>
  <w:abstractNum w:abstractNumId="13">
    <w:nsid w:val="75A2A8D4"/>
    <w:multiLevelType w:val="hybridMultilevel"/>
    <w:lvl w:ilvl="0">
      <w:lvlJc w:val="left"/>
      <w:lvlText w:val="(%1)"/>
      <w:numFmt w:val="lowerLetter"/>
      <w:start w:val="1"/>
    </w:lvl>
  </w:abstractNum>
  <w:abstractNum w:abstractNumId="14">
    <w:nsid w:val="8EDBDAB"/>
    <w:multiLevelType w:val="hybridMultilevel"/>
    <w:lvl w:ilvl="0">
      <w:lvlJc w:val="left"/>
      <w:lvlText w:val="%1"/>
      <w:numFmt w:val="lowerLetter"/>
      <w:start w:val="1"/>
    </w:lvl>
    <w:lvl w:ilvl="1">
      <w:lvlJc w:val="left"/>
      <w:lvlText w:val="(%2)"/>
      <w:numFmt w:val="lowerLetter"/>
      <w:start w:val="4"/>
    </w:lvl>
  </w:abstractNum>
  <w:abstractNum w:abstractNumId="15">
    <w:nsid w:val="79838CB2"/>
    <w:multiLevelType w:val="hybridMultilevel"/>
    <w:lvl w:ilvl="0">
      <w:lvlJc w:val="left"/>
      <w:lvlText w:val="(%1)"/>
      <w:numFmt w:val="lowerLetter"/>
      <w:start w:val="9"/>
    </w:lvl>
    <w:lvl w:ilvl="1">
      <w:lvlJc w:val="left"/>
      <w:lvlText w:val="(%2)"/>
      <w:numFmt w:val="lowerLetter"/>
      <w:start w:val="5"/>
    </w:lvl>
  </w:abstractNum>
  <w:abstractNum w:abstractNumId="16">
    <w:nsid w:val="4353D0CD"/>
    <w:multiLevelType w:val="hybridMultilevel"/>
    <w:lvl w:ilvl="0">
      <w:lvlJc w:val="left"/>
      <w:lvlText w:val="%1."/>
      <w:numFmt w:val="decimal"/>
      <w:start w:val="7"/>
    </w:lvl>
  </w:abstractNum>
  <w:abstractNum w:abstractNumId="17">
    <w:nsid w:val="B03E0C6"/>
    <w:multiLevelType w:val="hybridMultilevel"/>
    <w:lvl w:ilvl="0">
      <w:lvlJc w:val="left"/>
      <w:lvlText w:val="%1."/>
      <w:numFmt w:val="decimal"/>
      <w:start w:val="8"/>
    </w:lvl>
  </w:abstractNum>
  <w:abstractNum w:abstractNumId="18">
    <w:nsid w:val="189A769B"/>
    <w:multiLevelType w:val="hybridMultilevel"/>
    <w:lvl w:ilvl="0">
      <w:lvlJc w:val="left"/>
      <w:lvlText w:val="%1."/>
      <w:numFmt w:val="decimal"/>
      <w:start w:val="9"/>
    </w:lvl>
  </w:abstractNum>
  <w:abstractNum w:abstractNumId="19">
    <w:nsid w:val="54E49EB4"/>
    <w:multiLevelType w:val="hybridMultilevel"/>
    <w:lvl w:ilvl="0">
      <w:lvlJc w:val="left"/>
      <w:lvlText w:val="%1."/>
      <w:numFmt w:val="decimal"/>
      <w:start w:val="10"/>
    </w:lvl>
  </w:abstractNum>
  <w:abstractNum w:abstractNumId="20">
    <w:nsid w:val="71F32454"/>
    <w:multiLevelType w:val="hybridMultilevel"/>
    <w:lvl w:ilvl="0">
      <w:lvlJc w:val="left"/>
      <w:lvlText w:val="%1."/>
      <w:numFmt w:val="decimal"/>
      <w:start w:val="11"/>
    </w:lvl>
  </w:abstractNum>
  <w:abstractNum w:abstractNumId="21">
    <w:nsid w:val="2CA88611"/>
    <w:multiLevelType w:val="hybridMultilevel"/>
    <w:lvl w:ilvl="0">
      <w:lvlJc w:val="left"/>
      <w:lvlText w:val="(%1)"/>
      <w:numFmt w:val="lowerLetter"/>
      <w:start w:val="1"/>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lowerLetter"/>
      <w:start w:val="4"/>
    </w:lvl>
  </w:abstractNum>
  <w:abstractNum w:abstractNumId="24">
    <w:nsid w:val="3A95F874"/>
    <w:multiLevelType w:val="hybridMultilevel"/>
    <w:lvl w:ilvl="0">
      <w:lvlJc w:val="left"/>
      <w:lvlText w:val="%1."/>
      <w:numFmt w:val="decimal"/>
      <w:start w:val="12"/>
    </w:lvl>
  </w:abstractNum>
  <w:abstractNum w:abstractNumId="25">
    <w:nsid w:val="8138641"/>
    <w:multiLevelType w:val="hybridMultilevel"/>
    <w:lvl w:ilvl="0">
      <w:lvlJc w:val="left"/>
      <w:lvlText w:val="%1"/>
      <w:numFmt w:val="lowerLetter"/>
      <w:start w:val="1"/>
    </w:lvl>
    <w:lvl w:ilvl="1">
      <w:lvlJc w:val="left"/>
      <w:lvlText w:val="(%2)"/>
      <w:numFmt w:val="lowerLetter"/>
      <w:start w:val="1"/>
    </w:lvl>
  </w:abstractNum>
  <w:abstractNum w:abstractNumId="26">
    <w:nsid w:val="1E7FF521"/>
    <w:multiLevelType w:val="hybridMultilevel"/>
    <w:lvl w:ilvl="0">
      <w:lvlJc w:val="left"/>
      <w:lvlText w:val="(%1)"/>
      <w:numFmt w:val="lowerLetter"/>
      <w:start w:val="9"/>
    </w:lvl>
    <w:lvl w:ilvl="1">
      <w:lvlJc w:val="left"/>
      <w:lvlText w:val="%2"/>
      <w:numFmt w:val="lowerLetter"/>
      <w:start w:val="1"/>
    </w:lvl>
  </w:abstractNum>
  <w:abstractNum w:abstractNumId="27">
    <w:nsid w:val="7C3DBD3D"/>
    <w:multiLevelType w:val="hybridMultilevel"/>
    <w:lvl w:ilvl="0">
      <w:lvlJc w:val="left"/>
      <w:lvlText w:val="(%1)"/>
      <w:numFmt w:val="lowerLetter"/>
      <w:start w:val="2"/>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decimal"/>
      <w:start w:val="1"/>
    </w:lvl>
    <w:lvl w:ilvl="1">
      <w:lvlJc w:val="left"/>
      <w:lvlText w:val="(%2)"/>
      <w:numFmt w:val="lowerLetter"/>
      <w:start w:val="2"/>
    </w:lvl>
  </w:abstractNum>
  <w:abstractNum w:abstractNumId="30">
    <w:nsid w:val="22221A70"/>
    <w:multiLevelType w:val="hybridMultilevel"/>
    <w:lvl w:ilvl="0">
      <w:lvlJc w:val="left"/>
      <w:lvlText w:val="%1."/>
      <w:numFmt w:val="decimal"/>
      <w:start w:val="13"/>
    </w:lvl>
    <w:lvl w:ilvl="1">
      <w:lvlJc w:val="left"/>
      <w:lvlText w:val="%2"/>
      <w:numFmt w:val="lowerLetter"/>
      <w:start w:val="1"/>
    </w:lvl>
  </w:abstractNum>
  <w:abstractNum w:abstractNumId="31">
    <w:nsid w:val="4516DDE9"/>
    <w:multiLevelType w:val="hybridMultilevel"/>
    <w:lvl w:ilvl="0">
      <w:lvlJc w:val="left"/>
      <w:lvlText w:val="%1."/>
      <w:numFmt w:val="decimal"/>
      <w:start w:val="15"/>
    </w:lvl>
  </w:abstractNum>
  <w:abstractNum w:abstractNumId="32">
    <w:nsid w:val="3006C83E"/>
    <w:multiLevelType w:val="hybridMultilevel"/>
    <w:lvl w:ilvl="0">
      <w:lvlJc w:val="left"/>
      <w:lvlText w:val="%1."/>
      <w:numFmt w:val="decimal"/>
      <w:start w:val="16"/>
    </w:lvl>
  </w:abstractNum>
  <w:abstractNum w:abstractNumId="33">
    <w:nsid w:val="614FD4A1"/>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jpeg"/><Relationship Id="rId28" Type="http://schemas.openxmlformats.org/officeDocument/2006/relationships/image" Target="media/image17.png"/><Relationship Id="rId29" Type="http://schemas.openxmlformats.org/officeDocument/2006/relationships/image" Target="media/image18.jpe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17" Type="http://schemas.openxmlformats.org/officeDocument/2006/relationships/hyperlink" Target="http://www.sec.gov/Archives/edgar/data/2065636/000119312526031520/d12408ds1a.htm" TargetMode="External"/><Relationship Id="rId18" Type="http://schemas.openxmlformats.org/officeDocument/2006/relationships/hyperlink" Target="http://www.sec.gov/Archives/edgar/data/2065636/000119312526015169/d12408ds1.htm" TargetMode="External"/><Relationship Id="rId21" Type="http://schemas.openxmlformats.org/officeDocument/2006/relationships/hyperlink" Target="http://www.sec.gov/Archives/edgar/data/2065636/000119312526015169/d12408dex32.htm" TargetMode="External"/><Relationship Id="rId22" Type="http://schemas.openxmlformats.org/officeDocument/2006/relationships/hyperlink" Target="http://www.sec.gov/Archives/edgar/data/2065636/000119312526015169/d12408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2026-02-11T06:08:18Z</dcterms:created>
  <dcterms:modified xsi:type="dcterms:W3CDTF">2026-02-11T06:08:18Z</dcterms:modified>
</cp:coreProperties>
</file>