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9834d8k.htm"/>
      <w:bookmarkStart w:id="1" w:name="ksd189834d8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February 12, 2026 (February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001-43117</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33-4537250</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16680 West Bernardo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(858) 251-4888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b/>
              </w:rPr>
            </w:pPr>
            <w:r>
              <w:rPr>
                <w:b/>
              </w:rPr>
              <w:t>Class A common stock, par value $0.0001 per share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MWH</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Initial Public Offering </w:t>
      </w:r>
    </w:p>
    <w:p>
      <w:pPr>
        <w:pStyle w:val="TextBody"/>
        <w:bidi w:val="0"/>
        <w:spacing w:before="120" w:after="0"/>
        <w:jc w:val="left"/>
        <w:rPr>
          <w:rFonts w:ascii="Times New Roman" w:hAnsi="Times New Roman"/>
          <w:sz w:val="20"/>
        </w:rPr>
      </w:pPr>
      <w:r>
        <w:rPr>
          <w:rFonts w:ascii="Times New Roman" w:hAnsi="Times New Roman"/>
          <w:sz w:val="20"/>
        </w:rPr>
        <w:t>In connection with the initial public offering (the “</w:t>
      </w:r>
      <w:r>
        <w:rPr>
          <w:rFonts w:ascii="Times New Roman" w:hAnsi="Times New Roman"/>
          <w:sz w:val="20"/>
          <w:u w:val="single"/>
        </w:rPr>
        <w:t>Offering</w:t>
      </w:r>
      <w:r>
        <w:rPr>
          <w:rFonts w:ascii="Times New Roman" w:hAnsi="Times New Roman"/>
          <w:sz w:val="20"/>
        </w:rPr>
        <w:t>”) by SOLV Energy, Inc. (the “</w:t>
      </w:r>
      <w:r>
        <w:rPr>
          <w:rFonts w:ascii="Times New Roman" w:hAnsi="Times New Roman"/>
          <w:sz w:val="20"/>
          <w:u w:val="single"/>
        </w:rPr>
        <w:t>Company</w:t>
      </w:r>
      <w:r>
        <w:rPr>
          <w:rFonts w:ascii="Times New Roman" w:hAnsi="Times New Roman"/>
          <w:sz w:val="20"/>
        </w:rPr>
        <w:t>”) of its Class A common stock, par value $0.0001 per share (the “</w:t>
      </w:r>
      <w:r>
        <w:rPr>
          <w:rFonts w:ascii="Times New Roman" w:hAnsi="Times New Roman"/>
          <w:sz w:val="20"/>
          <w:u w:val="single"/>
        </w:rPr>
        <w:t>Class A Common Stock</w:t>
      </w:r>
      <w:r>
        <w:rPr>
          <w:rFonts w:ascii="Times New Roman" w:hAnsi="Times New Roman"/>
          <w:sz w:val="20"/>
        </w:rPr>
        <w:t>”), described in the prospectus (the “</w:t>
      </w:r>
      <w:r>
        <w:rPr>
          <w:rFonts w:ascii="Times New Roman" w:hAnsi="Times New Roman"/>
          <w:sz w:val="20"/>
          <w:u w:val="single"/>
        </w:rPr>
        <w:t>Prospectus</w:t>
      </w:r>
      <w:r>
        <w:rPr>
          <w:rFonts w:ascii="Times New Roman" w:hAnsi="Times New Roman"/>
          <w:sz w:val="20"/>
        </w:rPr>
        <w:t>”), dated February 10, 2026, filed with the Securities and Exchange Commission on February 11, 2026, pursuant to Rule 424(b) of the Securities Act of 1933, as amended (the “</w:t>
      </w:r>
      <w:r>
        <w:rPr>
          <w:rFonts w:ascii="Times New Roman" w:hAnsi="Times New Roman"/>
          <w:sz w:val="20"/>
          <w:u w:val="single"/>
        </w:rPr>
        <w:t>Securities Act</w:t>
      </w:r>
      <w:r>
        <w:rPr>
          <w:rFonts w:ascii="Times New Roman" w:hAnsi="Times New Roman"/>
          <w:sz w:val="20"/>
        </w:rPr>
        <w:t>”), which is deemed to be part of the Registration Statement on Form S-1 (File No. 333-292778) (as amended, the “</w:t>
      </w:r>
      <w:r>
        <w:rPr>
          <w:rFonts w:ascii="Times New Roman" w:hAnsi="Times New Roman"/>
          <w:sz w:val="20"/>
          <w:u w:val="single"/>
        </w:rPr>
        <w:t>Registration Statement</w:t>
      </w:r>
      <w:r>
        <w:rPr>
          <w:rFonts w:ascii="Times New Roman" w:hAnsi="Times New Roman"/>
          <w:sz w:val="20"/>
        </w:rPr>
        <w:t xml:space="preserve">”), the Company entered into the following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Underwriting Agreement, dated February 10, 2026, by and among the Company and the other parties thereto (the “</w:t>
            </w:r>
            <w:r>
              <w:rPr>
                <w:rFonts w:ascii="Times New Roman" w:hAnsi="Times New Roman"/>
                <w:sz w:val="20"/>
                <w:u w:val="single"/>
              </w:rPr>
              <w:t>Underwriting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Tax Receivable Agreement, dated February 10, 2026, by and among the Company and each of the other parties from time to time thereto (the “</w:t>
            </w:r>
            <w:r>
              <w:rPr>
                <w:rFonts w:ascii="Times New Roman" w:hAnsi="Times New Roman"/>
                <w:sz w:val="20"/>
                <w:u w:val="single"/>
              </w:rPr>
              <w:t>Tax Receivable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Rights Agreement, dated February 10, 2026, by and among the Company and each of the other parties from time to time thereto (the “</w:t>
            </w:r>
            <w:r>
              <w:rPr>
                <w:rFonts w:ascii="Times New Roman" w:hAnsi="Times New Roman"/>
                <w:sz w:val="20"/>
                <w:u w:val="single"/>
              </w:rPr>
              <w:t>Registration Rights Agreement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SOLV Energy Holdings LLC (“</w:t>
            </w:r>
            <w:r>
              <w:rPr>
                <w:rFonts w:ascii="Times New Roman" w:hAnsi="Times New Roman"/>
                <w:sz w:val="20"/>
                <w:u w:val="single"/>
              </w:rPr>
              <w:t>Opco</w:t>
            </w:r>
            <w:r>
              <w:rPr>
                <w:rFonts w:ascii="Times New Roman" w:hAnsi="Times New Roman"/>
                <w:sz w:val="20"/>
              </w:rPr>
              <w:t>”) Agreement, dated February 10, 2026, by and among the Company and the other parties thereto (the “</w:t>
            </w:r>
            <w:r>
              <w:rPr>
                <w:rFonts w:ascii="Times New Roman" w:hAnsi="Times New Roman"/>
                <w:sz w:val="20"/>
                <w:u w:val="single"/>
              </w:rPr>
              <w:t>A&amp;R Opco LLC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Copies of the Underwriting Agreement, the Tax Receivable Agreement, the Registration Rights Agreement and the A&amp;R Opco LLC Agreement are filed herewith as Exhibits 10.1, 10.2, 10.3 and 10.4, respectively, and are incorporated herein by reference. The terms of these agreements are substantially the same as those described in, and previously filed as exhibits to, the Registration Statement. Certain parties to certain of these agreements have various relationships with the Company. For further information, see “Certain Relationships and Related Persons Transactions” in the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On February 12, 2026 (the “</w:t>
      </w:r>
      <w:r>
        <w:rPr>
          <w:rFonts w:ascii="Times New Roman" w:hAnsi="Times New Roman"/>
          <w:sz w:val="20"/>
          <w:u w:val="single"/>
        </w:rPr>
        <w:t>Closing Date</w:t>
      </w:r>
      <w:r>
        <w:rPr>
          <w:rFonts w:ascii="Times New Roman" w:hAnsi="Times New Roman"/>
          <w:sz w:val="20"/>
        </w:rPr>
        <w:t>”), SOLV Energy Acquisition LLC, a Delaware limited liability company (the “</w:t>
      </w:r>
      <w:r>
        <w:rPr>
          <w:rFonts w:ascii="Times New Roman" w:hAnsi="Times New Roman"/>
          <w:sz w:val="20"/>
          <w:u w:val="single"/>
        </w:rPr>
        <w:t>Borrower</w:t>
      </w:r>
      <w:r>
        <w:rPr>
          <w:rFonts w:ascii="Times New Roman" w:hAnsi="Times New Roman"/>
          <w:sz w:val="20"/>
        </w:rPr>
        <w:t>”), SOLV Energy Intermediate Holdings LLC (“</w:t>
      </w:r>
      <w:r>
        <w:rPr>
          <w:rFonts w:ascii="Times New Roman" w:hAnsi="Times New Roman"/>
          <w:sz w:val="20"/>
          <w:u w:val="single"/>
        </w:rPr>
        <w:t>Holdings</w:t>
      </w:r>
      <w:r>
        <w:rPr>
          <w:rFonts w:ascii="Times New Roman" w:hAnsi="Times New Roman"/>
          <w:sz w:val="20"/>
        </w:rPr>
        <w:t>”), a Delaware limited liability company, each an indirect subsidiary of the Company, entered into a credit agreement (the “</w:t>
      </w:r>
      <w:r>
        <w:rPr>
          <w:rFonts w:ascii="Times New Roman" w:hAnsi="Times New Roman"/>
          <w:sz w:val="20"/>
          <w:u w:val="single"/>
        </w:rPr>
        <w:t>Credit Agreement</w:t>
      </w:r>
      <w:r>
        <w:rPr>
          <w:rFonts w:ascii="Times New Roman" w:hAnsi="Times New Roman"/>
          <w:sz w:val="20"/>
        </w:rPr>
        <w:t xml:space="preserve">”), dated as of February 12, 2026, with KeyBank National Association, as administrative agent, the lenders party thereto and the other parties specified therein. </w:t>
      </w:r>
    </w:p>
    <w:p>
      <w:pPr>
        <w:pStyle w:val="TextBody"/>
        <w:bidi w:val="0"/>
        <w:spacing w:before="240" w:after="0"/>
        <w:jc w:val="left"/>
        <w:rPr>
          <w:rFonts w:ascii="Times New Roman" w:hAnsi="Times New Roman"/>
          <w:sz w:val="20"/>
        </w:rPr>
      </w:pPr>
      <w:r>
        <w:rPr>
          <w:rFonts w:ascii="Times New Roman" w:hAnsi="Times New Roman"/>
          <w:sz w:val="20"/>
        </w:rPr>
        <w:t>The Credit Agreement provides for a $200 million revolving credit facility (the “</w:t>
      </w:r>
      <w:r>
        <w:rPr>
          <w:rFonts w:ascii="Times New Roman" w:hAnsi="Times New Roman"/>
          <w:sz w:val="20"/>
          <w:u w:val="single"/>
        </w:rPr>
        <w:t>Revolving Credit Facility</w:t>
      </w:r>
      <w:r>
        <w:rPr>
          <w:rFonts w:ascii="Times New Roman" w:hAnsi="Times New Roman"/>
          <w:sz w:val="20"/>
        </w:rPr>
        <w:t xml:space="preserve">”). The loans under the Revolving Credit Facility mature on February 12, 2031. The Revolving Credit Facility is guaranteed, subject to customary exceptions, by all of the Borrower’s wholly-owned domestic restricted subsidiaries and Holdings, and is secured by associated collateral agreements that pledge a lien on substantially all of the Borrower’s and the guarantors assets, including fixed assets and intangibles, and the assets of the guarantors, in each case,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The Revolving Credit Facility bears interest at rates based upon, at the option of the Borrower, either (i) the base rate plus a margin of between 50 and 125 basis points depending on the total net leverage ratio of the Borrower and its restricted subsidiaries on a consolidated basis (the “</w:t>
      </w:r>
      <w:r>
        <w:rPr>
          <w:rFonts w:ascii="Times New Roman" w:hAnsi="Times New Roman"/>
          <w:sz w:val="20"/>
          <w:u w:val="single"/>
        </w:rPr>
        <w:t>Total Net Leverage Ratio</w:t>
      </w:r>
      <w:r>
        <w:rPr>
          <w:rFonts w:ascii="Times New Roman" w:hAnsi="Times New Roman"/>
          <w:sz w:val="20"/>
        </w:rPr>
        <w:t>”) and (ii) a benchmark reference initially based on a forward-looking term SOFR-based rate (“</w:t>
      </w:r>
      <w:r>
        <w:rPr>
          <w:rFonts w:ascii="Times New Roman" w:hAnsi="Times New Roman"/>
          <w:sz w:val="20"/>
          <w:u w:val="single"/>
        </w:rPr>
        <w:t>Term SOFR</w:t>
      </w:r>
      <w:r>
        <w:rPr>
          <w:rFonts w:ascii="Times New Roman" w:hAnsi="Times New Roman"/>
          <w:sz w:val="20"/>
        </w:rPr>
        <w:t xml:space="preserve">”) plus a margin of between 150 and 225 basis points depending on the Total Net Leverage Ratio. Until the delivery under the Credit Agreement of the financial statements for the first full fiscal quarter ending after the Closing Date, the Revolving Credit Facility will bear interest, at the option of the Borrower, at either (i) the base rate plus a margin of 50 basis points or (ii) Term SOFR plus a margin of 150 basis points. In addition, the Borrower will pay an unused commitment fee of between 20 and 30 basis points on the undrawn commitments under the Revolving Credit Facility, also depending on the Total Net Leverage Ratio.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Credit Agreement, the Borrower (and in certain circumstances, Holdings) and its restricted subsidiaries are subject to customary affirmative, negative and financial covenants, and events of default for facilities of this type (with customary grace periods, as applicable, and lender remedies).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Credit Agreement does not purport to be complete and is subject to, and qualified in its entirety by, the full text of the Credit Agreement, which is filed as Exhibit 10.6 hereto and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3.02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Shares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In connection with the consummation of the Offering and the reorganizational transactions described in the Prospectus, including the recapitalization of the Company, (i) the Company issued 91,773, 571 shares of Class A Common Stock to its existing stockholders and (ii) the Company issued 87,141,865 shares of Class B common stock, par value $0.0001 per share (the “</w:t>
      </w:r>
      <w:r>
        <w:rPr>
          <w:rFonts w:ascii="Times New Roman" w:hAnsi="Times New Roman"/>
          <w:sz w:val="20"/>
          <w:u w:val="single"/>
        </w:rPr>
        <w:t>Class B Common Stock</w:t>
      </w:r>
      <w:r>
        <w:rPr>
          <w:rFonts w:ascii="Times New Roman" w:hAnsi="Times New Roman"/>
          <w:sz w:val="20"/>
        </w:rPr>
        <w:t>”), to the existing holders of Opco’s limited liability company interests (the “</w:t>
      </w:r>
      <w:r>
        <w:rPr>
          <w:rFonts w:ascii="Times New Roman" w:hAnsi="Times New Roman"/>
          <w:sz w:val="20"/>
          <w:u w:val="single"/>
        </w:rPr>
        <w:t>LLC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A&amp;R Opco LLC Agreement, Continuing Equity Owners (other than Management Holders) (each as defined in the Prospectus) may, subject to certain exceptions, at each of their options require Opco to redeem all or a portion of their vested LLC Interests on a quarterly basis (subject to certain limitations) and at other times under certain permitted circumstances, in each case, in exchange for, at the Company’s election, newly issued shares of Class A Common Stock on a one-for-one basis or a cash payment using proceeds from a substantially contemporaneous follow-on offering or secondary offering equal to the price per share of the Class A Common Stock, net of underwriting discounts and/or commissions, sold in such offering for each vested LLC Interest so redeemed, in each case, in accordance with the terms of the A&amp;R Opco LLC Agreement; </w:t>
      </w:r>
      <w:r>
        <w:rPr>
          <w:rFonts w:ascii="Times New Roman" w:hAnsi="Times New Roman"/>
          <w:i/>
          <w:sz w:val="20"/>
        </w:rPr>
        <w:t>provided</w:t>
      </w:r>
      <w:r>
        <w:rPr>
          <w:rFonts w:ascii="Times New Roman" w:hAnsi="Times New Roman"/>
          <w:sz w:val="20"/>
        </w:rPr>
        <w:t xml:space="preserve"> that, at our election, we may effect a direct exchange by the Company for shares of Class A Common Stock or for cash, as applicable, for those vested LLC Interests. The maximum number of shares of Class A Common Stock that will be issued in accordance with the redemptions provided for by the A&amp;R Opco LLC Agreement is 87,141,865.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under Item 5.03 below is incorporated herein by reference to this Item 3.02. The issuances in this paragraph were made in reliance on Section 4(a)(2) of the Securities Act of 1933,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3.03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5.03 below is incorporated by reference in this Item 3.03.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5.02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Directors; Committee Composition </w:t>
      </w:r>
    </w:p>
    <w:p>
      <w:pPr>
        <w:pStyle w:val="TextBody"/>
        <w:bidi w:val="0"/>
        <w:spacing w:before="120" w:after="0"/>
        <w:jc w:val="left"/>
        <w:rPr>
          <w:rFonts w:ascii="Times New Roman" w:hAnsi="Times New Roman"/>
          <w:sz w:val="20"/>
        </w:rPr>
      </w:pPr>
      <w:r>
        <w:rPr>
          <w:rFonts w:ascii="Times New Roman" w:hAnsi="Times New Roman"/>
          <w:sz w:val="20"/>
        </w:rPr>
        <w:t>Effective February 10, 2026, immediately following the effective time of the Company’s Amended and Restated Certificate of Incorporation (the “</w:t>
      </w:r>
      <w:r>
        <w:rPr>
          <w:rFonts w:ascii="Times New Roman" w:hAnsi="Times New Roman"/>
          <w:sz w:val="20"/>
          <w:u w:val="single"/>
        </w:rPr>
        <w:t>Charter</w:t>
      </w:r>
      <w:r>
        <w:rPr>
          <w:rFonts w:ascii="Times New Roman" w:hAnsi="Times New Roman"/>
          <w:sz w:val="20"/>
        </w:rPr>
        <w:t xml:space="preserve">”), J. Adam Abram, William Jackson, Steven Lerner, Daniel McQuade, David Portnoy, Nancy Stefanowicz and Laura Stern were appointed to the Company’s board of directors (the “Board”). The Board’s committees were also constituted as follows: Messrs. Jackson and McQuade and Ms. Stern will serve on the Audit Committee; Messrs. Sand, Lerner and Jackson and Ms. Stefanowicz will serve on the Compensation Committee; and Messrs. Abram, Portnoy, Lerner and Penn will serve on the Nominating and Corporate Governance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Effective February 10, 2026, the Board and its then sole stockholder adopted and approved the Company’s 2026 Equity Incentive Plan (the “</w:t>
      </w:r>
      <w:r>
        <w:rPr>
          <w:rFonts w:ascii="Times New Roman" w:hAnsi="Times New Roman"/>
          <w:sz w:val="20"/>
          <w:u w:val="single"/>
        </w:rPr>
        <w:t>2026 Equity Incentive Plan</w:t>
      </w:r>
      <w:r>
        <w:rPr>
          <w:rFonts w:ascii="Times New Roman" w:hAnsi="Times New Roman"/>
          <w:sz w:val="20"/>
        </w:rPr>
        <w:t>”) in the form previously filed as Exhibit 99.1 to the Company’s Registration Statement on Form S-8 filed with the Securities and Exchange Commission on February 11, 2026 (the “</w:t>
      </w:r>
      <w:r>
        <w:rPr>
          <w:rFonts w:ascii="Times New Roman" w:hAnsi="Times New Roman"/>
          <w:sz w:val="20"/>
          <w:u w:val="single"/>
        </w:rPr>
        <w:t>Form S-8</w:t>
      </w:r>
      <w:r>
        <w:rPr>
          <w:rFonts w:ascii="Times New Roman" w:hAnsi="Times New Roman"/>
          <w:sz w:val="20"/>
        </w:rPr>
        <w:t xml:space="preserve">”), which is attached hereto as Exhibit 10.5 and incorporated by reference herein. For further information regarding the 2026 Equity Incentive Plan, see “Executive and Director Compensation—2026 Equity Incentive Plan” in the Prospectus.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5.03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On February 10, 2026, the Charter, substantially in the form previously filed as Exhibit 3.2 to the Registration Statement, and the Company’s Amended and Restated Bylaws (the “</w:t>
      </w:r>
      <w:r>
        <w:rPr>
          <w:rFonts w:ascii="Times New Roman" w:hAnsi="Times New Roman"/>
          <w:sz w:val="20"/>
          <w:u w:val="single"/>
        </w:rPr>
        <w:t>Bylaws</w:t>
      </w:r>
      <w:r>
        <w:rPr>
          <w:rFonts w:ascii="Times New Roman" w:hAnsi="Times New Roman"/>
          <w:sz w:val="20"/>
        </w:rPr>
        <w:t xml:space="preserve">”), substantially in the form previously filed as Exhibit 3.4 to the Registration Statement, became effective. The Charter, among other things, provides that the Company’s authorized capital stock consists of 1,250,000,000 shares of Class A Common Stock, 100,000,000 shares of Class B Common Stock and 20,000,000 shares of preferred stock. A description of the material terms of the Company’s capital stock, after giving effect to the adoption of the Charter and Bylaws, has previously been reported by the Company in the Registration Statement. The Charter and Bylaws are filed herewith as Exhibit 3.1 and Exhibit 3.2, respectively, and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10, 2026, the Company announced the pricing of its initial public offering of 20,500,000 shares of its Class A Common Stock at a price to the public of $25.00 per share. </w:t>
      </w:r>
    </w:p>
    <w:p>
      <w:pPr>
        <w:pStyle w:val="TextBody"/>
        <w:bidi w:val="0"/>
        <w:spacing w:before="240" w:after="0"/>
        <w:jc w:val="left"/>
        <w:rPr>
          <w:rFonts w:ascii="Times New Roman" w:hAnsi="Times New Roman"/>
          <w:sz w:val="20"/>
        </w:rPr>
      </w:pPr>
      <w:r>
        <w:rPr>
          <w:rFonts w:ascii="Times New Roman" w:hAnsi="Times New Roman"/>
          <w:sz w:val="20"/>
        </w:rPr>
        <w:t xml:space="preserve">On February 12, 2026, the Company completed the Offering. The Company sold 23,575,000 shares of Class A Common Stock, including 3,075,000 shares of Class A Common Stock after the underwriters exercised in full their option to purchase additional Class A Common Stock from the Company. The Company will use the net proceeds from the offering as set forth in the prospectus. A copy of the Company’s closing press release is filed herewith as Exhibit 99.1 and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4"/>
        <w:gridCol w:w="427"/>
        <w:gridCol w:w="9234"/>
      </w:tblGrid>
      <w:tr>
        <w:trPr/>
        <w:tc>
          <w:tcPr>
            <w:tcW w:w="544"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9234" w:type="dxa"/>
            <w:tcBorders/>
            <w:vAlign w:val="center"/>
          </w:tcPr>
          <w:p>
            <w:pPr>
              <w:pStyle w:val="TableContents"/>
              <w:bidi w:val="0"/>
              <w:spacing w:before="0" w:after="283"/>
              <w:jc w:val="left"/>
              <w:rPr>
                <w:sz w:val="4"/>
                <w:szCs w:val="4"/>
              </w:rPr>
            </w:pPr>
            <w:r>
              <w:rPr>
                <w:sz w:val="4"/>
                <w:szCs w:val="4"/>
              </w:rPr>
            </w:r>
          </w:p>
        </w:tc>
      </w:tr>
      <w:tr>
        <w:trPr/>
        <w:tc>
          <w:tcPr>
            <w:tcW w:w="54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427" w:type="dxa"/>
            <w:tcBorders/>
            <w:vAlign w:val="bottom"/>
          </w:tcPr>
          <w:p>
            <w:pPr>
              <w:pStyle w:val="TableContents"/>
              <w:bidi w:val="0"/>
              <w:spacing w:before="0" w:after="283"/>
              <w:jc w:val="left"/>
              <w:rPr/>
            </w:pPr>
            <w:r>
              <w:rPr/>
              <w:t>  </w:t>
            </w:r>
          </w:p>
        </w:tc>
        <w:tc>
          <w:tcPr>
            <w:tcW w:w="9234" w:type="dxa"/>
            <w:tcBorders/>
            <w:vAlign w:val="bottom"/>
          </w:tcPr>
          <w:p>
            <w:pPr>
              <w:pStyle w:val="TableContents"/>
              <w:bidi w:val="0"/>
              <w:spacing w:before="0" w:after="283"/>
              <w:jc w:val="center"/>
              <w:rPr>
                <w:b/>
              </w:rPr>
            </w:pPr>
            <w:r>
              <w:rPr>
                <w:b/>
              </w:rPr>
              <w:t>Description</w:t>
            </w:r>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3.1</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r:id="rId2">
              <w:r>
                <w:rPr>
                  <w:rStyle w:val="InternetLink"/>
                </w:rPr>
                <w:t xml:space="preserve">Amended and Restated Certificate of Incorporation of SOLV Energy, Inc. (incorporated by reference to Exhibit 3.2 to the Company’s Registration Statement on Form S-1 filed on January 16, 2026).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3.2</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r:id="rId3">
              <w:r>
                <w:rPr>
                  <w:rStyle w:val="InternetLink"/>
                </w:rPr>
                <w:t xml:space="preserve">Amended and Restated Bylaws of SOLV Energy, Inc. (incorporated by reference to Exhibit 3.4 to the Company’s Registration Statement on Form S-1 filed on January 16, 2026).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10.1</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189834dex101.htm">
              <w:r>
                <w:rPr>
                  <w:rStyle w:val="InternetLink"/>
                </w:rPr>
                <w:t xml:space="preserve">Underwriting Agreement, dated February 10, 2026, by and among the Company and the other parties thereto.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10.2</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189834dex102.htm">
              <w:r>
                <w:rPr>
                  <w:rStyle w:val="InternetLink"/>
                </w:rPr>
                <w:t xml:space="preserve">Tax Receivable Agreement, dated as of February 10, 2026, by and among the Company and the other parties thereto.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10.3</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189834dex103.htm">
              <w:r>
                <w:rPr>
                  <w:rStyle w:val="InternetLink"/>
                </w:rPr>
                <w:t xml:space="preserve">Registration Rights Agreement, dated as of February 10, 2026, by and among the Company and the other parties thereto.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10.4</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189834dex104.htm">
              <w:r>
                <w:rPr>
                  <w:rStyle w:val="InternetLink"/>
                </w:rPr>
                <w:t xml:space="preserve">Amended and Restated SOLV Energy Holdings LLC Agreement, dated February 10, 2026, by and among the Company and the other parties thereto.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10.5</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r:id="rId4">
              <w:r>
                <w:rPr>
                  <w:rStyle w:val="InternetLink"/>
                </w:rPr>
                <w:t xml:space="preserve">SOLV Energy, Inc. 2026 Equity Incentive Plan (incorporated by reference to Exhibit 99.1 to the Company’s Registration Statement on Form S-8 filed on February 11, 2026).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10.6</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189834dex106.htm">
              <w:r>
                <w:rPr>
                  <w:rStyle w:val="InternetLink"/>
                </w:rPr>
                <w:t xml:space="preserve">Credit Agreement, dated as of February  12, 2026, by and among SOLV Energy Intermediate Holdings LLC, SOLV Energy Acquisition LLC, the lenders party thereto and the other parties specified therein and KeyBank National Association, as administrative agent. </w:t>
              </w:r>
            </w:hyperlink>
          </w:p>
        </w:tc>
      </w:tr>
      <w:tr>
        <w:trPr>
          <w:trHeight w:val="120" w:hRule="atLeast"/>
        </w:trPr>
        <w:tc>
          <w:tcPr>
            <w:tcW w:w="544" w:type="dxa"/>
            <w:tcBorders/>
            <w:vAlign w:val="center"/>
          </w:tcPr>
          <w:p>
            <w:pPr>
              <w:pStyle w:val="TableContents"/>
              <w:bidi w:val="0"/>
              <w:spacing w:before="0" w:after="283"/>
              <w:jc w:val="left"/>
              <w:rPr>
                <w:sz w:val="4"/>
                <w:szCs w:val="4"/>
              </w:rPr>
            </w:pPr>
            <w:r>
              <w:rPr>
                <w:sz w:val="4"/>
                <w:szCs w:val="4"/>
              </w:rPr>
            </w:r>
          </w:p>
        </w:tc>
        <w:tc>
          <w:tcPr>
            <w:tcW w:w="9661" w:type="dxa"/>
            <w:gridSpan w:val="2"/>
            <w:tcBorders/>
            <w:vAlign w:val="center"/>
          </w:tcPr>
          <w:p>
            <w:pPr>
              <w:pStyle w:val="TableContents"/>
              <w:bidi w:val="0"/>
              <w:spacing w:before="0" w:after="283"/>
              <w:jc w:val="left"/>
              <w:rPr>
                <w:sz w:val="4"/>
                <w:szCs w:val="4"/>
              </w:rPr>
            </w:pPr>
            <w:r>
              <w:rPr>
                <w:sz w:val="4"/>
                <w:szCs w:val="4"/>
              </w:rPr>
            </w:r>
          </w:p>
        </w:tc>
      </w:tr>
      <w:tr>
        <w:trPr/>
        <w:tc>
          <w:tcPr>
            <w:tcW w:w="544" w:type="dxa"/>
            <w:tcBorders/>
          </w:tcPr>
          <w:p>
            <w:pPr>
              <w:pStyle w:val="TableContents"/>
              <w:bidi w:val="0"/>
              <w:spacing w:before="0" w:after="283"/>
              <w:jc w:val="center"/>
              <w:rPr/>
            </w:pPr>
            <w:r>
              <w:rPr/>
              <w:t>99.1</w:t>
            </w:r>
          </w:p>
        </w:tc>
        <w:tc>
          <w:tcPr>
            <w:tcW w:w="427" w:type="dxa"/>
            <w:tcBorders/>
            <w:vAlign w:val="bottom"/>
          </w:tcPr>
          <w:p>
            <w:pPr>
              <w:pStyle w:val="TableContents"/>
              <w:bidi w:val="0"/>
              <w:spacing w:before="0" w:after="283"/>
              <w:jc w:val="left"/>
              <w:rPr/>
            </w:pPr>
            <w:r>
              <w:rPr/>
              <w:t>  </w:t>
            </w:r>
          </w:p>
        </w:tc>
        <w:tc>
          <w:tcPr>
            <w:tcW w:w="9234" w:type="dxa"/>
            <w:tcBorders/>
          </w:tcPr>
          <w:p>
            <w:pPr>
              <w:pStyle w:val="TableContents"/>
              <w:bidi w:val="0"/>
              <w:spacing w:before="0" w:after="283"/>
              <w:jc w:val="left"/>
              <w:rPr/>
            </w:pPr>
            <w:hyperlink w:anchor="d189834dex991.htm">
              <w:r>
                <w:rPr>
                  <w:rStyle w:val="InternetLink"/>
                </w:rPr>
                <w:t xml:space="preserve">Press Release, dated February 12,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3"/>
        <w:gridCol w:w="109"/>
        <w:gridCol w:w="395"/>
        <w:gridCol w:w="109"/>
        <w:gridCol w:w="606"/>
        <w:gridCol w:w="109"/>
        <w:gridCol w:w="4464"/>
      </w:tblGrid>
      <w:tr>
        <w:trPr/>
        <w:tc>
          <w:tcPr>
            <w:tcW w:w="441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64" w:type="dxa"/>
            <w:tcBorders/>
            <w:vAlign w:val="center"/>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79" w:type="dxa"/>
            <w:gridSpan w:val="3"/>
            <w:tcBorders/>
            <w:vAlign w:val="bottom"/>
          </w:tcPr>
          <w:p>
            <w:pPr>
              <w:pStyle w:val="TableContents"/>
              <w:bidi w:val="0"/>
              <w:spacing w:before="0" w:after="283"/>
              <w:jc w:val="left"/>
              <w:rPr/>
            </w:pPr>
            <w:r>
              <w:rPr/>
              <w:t>SOLV Energy, Inc.</w:t>
            </w:r>
          </w:p>
        </w:tc>
      </w:tr>
      <w:tr>
        <w:trPr>
          <w:trHeight w:val="240" w:hRule="atLeast"/>
        </w:trPr>
        <w:tc>
          <w:tcPr>
            <w:tcW w:w="4413" w:type="dxa"/>
            <w:tcBorders/>
            <w:vAlign w:val="center"/>
          </w:tcPr>
          <w:p>
            <w:pPr>
              <w:pStyle w:val="TableContents"/>
              <w:bidi w:val="0"/>
              <w:spacing w:before="0" w:after="283"/>
              <w:jc w:val="left"/>
              <w:rPr>
                <w:sz w:val="4"/>
                <w:szCs w:val="4"/>
              </w:rPr>
            </w:pPr>
            <w:r>
              <w:rPr>
                <w:sz w:val="4"/>
                <w:szCs w:val="4"/>
              </w:rPr>
            </w:r>
          </w:p>
        </w:tc>
        <w:tc>
          <w:tcPr>
            <w:tcW w:w="504" w:type="dxa"/>
            <w:gridSpan w:val="2"/>
            <w:tcBorders/>
            <w:vAlign w:val="center"/>
          </w:tcPr>
          <w:p>
            <w:pPr>
              <w:pStyle w:val="TableContents"/>
              <w:bidi w:val="0"/>
              <w:spacing w:before="0" w:after="283"/>
              <w:jc w:val="left"/>
              <w:rPr>
                <w:sz w:val="4"/>
                <w:szCs w:val="4"/>
              </w:rPr>
            </w:pPr>
            <w:r>
              <w:rPr>
                <w:sz w:val="4"/>
                <w:szCs w:val="4"/>
              </w:rPr>
            </w:r>
          </w:p>
        </w:tc>
        <w:tc>
          <w:tcPr>
            <w:tcW w:w="715" w:type="dxa"/>
            <w:gridSpan w:val="2"/>
            <w:tcBorders/>
            <w:vAlign w:val="center"/>
          </w:tcPr>
          <w:p>
            <w:pPr>
              <w:pStyle w:val="TableContents"/>
              <w:bidi w:val="0"/>
              <w:spacing w:before="0" w:after="283"/>
              <w:jc w:val="left"/>
              <w:rPr>
                <w:sz w:val="4"/>
                <w:szCs w:val="4"/>
              </w:rPr>
            </w:pPr>
            <w:r>
              <w:rPr>
                <w:sz w:val="4"/>
                <w:szCs w:val="4"/>
              </w:rPr>
            </w:r>
          </w:p>
        </w:tc>
        <w:tc>
          <w:tcPr>
            <w:tcW w:w="4573" w:type="dxa"/>
            <w:gridSpan w:val="2"/>
            <w:tcBorders/>
            <w:vAlign w:val="center"/>
          </w:tcPr>
          <w:p>
            <w:pPr>
              <w:pStyle w:val="TableContents"/>
              <w:bidi w:val="0"/>
              <w:spacing w:before="0" w:after="283"/>
              <w:jc w:val="left"/>
              <w:rPr>
                <w:sz w:val="4"/>
                <w:szCs w:val="4"/>
              </w:rPr>
            </w:pPr>
            <w:r>
              <w:rPr>
                <w:sz w:val="4"/>
                <w:szCs w:val="4"/>
              </w:rPr>
            </w:r>
          </w:p>
        </w:tc>
      </w:tr>
      <w:tr>
        <w:trPr/>
        <w:tc>
          <w:tcPr>
            <w:tcW w:w="4413" w:type="dxa"/>
            <w:tcBorders/>
          </w:tcPr>
          <w:p>
            <w:pPr>
              <w:pStyle w:val="TableContents"/>
              <w:bidi w:val="0"/>
              <w:spacing w:before="0" w:after="283"/>
              <w:jc w:val="left"/>
              <w:rPr/>
            </w:pPr>
            <w:r>
              <w:rPr/>
              <w:t>Date: February 12, 2026</w:t>
            </w:r>
          </w:p>
        </w:tc>
        <w:tc>
          <w:tcPr>
            <w:tcW w:w="109"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464" w:type="dxa"/>
            <w:tcBorders>
              <w:bottom w:val="single" w:sz="2" w:space="0" w:color="000000"/>
            </w:tcBorders>
            <w:tcMar>
              <w:bottom w:w="28" w:type="dxa"/>
            </w:tcMar>
            <w:vAlign w:val="bottom"/>
          </w:tcPr>
          <w:p>
            <w:pPr>
              <w:pStyle w:val="TableContents"/>
              <w:bidi w:val="0"/>
              <w:spacing w:before="0" w:after="283"/>
              <w:jc w:val="left"/>
              <w:rPr/>
            </w:pPr>
            <w:r>
              <w:rPr/>
              <w:t>/s/ Adam Forman</w:t>
            </w:r>
          </w:p>
        </w:tc>
      </w:tr>
      <w:tr>
        <w:trPr/>
        <w:tc>
          <w:tcPr>
            <w:tcW w:w="441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Adam Forman</w:t>
            </w:r>
          </w:p>
        </w:tc>
      </w:tr>
      <w:tr>
        <w:trPr/>
        <w:tc>
          <w:tcPr>
            <w:tcW w:w="441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64" w:type="dxa"/>
            <w:tcBorders/>
            <w:vAlign w:val="bottom"/>
          </w:tcPr>
          <w:p>
            <w:pPr>
              <w:pStyle w:val="TableContents"/>
              <w:bidi w:val="0"/>
              <w:spacing w:before="0" w:after="283"/>
              <w:jc w:val="left"/>
              <w:rPr/>
            </w:pPr>
            <w:r>
              <w:rPr/>
              <w:t>Chief Legal Officer</w:t>
            </w:r>
          </w:p>
        </w:tc>
      </w:tr>
    </w:tbl>
    <w:p>
      <w:pPr>
        <w:pStyle w:val="TextBody"/>
        <w:bidi w:val="0"/>
        <w:spacing w:before="0" w:after="0"/>
        <w:jc w:val="right"/>
        <w:rPr>
          <w:rFonts w:ascii="Times New Roman" w:hAnsi="Times New Roman"/>
          <w:b/>
          <w:sz w:val="20"/>
        </w:rPr>
      </w:pPr>
      <w:bookmarkStart w:id="2" w:name="d189834dex101.htm"/>
      <w:bookmarkStart w:id="3" w:name="ksd189834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SOLV Energy, Inc. </w:t>
      </w:r>
    </w:p>
    <w:p>
      <w:pPr>
        <w:pStyle w:val="TextBody"/>
        <w:bidi w:val="0"/>
        <w:spacing w:before="120" w:after="0"/>
        <w:jc w:val="center"/>
        <w:rPr>
          <w:rFonts w:ascii="Times New Roman" w:hAnsi="Times New Roman"/>
          <w:sz w:val="20"/>
        </w:rPr>
      </w:pPr>
      <w:r>
        <w:rPr>
          <w:rFonts w:ascii="Times New Roman" w:hAnsi="Times New Roman"/>
          <w:sz w:val="20"/>
        </w:rPr>
        <w:t xml:space="preserve">20,500,000 Shares of Class A Common Stock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120" w:after="0"/>
        <w:jc w:val="right"/>
        <w:rPr>
          <w:rFonts w:ascii="Times New Roman" w:hAnsi="Times New Roman"/>
          <w:sz w:val="20"/>
        </w:rPr>
      </w:pPr>
      <w:r>
        <w:rPr>
          <w:rFonts w:ascii="Times New Roman" w:hAnsi="Times New Roman"/>
          <w:sz w:val="20"/>
        </w:rPr>
        <w:t xml:space="preserve">February 10,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listed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520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a Delaware corporation (the “Company”), proposes to issue and sell to the several underwriters listed in Schedule 1 hereto (the “Underwriters”), for whom you are acting as representatives (the “Representatives”), an aggregate of 20,500,000 shares of Class A common stock, par value $0.0001 per share (the “Class A Common Stock”), of the Company (the “Underwritten Shares”) and, at the option of the Underwriters, up to an additional 3,075,000 shares of Class A Common Stock (the “Option Shares”). The Underwritten Shares and the Option Shares are herein referred to as the “Shares”. The shares of Class A Common Stock to be outstanding after giving effect to the sale of the Shares are referred to herein as the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formed in contemplation of the proposed issuance and sale of the Shares (the “Offering”). It is understood and agreed to by all parties that the Company will, prior to the closing of the Offering, enter into certain organizational transactions described under the heading “Our Organizational Structure — Transactions” in the Registration Statement, the Pricing Disclosure Package and the Prospectus (each as defined herein) (the “Organizational Transactions”). Following the Offering and the Organizational Transactions, the Company will be a holding company whose principal asset will consist of a 56.3% equity interest in SOLV Energy Holdings LLC (“Opco LLC” and, together with the Company, the “Company Parties” and each a “Company Party”), with such equity interest consisting of 112,273,571 common units of Opco LLC (“Opco LLC Interests”), representing approximately 56.4% of the economic interest in Opco LLC (or 115,348,571 Opco LLC Interests, representing approximately 57.0% of the economic interest in Opco LLC if the underwriters exercise in full their option to purchase additional shares of Class A Common Stock). After the consummation of the transactions contemplated by the Prospectus, a wholly owned subsidiary of the Company will be the sole managing member of Opco LLC and the Company, through the managing member, will control the business and affairs of Opco LLC and its direct and indirect subsidiaries. Through Opco LLC and its direct and indirect subsidiaries, the Company will conduct its business. References herein to the “Company and its subsidiaries” refer to Company and its subsidiaries pro forma following the Organizational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Parties hereby confirm their agreement with the several Underwriters concerning the purchase and sale of the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on Form S-1 (File No. 333-292778),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a Preliminary Prospectus dated January 30, 2026 and each “free-writing prospectus” (as defined pursuant to Rule 405 under the Securities Act) listed on Annex A hereto. </w:t>
      </w:r>
    </w:p>
    <w:p>
      <w:pPr>
        <w:pStyle w:val="TextBody"/>
        <w:bidi w:val="0"/>
        <w:spacing w:before="240" w:after="0"/>
        <w:jc w:val="left"/>
        <w:rPr/>
      </w:pPr>
      <w:r>
        <w:rPr/>
        <w:t>“</w:t>
      </w:r>
      <w:r>
        <w:rPr>
          <w:rFonts w:ascii="Times New Roman" w:hAnsi="Times New Roman"/>
          <w:sz w:val="20"/>
        </w:rPr>
        <w:t xml:space="preserve">Applicable Time” means 4:30 P.M., New York City time, on February 10,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agrees to issue and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$23.4375 (the “Purchase Price”) from the Company the respective number of Underwritten Shares set forth opposite such Underwriter’s name in Schedule 1 hereto.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(c) Payment for the Shares shall be made by wire transfer in immediately available funds to the account specified by the Company to the Representatives in the case of the Underwritten Shares, at the offices of Latham &amp; Watkins LLP, 1271 Avenue of the Americas, New York, New York 10020, at 10:00 A.M. New York City time on February 12, 2026,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Shares to be purchased on the Closing Date or the Additional Closing Date, as the case may be, shall be made against delivery to the Representatives for the respective accounts of the several Underwriters of the Shares to be purchased on the Closing Date or the Additional Closing Date, as the case may be, with any transfer taxes payable in connection with the sale of such Shares duly paid by the Company. Delivery of the Shares shall be made through the facilities of The Depository Trust Company unless the Representatives shall otherwise instruct.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 Parties</w:t>
      </w:r>
      <w:r>
        <w:rPr>
          <w:rFonts w:ascii="Times New Roman" w:hAnsi="Times New Roman"/>
          <w:sz w:val="20"/>
        </w:rPr>
        <w:t xml:space="preserve">. Each Company Party represents and warrants to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Parties make no representation or warranty with respect to any statements or omissions made in reliance upon and in conformity with information relating to any Underwriter furnished to the Company Parties in writing by such Underwriter through the Representatives expressly for use in any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Pricing Disclosure Package</w:t>
      </w:r>
      <w:r>
        <w:rPr>
          <w:rFonts w:ascii="Times New Roman" w:hAnsi="Times New Roman"/>
          <w:sz w:val="20"/>
        </w:rPr>
        <w:t xml:space="preserve">.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Parties make no representation or warranty with respect to any statements or omissions made in reliance upon and in conformity with information relating to any Underwriter furnished to the Company Parties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Parties make no representation or warranty with respect to any statements or omissions made in each such Issuer Free Writing Prospectus or Preliminary Prospectus in reliance upon and in conformity with information relating to any Underwriter furnished to the Company Parties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Testing-the-Waters Materials. </w:t>
      </w:r>
      <w:r>
        <w:rPr>
          <w:rFonts w:ascii="Times New Roman" w:hAnsi="Times New Roman"/>
          <w:sz w:val="20"/>
        </w:rPr>
        <w:t xml:space="preserve">The Company (i) has not alone engaged in any Testing-the-Waters Communications other than Testing-the-Waters Communications with the consent of the Representatives (x) with entities that are qualified institutional buyers (“QIBs”) within the meaning of Rule 144A under the Securities Act or institutions that are accredited investors within the meaning of Rule 501(a)(1), (a)(2), (a)(3), (a)(7), (a)(8), (a)(9), (a)(12) or (a)(13)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A hereto. The Company has not distributed or approved for distribution any Written Testing-the-Waters Communications other than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those listed on Annex B hereto. “Written Testing-the-Waters Communication” means any Testing-the-Waters Communication that is a written communication within the meaning of Rule 405 under the Securities Act. Any individual Written Testing-the- Waters Communication does not conflict with the information contained in the Registration Statement or the Pricing Disclosure Package, complied in all material respects with the applicable provisions of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Parties make no representation or warranty with respect to any statements or omissions made in each such Written Testing-the-Waters Communications in reliance upon and in conformity with information relating to any Underwriter furnished to the Company in writing by such Underwriter through the Representatives expressly for use in such Written Testing-the-Waters Communications, it being understood and agreed that the only such information furnished by any Underwriter consists of the information described as such in Section 7(b) 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Registration Statement and Prospectus.</w:t>
      </w:r>
      <w:r>
        <w:rPr>
          <w:rFonts w:ascii="Times New Roman" w:hAnsi="Times New Roman"/>
          <w:sz w:val="20"/>
        </w:rPr>
        <w:t xml:space="preserve"> The Registration Statement has been declared effective by the 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any Company Party, threatened by the Commission; as of the applicable effective date of the Registration Statement and any post-effective amendment thereto, the Registration Statement and any such post-effective amendment complied and, as of the Closing Date or any Additional Closing Date, will comply in all material respects with the applicable requirements of the Securities Act, and did not and will not, as of the Closing Date or any Additional Closing Date,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applicable provisions of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Parties make no representation or warranty with respect to any statements or omissions made in reliance upon and in conformity with information relating to any Underwriter furnished to the Company Parties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Financial Statements.</w:t>
      </w:r>
      <w:r>
        <w:rPr>
          <w:rFonts w:ascii="Times New Roman" w:hAnsi="Times New Roman"/>
          <w:sz w:val="20"/>
        </w:rPr>
        <w:t xml:space="preserve"> The financial statements (including the related notes thereto) of the Company and Opco LLC and their respective consolidated subsidiaries included in the Registration Statement, the Pricing Disclosure Package and the Prospectus comply in all material respects with the applicable requirements of the Securities Act and present fairly in all material respects the financial position of the Company, Opco LLC and their respective consolidated subsidiaries, as applicable,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Opco LLC and their respective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Commission) comply in all material respects with Regulation G of the Securities Exchange Act of 1934, as amended (the “Exchange Act”) and Item 10 of Regulation S-K of the Securities Act, to the extent applicable; and the </w:t>
      </w:r>
      <w:r>
        <w:rPr>
          <w:rFonts w:ascii="Times New Roman" w:hAnsi="Times New Roman"/>
          <w:i/>
          <w:sz w:val="20"/>
        </w:rPr>
        <w:t>pro forma</w:t>
      </w:r>
      <w:r>
        <w:rPr>
          <w:rFonts w:ascii="Times New Roman" w:hAnsi="Times New Roman"/>
          <w:sz w:val="20"/>
        </w:rPr>
        <w:t xml:space="preserve"> financial information and the related notes thereto included in the Registration Statement, the Pricing Disclosure Package and the Prospectus have been prepared in all material respects in accordance with the applicable requirements of the Securities Act and the assumptions underlying such pro forma financial information are reasonable and are set forth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 Material Adverse Change.</w:t>
      </w:r>
      <w:r>
        <w:rPr>
          <w:rFonts w:ascii="Times New Roman" w:hAnsi="Times New Roman"/>
          <w:sz w:val="20"/>
        </w:rPr>
        <w:t xml:space="preserve"> Since the date of the most recent financial statements included in the Registration Statement, the Pricing Disclosure Package and the Prospectus, (i) there has not been any material change in the capital stock (other than the Organizational Transactions described in, the issuance of shares of Class A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Parties or any of their subsidiaries, or any dividend or distribution of any kind declared, set aside for payment, paid or made by the Company Parties or any of their subsidiaries on any class of capital stock or membership interests, as applicable,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none of the Company Parties nor any of their subsidiaries has entered into any transaction or agreement (whether or not in the ordinary course of business) that is material to the Company Parties and their subsidiaries taken as a whole or incurred any liability or obligation, direct or contingent, that is material to the Company and its subsidiaries taken as a whole; and (iii) none of the Company Parties nor any of their subsidiaries has sustained any loss or interference with its business that is material to the Company Parties and their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of the foregoing clauses (i), (ii) or (iii) as otherwise disclosed in the Registration Statement, the Pricing Disclosure Package and the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Organization and Good Standing.</w:t>
      </w:r>
      <w:r>
        <w:rPr>
          <w:rFonts w:ascii="Times New Roman" w:hAnsi="Times New Roman"/>
          <w:sz w:val="20"/>
        </w:rPr>
        <w:t xml:space="preserve"> The Company Parties and each of their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member’s equity, results of operations or prospects of the Company Parties, as applicable, and their subsidiaries taken as a whole or on the performance by the Company Parties of their respective obligations under the Transaction Documents (as defined below) (a “Material Adverse Effect”). The subsidiaries listed in Exhibit 21.1 to the Registration Statement are the only “significant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Capitalization.</w:t>
      </w:r>
      <w:r>
        <w:rPr>
          <w:rFonts w:ascii="Times New Roman" w:hAnsi="Times New Roman"/>
          <w:sz w:val="20"/>
        </w:rPr>
        <w:t xml:space="preserve"> Opco LLC has the capitalization set forth in the Registration Statement, the Pricing Disclosure Package and the Prospectus under the heading “Capitalization.” After giving effect to the Organizational Transactions, the issuance of the Shares to be sold by the Company and the use of the net proceeds therefrom as described in the Registration Statement, the Pricing Disclosure Package and the Prospectus, the Company will have an authorized capitalization as set forth in the Registration Statement, the Pricing Disclosure Package and the Prospectus under the pro forma column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after giving effect to the Organizational Transactions, the capital stock of the Company Parties will conform in all material respects to the description thereof contained in the Registration Statement, the Pricing Disclosure Package and the Prospectus; and after giving effect to the Organizational Transactions, all the outstanding shares of capital stock or other equity interests of each subsidiary owned, directly or indirectly, by the Company will have been duly and validly authorized and issued, will be fully paid and non-assessable and will be owned directly or indirectly by the Company, free and clear of any lien, charge, encumbrance, security interest, restriction on voting or transfer or any other claim of any third party.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Equity Awards. </w:t>
      </w:r>
      <w:r>
        <w:rPr>
          <w:rFonts w:ascii="Times New Roman" w:hAnsi="Times New Roman"/>
          <w:sz w:val="20"/>
        </w:rPr>
        <w:t xml:space="preserve">With respect to the equity or equity-based awards (the “Equity Awards”) granted on or before the Closing Date or the Additional Closing Date, if applicable, pursuant to the equity compensation plans of the Company Parties and their affiliates (the “Equity Plans”), (i) each grant of an Equity Award was duly authorized no later than the date on which the grant of such Equity Award was by its terms to be effective by all necessary corporate action, including, as applicable, approval by the board of directors, board of managers or similar governing body of the applicable Company Party (or a duly constituted and authorized committee thereof) and any required stockholder or member approval by the necessary number of votes or written consents, and, to the knowledge of the Company Parties, the award agreement governing such grant (if any) was duly executed and delivered by each party thereto, (ii) each such grant was made in accordance with the terms of the Equity Plans, the Exchange Act and all other applicable laws and regulatory rules or requirements, including the rules of the Nasdaq Global Select Market and any other exchange on which Company securities are traded, in each case, to the extent applicable, and (iii) to the extent required to be disclosed in the financial statements contained in the Registration Statement, each such grant was properly accounted for in accordance with GAAP in the financial statements (including the related notes) of the applicable Company Party contained in the Registration Statement except, in each case, with respect to the events or conditions set forth in (i) through (iii) hereof,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Due Authorization.</w:t>
      </w:r>
      <w:r>
        <w:rPr>
          <w:rFonts w:ascii="Times New Roman" w:hAnsi="Times New Roman"/>
          <w:sz w:val="20"/>
        </w:rPr>
        <w:t xml:space="preserve"> Each Company Party has full right, power and authority to execute and deliver, to the extent a party thereto, this Agreement, the tax receivable agreement to be entered into by and among the Company, the Blocker Shareholders (as defined in the Registration Statement) and certain equity owners in connection with the closing of the Offering (the “Tax Receivable Agreement”), the registration rights agreement to be entered into by and among the Company and certain equity owners in connection with the closing of the Offering (the “Registration Rights Agreement”) and the amended and restated limited liability company agreement of Opco LLC (the “Opco LLC Agreement” and, together with this Agreement, the Tax Receivable Agreement, the Registration Rights Agreement and the Opco LLC Agreement, the “Transaction Documents”) and to perform its obligations hereunder and thereunder; and all action required to be taken for the due and proper authorization, execution and delivery by it of this Agreement and each of the Transaction Documents to which it is a party and the consummation by it of the transactions contemplated hereby and thereby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Underwriting Agreement. </w:t>
      </w:r>
      <w:r>
        <w:rPr>
          <w:rFonts w:ascii="Times New Roman" w:hAnsi="Times New Roman"/>
          <w:sz w:val="20"/>
        </w:rPr>
        <w:t xml:space="preserve">This Agreement has been duly authorized, executed and delivered by the Company Parties.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The Shares. </w:t>
      </w:r>
      <w:r>
        <w:rPr>
          <w:rFonts w:ascii="Times New Roman" w:hAnsi="Times New Roman"/>
          <w:sz w:val="20"/>
        </w:rPr>
        <w:t xml:space="preserve">The Shares to be issued and sold by the Company hereunder have been duly authorized by the Company and, when issued 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Other Transaction Documents. </w:t>
      </w:r>
      <w:r>
        <w:rPr>
          <w:rFonts w:ascii="Times New Roman" w:hAnsi="Times New Roman"/>
          <w:sz w:val="20"/>
        </w:rPr>
        <w:t xml:space="preserve">Each of the Transaction Documents (other than this Agreement) has been duly authorized by each of the Company Parties, to the extent a party thereto, and, when duly executed and delivered in accordance with its terms by each of the parties thereto, will constitute a valid and legally binding agreement of the Company Parties enforceable against the Company Parties, as applicable, in accordance with its terms, except as enforceability may be limited by applicable bankruptcy, insolvency or similar laws affecting the enforcement of creditors’ rights generally or by equitable principles relating to enforceability.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Descriptions of the Transaction Documents.</w:t>
      </w:r>
      <w:r>
        <w:rPr>
          <w:rFonts w:ascii="Times New Roman" w:hAnsi="Times New Roman"/>
          <w:sz w:val="20"/>
        </w:rPr>
        <w:t xml:space="preserve"> Each Transaction Document conforms in all material respects to the description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No Violation or Default.</w:t>
      </w:r>
      <w:r>
        <w:rPr>
          <w:rFonts w:ascii="Times New Roman" w:hAnsi="Times New Roman"/>
          <w:sz w:val="20"/>
        </w:rPr>
        <w:t xml:space="preserve"> None of the Company Parties nor any of their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any Company Party or any of their subsidiaries is a party or by which any Company Party or any of their subsidiaries is bound or to which any property or asset of any Company Party or any of their subsidiaries is subject; or (iii) in violation of any applicable law or statute or any judgment, order, rule or regulation of any court or arbitrator or governmental or regulatory authority having jurisdiction over the Company Parties and their subsidiaries, except, in the case of clauses (ii) and (iii) above, for any such default or violation that would not, individually or in the aggregate, reasonably by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No Conflicts. </w:t>
      </w:r>
      <w:r>
        <w:rPr>
          <w:rFonts w:ascii="Times New Roman" w:hAnsi="Times New Roman"/>
          <w:sz w:val="20"/>
        </w:rPr>
        <w:t xml:space="preserve">The execution, delivery and performance by each of the Company Parties of each of the Transaction Documents to which it is a party, the issuance and sale of the Shares by the Company and the consummation by the Company Parties of the transactions contemplated by the Transaction Documents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any Company Party or any of their subsidiaries pursuant to, any indenture, mortgage, deed of trust, loan agreement or other agreement or instrument to which any Company Party or any of their subsidiaries is a party or by which any Company Party or any of their subsidiaries is bound or to which any property, right or asset of any Company Party or any of their subsidiaries is subject, (ii) result in any violation of the provisions of the charter or by-laws or similar organizational documents of any Company Party or any of their subsidiaries or (iii) result in the violation of any applicable law or statute or any judgment, order, rule or regulation of any court or arbitrator or governmental or regulatory authority having jurisdiction over the Company Parties and their subsidiaries, except, in the case of clauses (i) and (iii) above, for any such conflict, breach, violation, default, lien, charge or encumbrance that would not, individually or in the aggregate,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No Consents Required.</w:t>
      </w:r>
      <w:r>
        <w:rPr>
          <w:rFonts w:ascii="Times New Roman" w:hAnsi="Times New Roman"/>
          <w:sz w:val="20"/>
        </w:rPr>
        <w:t xml:space="preserve"> No consent, approval, authorization, order, registration or qualification of or with any court or arbitrator or governmental or regulatory authority having jurisdiction over the Company Parties and their subsidiaries is required for the execution, delivery and performance by any of the Company Parties of each of the Transaction Documents to which it is a party, the issuance and sale of the Shares by the Company and the consummation by the Company Parties of the transactions contemplated by the Transaction Documents,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 except where the failure to obtain such consents, approvals, authorizations, orders, registrations or qualifications would not, individually or in the aggregate, reasonably by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Legal Proceedings.</w:t>
      </w:r>
      <w:r>
        <w:rPr>
          <w:rFonts w:ascii="Times New Roman" w:hAnsi="Times New Roman"/>
          <w:sz w:val="20"/>
        </w:rPr>
        <w:t xml:space="preserve"> Except as described in the Registration Statement, the Pricing Disclosure Package and the Prospectus, there are no legal, governmental or regulatory investigations, actions, demands, claims, suits, arbitrations, inquiries or proceedings (“Actions”) pending to which any Company Party or any of their subsidiaries is or may be a party or to which any property of any Company Party or any of their subsidiaries is or may be the subject that, individually or in the aggregate, if determined adversely to any Company Party or any of their subsidiaries, could reasonably be expected to have a Material Adverse Effect; to the knowledge of the Company Parties, no such Actions are threatened or contemplated by any governmental or regulatory authority or threatened by others, except as would not, individually or in the aggregate, reasonably by expected to have a Material Adverse Effect;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Independent Accountants</w:t>
      </w:r>
      <w:r>
        <w:rPr>
          <w:rFonts w:ascii="Times New Roman" w:hAnsi="Times New Roman"/>
          <w:sz w:val="20"/>
        </w:rPr>
        <w:t xml:space="preserve">. Ernst &amp; Young LLP, who has certified certain financial statements of the Company and Opco LLC and their subsidiaries and is an independent registered public accounting firm with respect to each of the Company and Opco LLC and their subsidiaries, in each case, within the applicable rules and regulations adopted by the Commission and the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Title to Real and Personal Property</w:t>
      </w:r>
      <w:r>
        <w:rPr>
          <w:rFonts w:ascii="Times New Roman" w:hAnsi="Times New Roman"/>
          <w:sz w:val="20"/>
        </w:rPr>
        <w:t xml:space="preserve">. Each Company Party and its subsidiaries have good and marketable title in fee simple to, or have valid rights to lease or otherwise use, all items of real and personal property that are material to the respective businesses of each Company Party and its subsidiaries, in each case free and clear of all liens, encumbrances, claims and defects and imperfections of title except those that (i) do not materially interfere with the use made and proposed to be made of such property by each Company Party and its subsidiaries or (ii) could not reasonably be expected, individually or in the aggregate, reasonably by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Intellectual Property.</w:t>
      </w:r>
      <w:r>
        <w:rPr>
          <w:rFonts w:ascii="Times New Roman" w:hAnsi="Times New Roman"/>
          <w:sz w:val="20"/>
        </w:rPr>
        <w:t xml:space="preserve"> (i) Each Company Party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that is used in and material to the conduct of their respective businesses as currently conducted; (ii) except as would not reasonably be expected to be material to a Company Party or its business, to the knowledge of the Company Parties, each Company Party’s and its subsidiaries’ conduct of their respective businesses does not infringe, misappropriate or otherwise violate any Intellectual Property of any person; (iii) except as would not reasonably be expected to be material to a Company Party or its business, no Company Party nor any of their subsidiaries have received any written notice of any claim of infringement, misappropriation or other violation of any Intellectual Property ; and (iv) to the knowledge of the Company Parties, the Intellectual Property of the Company Party or their subsidiaries is not being infringed, misappropriated or otherwise violated by any person in a manner that would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No Undisclosed Relationships</w:t>
      </w:r>
      <w:r>
        <w:rPr>
          <w:rFonts w:ascii="Times New Roman" w:hAnsi="Times New Roman"/>
          <w:sz w:val="20"/>
        </w:rPr>
        <w:t xml:space="preserve">. No relationship, direct or indirect, exists between or among any Company Party or any of their subsidiaries, on the one hand, and the directors, officers, stockholders, customers, suppliers or other affiliates of any Company Party or any of their subsidiaries, on the other, that is required by the Securities Act to be described in each of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Investment Company Act</w:t>
      </w:r>
      <w:r>
        <w:rPr>
          <w:rFonts w:ascii="Times New Roman" w:hAnsi="Times New Roman"/>
          <w:sz w:val="20"/>
        </w:rPr>
        <w:t xml:space="preserve">. No Company Party is and, after giving effect to the offering and sale of the Shares and the application of the proceeds thereof received by the Company as described in the Registration Statement, the Pricing Disclosure Package and the Prospectus, no Company Party will be required to register as, an “investment company” or an entity “controlled” by an “investment company” within the meaning of the Investment Company Act of 1940, as amended,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Taxes.</w:t>
      </w:r>
      <w:r>
        <w:rPr>
          <w:rFonts w:ascii="Times New Roman" w:hAnsi="Times New Roman"/>
          <w:sz w:val="20"/>
        </w:rPr>
        <w:t xml:space="preserve"> Each Company Party and their subsidiaries have paid all material federal, state, local and foreign taxes (other than any taxes that are being contested in good faith by appropriate proceedings and for which adequate reserves have been established in accordance with GAAP) and filed all material tax returns required to be paid or filed through the date hereof; and except as otherwise disclosed in each of the Registration Statement, the Pricing Disclosure Package and the Prospectus, there is no material tax deficiency that has been, or could reasonably be expected to be, asserted against any Company Party or any of their subsidiaries or any of their respective properties or assets.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Licenses and Permits.</w:t>
      </w:r>
      <w:r>
        <w:rPr>
          <w:rFonts w:ascii="Times New Roman" w:hAnsi="Times New Roman"/>
          <w:sz w:val="20"/>
        </w:rPr>
        <w:t xml:space="preserve"> Each Company Party and their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by expected to have a Material Adverse Effect; and except as described in each of the Registration Statement, the Pricing Disclosure Package and the Prospectus, none of the Company Parties nor any of their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No Labor Disputes.</w:t>
      </w:r>
      <w:r>
        <w:rPr>
          <w:rFonts w:ascii="Times New Roman" w:hAnsi="Times New Roman"/>
          <w:sz w:val="20"/>
        </w:rPr>
        <w:t xml:space="preserve"> No labor disturbance by or dispute with employees of the Company or any of its subsidiaries exists or, to the knowledge of the Company Parties, is contemplated or threatened, and the Company Parties are not aware of any existing or imminent labor disturbance by, or dispute with, the employees of any of their or their subsidiaries’ principal suppliers, contractors or customers, except, in each case, as would not reasonably be expected to have a Material Adverse Effect. No Company Party nor any of their subsidiaries has received any notice of cancellation or termination with respect to any collective bargaining agreement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Certain Environmental Matters</w:t>
      </w:r>
      <w:r>
        <w:rPr>
          <w:rFonts w:ascii="Times New Roman" w:hAnsi="Times New Roman"/>
          <w:sz w:val="20"/>
        </w:rPr>
        <w:t xml:space="preserve">. (i) Each Company Party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any Company Party or their subsidiaries, except in the case of each of (i) and (ii) above, for any such matter as would not, individually or in the aggregate, reasonably be expected to have a Material Adverse Effect; and (iii) except as described in each of the Registration Statement, the Pricing Disclosure Package and the Prospectus, (x) there is no proceeding that is pending, or that is known to be contemplated, against any Company Party or any of their subsidiaries under any Environmental Laws in which a governmental entity is also a party, other than such proceeding regarding which it 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believed no monetary sanctions of $300,000 or more will be imposed, (y) none of the Company Parties or any of their subsidiaries are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and (z) none of the Company Parties or any of their subsidiaries anticipates material capital expenditures relating to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Compliance with ERISA</w:t>
      </w:r>
      <w:r>
        <w:rPr>
          <w:rFonts w:ascii="Times New Roman" w:hAnsi="Times New Roman"/>
          <w:sz w:val="20"/>
        </w:rPr>
        <w:t xml:space="preserve">. (i) Each employee benefit plan, within the meaning of Section 3(3) of the Employee Retirement Income Security Act of 1974, as amended (“ERISA”), for which any Company Party or any member of its “Controlled Group” (defined as any entity, whether or not incorporated, that is under common control with such Company Party within the meaning of Section 4001(a)(14) of ERISA or any entity that would be regarded as a single employer with such Company Party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any Company Party nor any member of its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any Company Party or its Controlled Group affiliates in the current fiscal year of such Company Party and its Controlled Group affiliates compared to the amount of such contributions made in the Company Party’s and its Controlled Group affiliates’ most recently completed fiscal year; or (B) a material increase in any Company Party and its subsidiaries’ “accumulated post-retirement benefit obligations” (within the meaning of Accounting Standards Codification Topic 715-60) compared to the amount of such obligations in the Company Party and its subsidiaries’ most recently completed fiscal year, except in each case with respect to the events or conditions set forth in (i) through (ix) hereof, as would not, individually or in the aggregate,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Disclosure Controls</w:t>
      </w:r>
      <w:r>
        <w:rPr>
          <w:rFonts w:ascii="Times New Roman" w:hAnsi="Times New Roman"/>
          <w:sz w:val="20"/>
        </w:rPr>
        <w:t xml:space="preserve">.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Accounting Controls.</w:t>
      </w:r>
      <w:r>
        <w:rPr>
          <w:rFonts w:ascii="Times New Roman" w:hAnsi="Times New Roman"/>
          <w:sz w:val="20"/>
        </w:rPr>
        <w:t xml:space="preserve"> The Company and its subsidiaries maintain systems of “internal control over financial reporting” (as defined in Rule 13a-15(f) of the Exchange Act) that are reasonably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Insurance. </w:t>
      </w:r>
      <w:r>
        <w:rPr>
          <w:rFonts w:ascii="Times New Roman" w:hAnsi="Times New Roman"/>
          <w:sz w:val="20"/>
        </w:rPr>
        <w:t xml:space="preserve">Each Company Party and its subsidiaries have insurance covering their respective properties, operations, personnel and businesses, including business interruption insurance, which insurance is in amounts and insures against such losses and risks as are generally maintained by similarly situated companies and which the Company Parties reasonably believe are reasonably adequate to protect such Company Party and its subsidiaries and their respective businesses; and none of the Company Parties nor any of their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Cybersecurity; Data Protection. </w:t>
      </w:r>
      <w:r>
        <w:rPr>
          <w:rFonts w:ascii="Times New Roman" w:hAnsi="Times New Roman"/>
          <w:sz w:val="20"/>
        </w:rPr>
        <w:t>Each Company Party and its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are adequate for, and operate and perform in all material respects as required in connection with the operation of the business of each Company Party and its subsidiaries as currently conducted, and are, to the knowledge of the Company Parties, free and clear of all material bugs, errors, defects, Trojan horses, time bombs, malware and other corruptants. Each Company Party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used in connection with their businesses, and there have been no breaches, violations, outages or unauthorized uses or accesses to any such IT System and data, except for those that have been remedied without material cost or liability or the duty to notify any other person, nor any incidents under internal review or, to the knowledge of the Company Parties, investigations relating to the same. Each Company Party and its subsidiaries are presently in material compliance with all applicable laws,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No Unlawful Payments.</w:t>
      </w:r>
      <w:r>
        <w:rPr>
          <w:rFonts w:ascii="Times New Roman" w:hAnsi="Times New Roman"/>
          <w:sz w:val="20"/>
        </w:rPr>
        <w:t xml:space="preserve"> None of the Company Parties nor any of their subsidiaries nor any director or officer of any Company Party or any of their subsidiaries nor, to the knowledge of any Company Party, any employee, agent, affiliate or other person associated with or acting on behalf of any Company Party or any of their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Neither the Company nor any of its subsidiaries, nor to 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knowledge any of its affiliates, will use, directly or indirectly, the proceeds of the Offering in furtherance of an offer, payment, promise to pay, or authorization of the payment or giving of money, or anything else of value, to any person in violation of any applicable anti-corruption laws. The Company and its subsidiaries have instituted, maintain and enforce, and will continue to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Compliance with Anti-Money Laundering Laws</w:t>
      </w:r>
      <w:r>
        <w:rPr>
          <w:rFonts w:ascii="Times New Roman" w:hAnsi="Times New Roman"/>
          <w:sz w:val="20"/>
        </w:rPr>
        <w:t xml:space="preserve">. The operations of the Company Parties and their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any Company Party or any of their subsidiaries conducts business, the rules and regulations thereunder and any related or similar rules, regulations or guidelines issued, administered or enforced by any governmental agency having jurisdiction over such Company Party or any of its subsidiaries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any Company Party, threatened.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 xml:space="preserve">No Conflicts with Sanctions Laws. </w:t>
      </w:r>
      <w:r>
        <w:rPr>
          <w:rFonts w:ascii="Times New Roman" w:hAnsi="Times New Roman"/>
          <w:sz w:val="20"/>
        </w:rPr>
        <w:t xml:space="preserve">None of the Company Parties nor any of their subsidiaries, directors, or officers, nor, to the knowledge of any Company Party, any employees, agent, affiliate or other person associated with or acting on behalf of any Company Party or any of their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any Company Party or any of their subsidiaries located, organized or resident in a country or territory that is the subject or target of Sanctions, including, without limitation, the Crimea Region of Ukraine, the so-called Donetsk People’s Republic, the so-called Luhansk People’s Republic, Cuba, Iran and North Korea (each, a “Sanctioned Country”).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none of the Company Parties nor any of their subsidiaries have engaged in and are not now engaged in, any dealings or transactions with any person that at the time of the dealing or transaction is or was the subject or the target of Sanctions or with or in any Sanctioned Country.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No Restrictions on Subsidiaries</w:t>
      </w:r>
      <w:r>
        <w:rPr>
          <w:rFonts w:ascii="Times New Roman" w:hAnsi="Times New Roman"/>
          <w:sz w:val="20"/>
        </w:rPr>
        <w:t xml:space="preserve">. Except as described in the Registration Statement, the Pricing Disclosure Package and the Prospectus, no subsidiary of any Company Party is currently prohibited, directly or indirectly, under any agreement or other instrument to which it is a party or is subject, from paying any dividends to such Company Party, from making any other distribution on such subsidiary’s capital stock or similar ownership interest, from repaying to such Company Party any loans or advances to such subsidiary from such Company Party or from transferring any of such subsidiary’s properties or assets to such Company Party or any other subsidiary of such Company Party.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Registration Rights</w:t>
      </w:r>
      <w:r>
        <w:rPr>
          <w:rFonts w:ascii="Times New Roman" w:hAnsi="Times New Roman"/>
          <w:sz w:val="20"/>
        </w:rPr>
        <w:t xml:space="preserve">. Except as described in the Registration Statement, the Pricing Disclosure Package and the Prospectus, no person has the right to require any Company Party or any of their subsidiaries to register any securities for sale under the Securities Act by reason of the filing of the Registration Statement with the Commission or the issuance and sale of the Shares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Stabilization.</w:t>
      </w:r>
      <w:r>
        <w:rPr>
          <w:rFonts w:ascii="Times New Roman" w:hAnsi="Times New Roman"/>
          <w:sz w:val="20"/>
        </w:rPr>
        <w:t xml:space="preserve"> None of the Company Parties nor any of their subsidiaries or, to the knowledge of the Company Parties, any of their affiliates has taken, directly or indirectly, any action designed to or that could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Margin Rules</w:t>
      </w:r>
      <w:r>
        <w:rPr>
          <w:rFonts w:ascii="Times New Roman" w:hAnsi="Times New Roman"/>
          <w:sz w:val="20"/>
        </w:rPr>
        <w:t xml:space="preserve">. Neither the issuance, sale and delivery of the Shares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in any of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Statistical and Market Data.</w:t>
      </w:r>
      <w:r>
        <w:rPr>
          <w:rFonts w:ascii="Times New Roman" w:hAnsi="Times New Roman"/>
          <w:sz w:val="20"/>
        </w:rPr>
        <w:t xml:space="preserve"> Nothing has come to the attention of any Company Party that has caused such Company Party to believe that the statistical, industry-related and market-related data included in each of the Registration Statement, the Pricing Disclosure Package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as defined in Rule 405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No Ratings</w:t>
      </w:r>
      <w:r>
        <w:rPr>
          <w:rFonts w:ascii="Times New Roman" w:hAnsi="Times New Roman"/>
          <w:sz w:val="20"/>
        </w:rPr>
        <w:t xml:space="preserve">. There are (and prior to the Closing Date, will be) no debt securities, convertible securities or preferred stock issued or guaranteed by any Company Party or any of their subsidiaries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Further Agreements of the Company Parties</w:t>
      </w:r>
      <w:r>
        <w:rPr>
          <w:rFonts w:ascii="Times New Roman" w:hAnsi="Times New Roman"/>
          <w:sz w:val="20"/>
        </w:rPr>
        <w:t xml:space="preserve">. Each Company Party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if requested, without charge, (i) to the Representatives, two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Representatives.</w:t>
      </w:r>
      <w:r>
        <w:rPr>
          <w:rFonts w:ascii="Times New Roman" w:hAnsi="Times New Roman"/>
          <w:sz w:val="20"/>
        </w:rPr>
        <w:t xml:space="preserve"> The Company will advise the Representatives promptly, and confirm such advice in writing (which may be by electronic mail), (i) when the Registration Statement has become effective; (ii) when any amendment to the Registration Statement has been filed or becomes effective; (iii) when any supplement to the Pricing Disclosure Package, the Prospectus, or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or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will qualify the Shares for offer and sale under the securities or Blue Sky laws of such jurisdictions as the Representatives shall reasonably request and will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requirement by furnishing such earnings statement on the Commission’s Electronic, Data Gathering, Analysis and Retrieval System (“EDGAR”) (or any successor system).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180 days after the date of the Prospectus (the “Lock-Up Period”), the Company will not, or will not publicly disclose an intention to,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or any securities convertible into or exercisable or exchangeable for Stock or (ii) enter into any swap or other agreement that transfers, in whole or in part, any of the economic consequences of ownership of the Stock or any such other securities, or publicly disclose the intention to undertake any of the foregoing, whether any such transaction described in clause (i) or (ii) above is to be settled by delivery of Stock or such other securities, in cash or otherwise, without the prior written consent of the Representatives, other than the Shares to be sold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vesting and/or settlement of restricted stock units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with respect thereto (whether upon the exercise of stock options or otherwise) to the Company’s employees, officers, directors, advisors, or consultants pursuant to the terms of any equity-based compensation plan in effect as of the Closing Date and described in the Prospectus; (iii) the issuance of up to 10% of the outstanding shares of Stock (assuming all outstanding Opco LLC Interests are exchanged for newly-issued shares of Class A Common Stock on a one-for-one basis), or securities convertible into, exercisable for, or which are otherwise exchangeable for, Stock (including, without limitation Opco LLC Interests or any such substantially similar securities of the Company), immediately following the Closing Date, in acquisitions, mergers, joint ventures or other similar strategic transactions, provided that such recipients enter into a lock-up agreement with the Underwriters substantially in the form of Exhibit D hereto; (iv) facilitating the establishment of a trading plan on behalf of a stockholder, officer or director of the Company pursuant to Rule 10b5-1 under the Exchange Act for the transfer of shares of Common Stock, provided that (a) such plan does not provide for the transfer of Common Stock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Lock-Up Period; (v) sales of Class A Common Stock on behalf of an employee of the Company to satisfy the withholding taxes payable upon the vesting, exercise or settlement of such employee’s equity awards pursuant to employee benefit plans described in the Pricing Disclosure Package and the Prospectus; (vi)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(vii) the issuance of shares of Stock or securities convertible into or exercisable or exchangeable for shares of Stock in connection with the Organizational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Representatives, in their sole discretion, agree to release or waive the restrictions set forth in a lock-up letter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apply the net proceeds from the sale of the Shares as described in each of the Registration Statement, the Pricing Disclosure Package and the Prospectus under the heading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Neither the Company nor its subsidiaries or, to the knowledge of the Company Parties, any affiliates will take, directly or indirectly, any action designed to or that could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Exchange Listing. </w:t>
      </w:r>
      <w:r>
        <w:rPr>
          <w:rFonts w:ascii="Times New Roman" w:hAnsi="Times New Roman"/>
          <w:sz w:val="20"/>
        </w:rPr>
        <w:t xml:space="preserve">The Company will use its reasonable best efforts to list, subject to notice of issuance, the Shares on the Nasdaq Global Select Market (the “Exchange”).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two years from the date of this Agreement, so long as the Shares are outstanding, the Company will furnish to the 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that the Company will be deemed to have furnished such reports and financial statements to the Representatives to the extent they are filed on EDGAR.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Filings.</w:t>
      </w:r>
      <w:r>
        <w:rPr>
          <w:rFonts w:ascii="Times New Roman" w:hAnsi="Times New Roman"/>
          <w:sz w:val="20"/>
        </w:rPr>
        <w:t xml:space="preserve"> The Company will file with the Commission such reports as may be required by Rule 463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Agreements of the Underwriters</w:t>
      </w:r>
      <w:r>
        <w:rPr>
          <w:rFonts w:ascii="Times New Roman" w:hAnsi="Times New Roman"/>
          <w:sz w:val="20"/>
        </w:rPr>
        <w:t xml:space="preserve">. Each Underwriter hereby severally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and will not use, authorize use of, refer to or participate in the planning for use of, any “free writing prospectus”, as defined in Rule 405 under the Securities Act (which term includes use of any written information furnished to the Commission by the Company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or the Option Shares on the Additional Closing Date, as the case may be, as provided herein is subject to the performance by each of the Company Parties of its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related to or otherwise affecting the Offering shall have been complied with to the reasonable satisfaction of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respective representations and warranties of the Company Parties contained herein shall be true and correct on the date hereof and on and as of the Closing Date or the Additional Closing Date, as the case may be; and the statements of the Company Parties and their respective officers made in any certificates delivered pursuant to this Agreement shall be true and correct on and as of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Change.</w:t>
      </w:r>
      <w:r>
        <w:rPr>
          <w:rFonts w:ascii="Times New Roman" w:hAnsi="Times New Roman"/>
          <w:sz w:val="20"/>
        </w:rPr>
        <w:t xml:space="preserve"> No event or condition of a type described in Section 3(g)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The Representatives shall have received on and as of the Closing Date or the Additional Closing Date, as the case may be, a certificate of the chief financial officer or chief accounting officer of each Company Party and one additional senior executive officer of such Company Party who is reasonably satisfactory to the Representatives, on behalf of the Company Parties, and not in their personal capacities, (i) confirming that such officers have carefully reviewed the Registration Statement, the Pricing Disclosure Package and the Prospectus and, to the knowledge of such officers, the representations of the Company Parties set forth in Sections 3(b) and 3(d) hereof are true and correct, (ii) confirming that the other representations and warranties of the Company Parties in this Agreement are true and correct and that each Company Party has complied with all agreements and satisfied all conditions on their part to be performed or satisfied hereunder at or prior to the Closing Date or the Additional Closing Date, as the case may be, and (iii) to the effect set forth in paragraphs (a) and (d) above.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 and CFO Certificates.</w:t>
      </w:r>
      <w:r>
        <w:rPr>
          <w:rFonts w:ascii="Times New Roman" w:hAnsi="Times New Roman"/>
          <w:sz w:val="20"/>
        </w:rPr>
        <w:t xml:space="preserve"> (i) On the date of this Agreement and on the Closing Date or the Additional Closing Date, as the 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 Parties.</w:t>
      </w:r>
      <w:r>
        <w:rPr>
          <w:rFonts w:ascii="Times New Roman" w:hAnsi="Times New Roman"/>
          <w:sz w:val="20"/>
        </w:rPr>
        <w:t xml:space="preserve"> Weil, Gotshal &amp; Manges LLP, counsel for the Company Parties, shall have furnished to the Representatives, at the request of the Company Parties, their written opinion and 10b-5 statement, dated the Closing Date or the Additional Closing Date, as the case may be, and addressed to the Underwriters, in form and substance reasonably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and 10b-5 Statement of Counsel for the Underwriters.</w:t>
      </w:r>
      <w:r>
        <w:rPr>
          <w:rFonts w:ascii="Times New Roman" w:hAnsi="Times New Roman"/>
          <w:sz w:val="20"/>
        </w:rPr>
        <w:t xml:space="preserve"> The Representatives shall have received on and as of the Closing Date or the Additional Closing Date, as the case may be, an opinion and 10b-5 statement, addressed to the Underwriters, of Latham &amp; Watkins LLP, counsel for the Underwriters, with respect to such matters as the Representatives may reasonably request, and such counsel shall have received such documents and information as they may reasonably request to enable them to pass upon such matters.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Legal Impediment to Issuance and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Shares by the Company; and no injunction or order of any federal, state or foreign court shall have been issued that would, as of the Closing Date or the Additional Closing Date, as the case may be, prevent the issuance or sale of the Shares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Good Standing</w:t>
      </w:r>
      <w:r>
        <w:rPr>
          <w:rFonts w:ascii="Times New Roman" w:hAnsi="Times New Roman"/>
          <w:sz w:val="20"/>
        </w:rPr>
        <w:t xml:space="preserve">. The Representatives shall have received on and as of the Closing Date or the Additional Closing Date, as the case may 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Exchange Listing. </w:t>
      </w:r>
      <w:r>
        <w:rPr>
          <w:rFonts w:ascii="Times New Roman" w:hAnsi="Times New Roman"/>
          <w:sz w:val="20"/>
        </w:rPr>
        <w:t xml:space="preserve">The Shares to be delivered on the Closing Date or the Additional Closing Date, as the case may be, shall have been approved for listing on the Exchange, subject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Lock-up Agreements</w:t>
      </w:r>
      <w:r>
        <w:rPr>
          <w:rFonts w:ascii="Times New Roman" w:hAnsi="Times New Roman"/>
          <w:sz w:val="20"/>
        </w:rPr>
        <w:t xml:space="preserve">. The “lock-up” agreements, each substantially in the form of Exhibit D hereto, between the Representatives and certain shareholders, officers and directors of the Company, relating to sales and certain other dispositions of shares of Stock or certain other securities, delivered to the Representatives on or before the date hereof, shall be full force and effect on the Closing Date or the Additional Closing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Additional Documents.</w:t>
      </w:r>
      <w:r>
        <w:rPr>
          <w:rFonts w:ascii="Times New Roman" w:hAnsi="Times New Roman"/>
          <w:sz w:val="20"/>
        </w:rPr>
        <w:t xml:space="preserve"> On or prior to the Closing Date or the Additional Closing Date, as the case may be, the Company shall have furnished to the Representatives such further certificates and documents as the Representatives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Organizational Transactions</w:t>
      </w:r>
      <w:r>
        <w:rPr>
          <w:rFonts w:ascii="Times New Roman" w:hAnsi="Times New Roman"/>
          <w:sz w:val="20"/>
        </w:rPr>
        <w:t xml:space="preserve">. Prior to or substantially concurrent with the Closing Date, the Organizational Transactions shall have been consummated in a manner substantially consistent with the description thereof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No Objection</w:t>
      </w:r>
      <w:r>
        <w:rPr>
          <w:rFonts w:ascii="Times New Roman" w:hAnsi="Times New Roman"/>
          <w:sz w:val="20"/>
        </w:rPr>
        <w:t xml:space="preserve">. FINRA has confirmed that it has not raised any objection with respect to the fairness and reasonableness of the underwriting terms and arrangements relating to the offering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Parties, jointly and severally, agree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prepared, distributed or authorized by the Company,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 Parties.</w:t>
      </w:r>
      <w:r>
        <w:rPr>
          <w:rFonts w:ascii="Times New Roman" w:hAnsi="Times New Roman"/>
          <w:sz w:val="20"/>
        </w:rPr>
        <w:t xml:space="preserve"> Each Underwriter agrees, severally and not jointly, to indemnify and hold harmless each Company Party, its directors, its officers who signed the Registration Statement and each person, if any, who controls a Company Party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thirteenth and fourteenth paragraphs under the caption “Underwriting.”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and documented fees and expenses of more than one separate firm (in addition to any local counsel) for all Indemnified Persons, and that all such reasonable and documented fees and expenses shall be paid or reimbursed promptly after they are incurred. Any such separate firm for any Underwriter, its affiliates, directors and officers and any control persons of such Underwriter shall be designated in writing by the Representatives and any such separate firm for the Company Parties, their directors, their officers who signed the Registration Statement and any control persons of a Company Party shall be designated in writing by the Company. The Indemnifying Person shall not be liable for any settlement of any proceeding effected without its written consent, which shall not be unreasonably withheld, delayed or conditioned,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45 days after receipt by the Indemnifying Person of such request and (ii) the Indemnifying Person shall not have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Parties,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Parties, on the one hand, and the Underwriters on the other, in connection with the statements or omissions that resulted in such losses, claims, damages or liabilities, as well as any other relevant equitable considerations. The relative benefits received by the Company Parties, on the one hand, and the Underwriters on the other, shall be deemed to be in the same respective proportions as the net proceeds (before deducting expenses) received by the Company Parties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Parties,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Parties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Limitation on Liability.</w:t>
      </w:r>
      <w:r>
        <w:rPr>
          <w:rFonts w:ascii="Times New Roman" w:hAnsi="Times New Roman"/>
          <w:sz w:val="20"/>
        </w:rPr>
        <w:t xml:space="preserve"> The Company Parties and the Underwriters agree that it would not be just and equitable if contribution pursuant to paragraph (d)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Non-Exclusive Remedies.</w:t>
      </w:r>
      <w:r>
        <w:rPr>
          <w:rFonts w:ascii="Times New Roman" w:hAnsi="Times New Roman"/>
          <w:sz w:val="20"/>
        </w:rPr>
        <w:t xml:space="preserve"> The remedies provided for in this Section 7 paragraphs (a) through (e)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may be terminated in the absolute discretion of the Representatives, by notice to the Company Parties,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any Company Party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Parties, except that the Company Parties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Parties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Parties will pay or cause to be paid all costs and expenses incident to the performance of their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(vi) the cost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preparing stock certificates; (vii) the costs and charges of any transfer agent and any registrar; (viii) all expenses and application fees incurred in connection with any filing with, and clearance of the offering by, FINRA (including the related fees and expenses of counsel for the Underwriters); provided that the fees and expenses pursuant to clauses (v) and (viii) shall not, in the aggregate, exceed $40,000; (ix) all expenses incurred by the Company in connection with any “road show” presentation to potential investors, </w:t>
      </w:r>
      <w:r>
        <w:rPr>
          <w:rFonts w:ascii="Times New Roman" w:hAnsi="Times New Roman"/>
          <w:sz w:val="20"/>
          <w:u w:val="single"/>
        </w:rPr>
        <w:t>provided</w:t>
      </w:r>
      <w:r>
        <w:rPr>
          <w:rFonts w:ascii="Times New Roman" w:hAnsi="Times New Roman"/>
          <w:sz w:val="20"/>
        </w:rPr>
        <w:t xml:space="preserve"> that fifty percent (50%) of the cost of any chartered aircraft or other means of transportation chartered in connection with the road show will be paid by the Underwriters; and (x) all expenses and application fees related to the listing of the Shares on the Exchange.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9, (ii) the Company for any reason fails to tender the Shares for delivery to the Underwriters or (iii) the Underwriters decline to purchase the Shares for any reason permitted under this Agreement, the Company Parties agree to reimburse the Underwriters for all reasonable and documented out-of-pocket costs and expenses (including the reasonable and documented fees and expenses of their counsel) actually incurred by the Underwriters in connection with this Agreement and the offering contemplated hereby; provided that in the case of a termination pursuant to Section 10(c) hereto, the Company shall only reimburse the non-defaulting Underwriters.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Parties and the Underwriters contained in this Agreement or made by or on behalf of the Company Parties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Parties or the Underwriters or the directors, officers, controlling persons or affiliates referred to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Parties,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Jefferies LLC, 520 Madison Avenue, New York, New York 10022, Attention: General Counsel or c/o J.P. Morgan Securities LLC, 270 Park Avenue, New York, New York 10017 (fax: (212) 622-8358); Attention Equity Syndicate Desk. Notices to the Company Parties shall be given at 16680 W. Bernardo Drive San Diego, CA 92127, Attn: Chief Legal Officer.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Each of the Company Parties hereby submits to the exclusive jurisdiction of the U.S. federal and New York state courts in the Borough of Manhattan in The City of New York in any suit or proceeding arising out of or relating to this Agreement or the transactions contemplated hereby. Each of the Company Parties waives any objection which it may now or hereafter have to the laying of venue of any such suit or proceeding in such courts. Each of the Company Parties agrees that final judgment in any such suit, action or proceeding brought in such court shall be conclusive and binding upon the Company Parties and may be enforced in any court to the jurisdiction of which each Company Party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used in this Section 16(e):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The words “execution,” “signed,” “signature,” and words of like import in this Agreement or in any other certificate, agreement or document related to this Agreement or the offering and sale of the Shares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SOLV Energy,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Chad Plotkin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SOLV Energy Holdings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Chad Plotkin</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JEFFERIES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Ashley Walker</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center"/>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themselves and on behalf of</w:t>
            </w:r>
          </w:p>
          <w:p>
            <w:pPr>
              <w:pStyle w:val="TableContents"/>
              <w:bidi w:val="0"/>
              <w:spacing w:before="0" w:after="0"/>
              <w:jc w:val="left"/>
              <w:rPr>
                <w:rFonts w:ascii="Times New Roman" w:hAnsi="Times New Roman"/>
                <w:sz w:val="20"/>
              </w:rPr>
            </w:pPr>
            <w:r>
              <w:rPr>
                <w:rFonts w:ascii="Times New Roman" w:hAnsi="Times New Roman"/>
                <w:sz w:val="20"/>
              </w:rPr>
              <w:t>the several Underwriters</w:t>
            </w:r>
          </w:p>
          <w:p>
            <w:pPr>
              <w:pStyle w:val="TableContents"/>
              <w:bidi w:val="0"/>
              <w:spacing w:before="0" w:after="20"/>
              <w:jc w:val="left"/>
              <w:rPr>
                <w:rFonts w:ascii="Times New Roman" w:hAnsi="Times New Roman"/>
                <w:sz w:val="20"/>
              </w:rPr>
            </w:pPr>
            <w:r>
              <w:rPr>
                <w:rFonts w:ascii="Times New Roman" w:hAnsi="Times New Roman"/>
                <w:sz w:val="20"/>
              </w:rPr>
              <w:t>listed in Schedule 1 hereto.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Isabelle Trimble</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center"/>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themselves and on behalf of</w:t>
            </w:r>
          </w:p>
          <w:p>
            <w:pPr>
              <w:pStyle w:val="TableContents"/>
              <w:bidi w:val="0"/>
              <w:spacing w:before="0" w:after="0"/>
              <w:jc w:val="left"/>
              <w:rPr>
                <w:rFonts w:ascii="Times New Roman" w:hAnsi="Times New Roman"/>
                <w:sz w:val="20"/>
              </w:rPr>
            </w:pPr>
            <w:r>
              <w:rPr>
                <w:rFonts w:ascii="Times New Roman" w:hAnsi="Times New Roman"/>
                <w:sz w:val="20"/>
              </w:rPr>
              <w:t>the several Underwriters</w:t>
            </w:r>
          </w:p>
          <w:p>
            <w:pPr>
              <w:pStyle w:val="TableContents"/>
              <w:bidi w:val="0"/>
              <w:spacing w:before="0" w:after="20"/>
              <w:jc w:val="left"/>
              <w:rPr>
                <w:rFonts w:ascii="Times New Roman" w:hAnsi="Times New Roman"/>
                <w:sz w:val="20"/>
              </w:rPr>
            </w:pPr>
            <w:r>
              <w:rPr>
                <w:rFonts w:ascii="Times New Roman" w:hAnsi="Times New Roman"/>
                <w:sz w:val="20"/>
              </w:rPr>
              <w:t>listed in Schedule 1 hereto.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52"/>
        <w:gridCol w:w="408"/>
        <w:gridCol w:w="90"/>
        <w:gridCol w:w="1693"/>
        <w:gridCol w:w="62"/>
      </w:tblGrid>
      <w:tr>
        <w:trPr/>
        <w:tc>
          <w:tcPr>
            <w:tcW w:w="7952"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95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408"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5,582,150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5,582,150</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1,320,200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1,320,200</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1,320,200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Robert W. Baird &amp; Co. Incorporated</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943,000</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943,000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943,000</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Nomura Securities International, Inc.</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895,850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WR Securities, LLC</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47,150</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CIBC World Capital Markets Corp.</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754,400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Roth Capital Partners, LLC</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754,400</w:t>
            </w:r>
          </w:p>
        </w:tc>
        <w:tc>
          <w:tcPr>
            <w:tcW w:w="62" w:type="dxa"/>
            <w:tcBorders/>
            <w:vAlign w:val="bottom"/>
          </w:tcPr>
          <w:p>
            <w:pPr>
              <w:pStyle w:val="TableContents"/>
              <w:bidi w:val="0"/>
              <w:spacing w:before="0" w:after="283"/>
              <w:jc w:val="left"/>
              <w:rPr/>
            </w:pPr>
            <w:r>
              <w:rPr/>
              <w:t> </w:t>
            </w:r>
          </w:p>
        </w:tc>
      </w:tr>
      <w:tr>
        <w:trPr/>
        <w:tc>
          <w:tcPr>
            <w:tcW w:w="79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40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94,300</w:t>
            </w:r>
          </w:p>
        </w:tc>
        <w:tc>
          <w:tcPr>
            <w:tcW w:w="62" w:type="dxa"/>
            <w:tcBorders/>
            <w:shd w:fill="CCEEFF" w:val="clear"/>
            <w:vAlign w:val="bottom"/>
          </w:tcPr>
          <w:p>
            <w:pPr>
              <w:pStyle w:val="TableContents"/>
              <w:bidi w:val="0"/>
              <w:spacing w:before="0" w:after="283"/>
              <w:jc w:val="left"/>
              <w:rPr/>
            </w:pPr>
            <w:r>
              <w:rPr/>
              <w:t> </w:t>
            </w:r>
          </w:p>
        </w:tc>
      </w:tr>
      <w:tr>
        <w:trPr/>
        <w:tc>
          <w:tcPr>
            <w:tcW w:w="7952"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6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20,500,000</w:t>
            </w:r>
          </w:p>
        </w:tc>
        <w:tc>
          <w:tcPr>
            <w:tcW w:w="62" w:type="dxa"/>
            <w:tcBorders/>
            <w:vAlign w:val="bottom"/>
          </w:tcPr>
          <w:p>
            <w:pPr>
              <w:pStyle w:val="TableContents"/>
              <w:bidi w:val="0"/>
              <w:spacing w:before="0" w:after="283"/>
              <w:jc w:val="left"/>
              <w:rPr/>
            </w:pPr>
            <w:r>
              <w:rPr/>
              <w:t> </w:t>
            </w:r>
          </w:p>
        </w:tc>
      </w:tr>
      <w:tr>
        <w:trPr/>
        <w:tc>
          <w:tcPr>
            <w:tcW w:w="7952"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double" w:sz="6" w:space="1" w:color="000000"/>
              </w:pBdr>
              <w:bidi w:val="0"/>
              <w:spacing w:before="0" w:after="0"/>
              <w:jc w:val="left"/>
              <w:rPr/>
            </w:pPr>
            <w:r>
              <w:rPr/>
              <w:t> </w:t>
            </w:r>
          </w:p>
        </w:tc>
        <w:tc>
          <w:tcPr>
            <w:tcW w:w="169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Pricing Disclosure Package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Pricing Information Provided Orally by Underwriters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Public Offering Price: $25.00 </w:t>
      </w:r>
    </w:p>
    <w:p>
      <w:pPr>
        <w:pStyle w:val="TextBody"/>
        <w:bidi w:val="0"/>
        <w:spacing w:before="120" w:after="0"/>
        <w:jc w:val="left"/>
        <w:rPr>
          <w:rFonts w:ascii="Times New Roman" w:hAnsi="Times New Roman"/>
          <w:sz w:val="20"/>
        </w:rPr>
      </w:pPr>
      <w:r>
        <w:rPr>
          <w:rFonts w:ascii="Times New Roman" w:hAnsi="Times New Roman"/>
          <w:sz w:val="20"/>
        </w:rPr>
        <w:t xml:space="preserve">Number of Underwritten Shares: 20,500,000 </w:t>
      </w:r>
    </w:p>
    <w:p>
      <w:pPr>
        <w:pStyle w:val="TextBody"/>
        <w:bidi w:val="0"/>
        <w:spacing w:before="120" w:after="0"/>
        <w:jc w:val="left"/>
        <w:rPr>
          <w:rFonts w:ascii="Times New Roman" w:hAnsi="Times New Roman"/>
          <w:sz w:val="20"/>
        </w:rPr>
      </w:pPr>
      <w:r>
        <w:rPr>
          <w:rFonts w:ascii="Times New Roman" w:hAnsi="Times New Roman"/>
          <w:sz w:val="20"/>
        </w:rPr>
        <w:t xml:space="preserve">Number of Option Shares: 3,075,000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Written Testing-the-Waters Communications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Testing-the-Waters Presentation dated September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Testing-the-Waters Presentation dated December 2025.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TESTING THE WATERS AUTHORIZATION </w:t>
      </w:r>
    </w:p>
    <w:p>
      <w:pPr>
        <w:pStyle w:val="TextBody"/>
        <w:bidi w:val="0"/>
        <w:spacing w:before="120" w:after="0"/>
        <w:jc w:val="center"/>
        <w:rPr>
          <w:rFonts w:ascii="Times New Roman" w:hAnsi="Times New Roman"/>
          <w:sz w:val="20"/>
        </w:rPr>
      </w:pPr>
      <w:r>
        <w:rPr>
          <w:rFonts w:ascii="Times New Roman" w:hAnsi="Times New Roman"/>
          <w:sz w:val="20"/>
        </w:rPr>
        <w:t xml:space="preserve">(to be delivered by the Company to Jefferies and J.P. Morgan in email or letter form) </w:t>
      </w:r>
    </w:p>
    <w:p>
      <w:pPr>
        <w:pStyle w:val="TextBody"/>
        <w:bidi w:val="0"/>
        <w:spacing w:before="240" w:after="0"/>
        <w:jc w:val="left"/>
        <w:rPr>
          <w:rFonts w:ascii="Times New Roman" w:hAnsi="Times New Roman"/>
          <w:sz w:val="20"/>
        </w:rPr>
      </w:pPr>
      <w:r>
        <w:rPr>
          <w:rFonts w:ascii="Times New Roman" w:hAnsi="Times New Roman"/>
          <w:sz w:val="20"/>
        </w:rPr>
        <w:t xml:space="preserve">In reliance on Rule 163B under the Securities Act of 1933, as amended (the “Act”), SOLV Energy, Inc. (the “Issuer”) hereby authorizes Jefferies LLC (“Jefferies”) and its affiliates and their respective employees and J.P. Morgan Securities LLC (“J.P. Morgan”) and its affiliates and their respective employees to engage on behalf of the Issuer in oral and written communications with potential investors that are reasonably believed to be “qualified institutional buyers”, as defined in Rule 144A under the Act, or institutions that are “accredited investors”, within the meaning of Rule 501(a)(1), (a)(2), (a)(3), (a)(7), (a)(8), (a)(9), (a)(12) or (a)(13) under the Act, to determine whether such investors might have an interest in the Issuer’s contemplated initial public offering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 “Written Testing-the Waters Communication” means any Testing-the-Waters Communication that is a written communication within the meaning of Rule 405 under the Act. Each of Jefferies and J.P. Morgan, individually and not jointly, agrees that it shall not distribute any Written Testing-the-Waters Communication that has not been approved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Jefferies and J.P. Morgan and will promptly amend or supplement, at its own expense, such Written Testing-the-Waters Communication to eliminate or correct such untrue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As discussed, as part of our TTW authorized communications, we will be offering certain TTW investors the opportunity for a pre-meeting to provide some helpful background in advance of their meetings with Jefferies and J.P. Morgan.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authorization is intended to limit or otherwise affect the ability of Jefferies and J.P. Morgan, their affiliates and their affiliates’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Jefferies and J.P. Morgan a written notice revoking this authorization. All notices as described herein shall be sent by email to the attention of, for Jefferies, George O’Leary at goleary@jefferies.com, with copies to Ashley Delp Walker at adelp@jefferies.com and Lawson Penney at lawson.penney@jefferies.com; and for J.P. Morgan, Lucy Brash at lucy.j.brash@jpmorgan.com.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Waiver of Lock-up] </w:t>
      </w:r>
    </w:p>
    <w:p>
      <w:pPr>
        <w:pStyle w:val="TextBody"/>
        <w:bidi w:val="0"/>
        <w:spacing w:before="12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sz w:val="20"/>
        </w:rPr>
      </w:pPr>
      <w:r>
        <w:rPr>
          <w:rFonts w:ascii="Times New Roman" w:hAnsi="Times New Roman"/>
          <w:sz w:val="20"/>
        </w:rPr>
        <w:t xml:space="preserve">Public Offering of Class A Common Stock </w:t>
      </w:r>
    </w:p>
    <w:p>
      <w:pPr>
        <w:pStyle w:val="TextBody"/>
        <w:bidi w:val="0"/>
        <w:spacing w:before="240" w:after="0"/>
        <w:jc w:val="right"/>
        <w:rPr>
          <w:rFonts w:ascii="Times New Roman" w:hAnsi="Times New Roman"/>
          <w:sz w:val="20"/>
        </w:rPr>
      </w:pPr>
      <w:r>
        <w:rPr>
          <w:rFonts w:ascii="Times New Roman" w:hAnsi="Times New Roman"/>
          <w:sz w:val="20"/>
        </w:rPr>
        <w:t xml:space="preserve">[    ], 20[ ] </w:t>
      </w:r>
    </w:p>
    <w:p>
      <w:pPr>
        <w:pStyle w:val="TextBody"/>
        <w:bidi w:val="0"/>
        <w:spacing w:before="240" w:after="0"/>
        <w:jc w:val="left"/>
        <w:rPr>
          <w:rFonts w:ascii="Times New Roman" w:hAnsi="Times New Roman"/>
          <w:sz w:val="20"/>
        </w:rPr>
      </w:pPr>
      <w:r>
        <w:rPr>
          <w:rFonts w:ascii="Times New Roman" w:hAnsi="Times New Roman"/>
          <w:sz w:val="20"/>
        </w:rPr>
        <w:t xml:space="preserve">[Name and Address of </w:t>
      </w:r>
    </w:p>
    <w:p>
      <w:pPr>
        <w:pStyle w:val="TextBody"/>
        <w:bidi w:val="0"/>
        <w:spacing w:before="0" w:after="0"/>
        <w:jc w:val="left"/>
        <w:rPr>
          <w:rFonts w:ascii="Times New Roman" w:hAnsi="Times New Roman"/>
          <w:sz w:val="20"/>
        </w:rPr>
      </w:pPr>
      <w:r>
        <w:rPr>
          <w:rFonts w:ascii="Times New Roman" w:hAnsi="Times New Roman"/>
          <w:sz w:val="20"/>
        </w:rPr>
        <w:t xml:space="preserve">Officer or Director </w:t>
      </w:r>
    </w:p>
    <w:p>
      <w:pPr>
        <w:pStyle w:val="TextBody"/>
        <w:bidi w:val="0"/>
        <w:spacing w:before="0" w:after="0"/>
        <w:jc w:val="left"/>
        <w:rPr>
          <w:rFonts w:ascii="Times New Roman" w:hAnsi="Times New Roman"/>
          <w:sz w:val="20"/>
        </w:rPr>
      </w:pPr>
      <w:r>
        <w:rPr>
          <w:rFonts w:ascii="Times New Roman" w:hAnsi="Times New Roman"/>
          <w:sz w:val="20"/>
        </w:rPr>
        <w:t xml:space="preserve">Requesting Waiver] </w:t>
      </w:r>
    </w:p>
    <w:p>
      <w:pPr>
        <w:pStyle w:val="TextBody"/>
        <w:bidi w:val="0"/>
        <w:spacing w:before="240" w:after="0"/>
        <w:jc w:val="left"/>
        <w:rPr>
          <w:rFonts w:ascii="Times New Roman" w:hAnsi="Times New Roman"/>
          <w:sz w:val="20"/>
        </w:rPr>
      </w:pPr>
      <w:r>
        <w:rPr>
          <w:rFonts w:ascii="Times New Roman" w:hAnsi="Times New Roman"/>
          <w:sz w:val="20"/>
        </w:rPr>
        <w:t xml:space="preserve">Dear Mr./Ms. [Name]: </w:t>
      </w:r>
    </w:p>
    <w:p>
      <w:pPr>
        <w:pStyle w:val="TextBody"/>
        <w:bidi w:val="0"/>
        <w:spacing w:before="240" w:after="0"/>
        <w:jc w:val="left"/>
        <w:rPr>
          <w:rFonts w:ascii="Times New Roman" w:hAnsi="Times New Roman"/>
          <w:sz w:val="20"/>
        </w:rPr>
      </w:pPr>
      <w:r>
        <w:rPr>
          <w:rFonts w:ascii="Times New Roman" w:hAnsi="Times New Roman"/>
          <w:sz w:val="20"/>
        </w:rPr>
        <w:t xml:space="preserve">This letter is being delivered to you in connection with the offering by SOLV Energy, Inc. (the “Company”) of _______ shares of Class A common stock, $0.0001 par value (the “Class A Common Stock”), of the Company and the lock-up letter dated ________________, 2026 (the “Lock-up Letter”), executed by you in connection with such offering, and your request for a [waiver] [release] dated ________________, 20____, with respect to _______ shares of Class A Common Stock (the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J.P. Morgan Securities LLC hereby agree to [waive] [release] the transfer restrictions set forth in the Lock-up Letter, but only with respect to the Shares, effective ________________, 20____;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[waived] [released] hereby, the Lock-up Letter shall remain in full force and effect.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Yours very truly,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JEFFERIES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center"/>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center"/>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cc: SOLV Energy, Inc.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Press Release]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w:t>
      </w:r>
    </w:p>
    <w:p>
      <w:pPr>
        <w:pStyle w:val="TextBody"/>
        <w:bidi w:val="0"/>
        <w:spacing w:before="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a Delaware corporation (the “Company”) announced today that Jefferies LLC and J.P. Morgan Securities LLC, the lead book-running managers in the Company’s recent public sale of ________ shares of Class A common stock, is [waiving] [releasing] a lock-up restriction with respect to ________ shares of the Company’s common stock held by [certain officers or directors] [an officer or director] of the Company. The [waiver] [release] will take effect on ________________, 20____, and the shares may be sold on or after such date. </w:t>
      </w:r>
    </w:p>
    <w:p>
      <w:pPr>
        <w:pStyle w:val="TextBody"/>
        <w:bidi w:val="0"/>
        <w:spacing w:before="360" w:after="0"/>
        <w:jc w:val="left"/>
        <w:rPr>
          <w:rFonts w:ascii="Times New Roman" w:hAnsi="Times New Roman"/>
          <w:b/>
          <w:sz w:val="20"/>
        </w:rPr>
      </w:pPr>
      <w:r>
        <w:rPr>
          <w:rFonts w:ascii="Times New Roman" w:hAnsi="Times New Roman"/>
          <w:b/>
          <w:sz w:val="20"/>
        </w:rPr>
        <w:t xml:space="preserve">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D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10,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Representatives of the several Underwriters listed in </w:t>
      </w:r>
    </w:p>
    <w:p>
      <w:pPr>
        <w:pStyle w:val="TextBody"/>
        <w:bidi w:val="0"/>
        <w:spacing w:before="0" w:after="0"/>
        <w:jc w:val="left"/>
        <w:rPr>
          <w:rFonts w:ascii="Times New Roman" w:hAnsi="Times New Roman"/>
          <w:sz w:val="20"/>
        </w:rPr>
      </w:pPr>
      <w:r>
        <w:rPr>
          <w:rFonts w:ascii="Times New Roman" w:hAnsi="Times New Roman"/>
          <w:sz w:val="20"/>
        </w:rPr>
        <w:t xml:space="preserve">Schedule 1 to the Underwriting Agreement 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Re: SOLV Energy, Inc. —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Representatives of the several Underwriters, propose to enter into an underwriting agreement (the “Underwriting Agreement”) with SOLV Energy, Inc., a Delaware corporation (the “Company”), and SOLV Energy Holdings LLC, a Delaware limited liability company (“Opco”), providing for the public offering (the “Public Offering”) by the several Underwriters named in Schedule 1 to the Underwriting Agreement (the “Underwriters”), of shares of Class A common stock, par value $0.0001 per share, of the Company (the “Securities”).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Representatives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Class A common stock, par value $0.0001 per share, of the Company (the “Common Stock”) or any securities convertible into or exercisable or exchangeable for Common Stock (including without limitation, Common Stock or such other securities which may be deemed to be beneficially owned by the undersigned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provided that, to the extent the undersigned has demand and/or piggyback registration rights, the foregoing shall not prohibit the undersigned from notifying the Company privately that it is or will be exercising its demand and/or piggyback registration rights following the expiration of the Restricted Period and undertaking any preparations related thereto, including a confidential submission of a registration statement so long as no public announcement is made regarding the submission or transaction during the Restricted Period and the Company promptly notifies the Representatives of the submission or transaction,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the undersigned’s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(i) as a bona fide gift or gifts, or for bona fide estate planning purposes, including, without limitation, to charitable organizations or education institutions, </w:t>
      </w:r>
    </w:p>
    <w:p>
      <w:pPr>
        <w:pStyle w:val="TextBody"/>
        <w:bidi w:val="0"/>
        <w:spacing w:before="240" w:after="0"/>
        <w:jc w:val="left"/>
        <w:rPr>
          <w:rFonts w:ascii="Times New Roman" w:hAnsi="Times New Roman"/>
          <w:sz w:val="20"/>
        </w:rPr>
      </w:pPr>
      <w:r>
        <w:rPr>
          <w:rFonts w:ascii="Times New Roman" w:hAnsi="Times New Roman"/>
          <w:sz w:val="20"/>
        </w:rPr>
        <w:t xml:space="preserve">(ii) by will or intestacy, </w:t>
      </w:r>
    </w:p>
    <w:p>
      <w:pPr>
        <w:pStyle w:val="TextBody"/>
        <w:bidi w:val="0"/>
        <w:spacing w:before="240" w:after="0"/>
        <w:jc w:val="left"/>
        <w:rPr>
          <w:rFonts w:ascii="Times New Roman" w:hAnsi="Times New Roman"/>
          <w:sz w:val="20"/>
        </w:rPr>
      </w:pPr>
      <w:r>
        <w:rPr>
          <w:rFonts w:ascii="Times New Roman" w:hAnsi="Times New Roman"/>
          <w:sz w:val="20"/>
        </w:rPr>
        <w:t xml:space="preserve">(iii) to any immediate family member, or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(iv) to a partnership, limited liability company or other entity of which the undersigned and the immediate family of the undersigned are the legal and beneficial owner of all of the outstanding equity securities or similar interests, </w:t>
      </w:r>
    </w:p>
    <w:p>
      <w:pPr>
        <w:pStyle w:val="TextBody"/>
        <w:bidi w:val="0"/>
        <w:spacing w:before="240" w:after="0"/>
        <w:jc w:val="left"/>
        <w:rPr>
          <w:rFonts w:ascii="Times New Roman" w:hAnsi="Times New Roman"/>
          <w:sz w:val="20"/>
        </w:rPr>
      </w:pPr>
      <w:r>
        <w:rPr>
          <w:rFonts w:ascii="Times New Roman" w:hAnsi="Times New Roman"/>
          <w:sz w:val="20"/>
        </w:rPr>
        <w:t xml:space="preserve">(v) to a nominee or custodian of a person or entity to whom a disposition or transfer would be permissible under clauses (i) through (iv)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transfer or disposition to members, limited partners, affiliates or shareholders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or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(viii) to the Company or its affiliates from an employee of the Company upon death, disability or termination of employment, in each case, of such employee, </w:t>
      </w:r>
    </w:p>
    <w:p>
      <w:pPr>
        <w:pStyle w:val="TextBody"/>
        <w:bidi w:val="0"/>
        <w:spacing w:before="240" w:after="0"/>
        <w:jc w:val="left"/>
        <w:rPr>
          <w:rFonts w:ascii="Times New Roman" w:hAnsi="Times New Roman"/>
          <w:sz w:val="20"/>
        </w:rPr>
      </w:pPr>
      <w:r>
        <w:rPr>
          <w:rFonts w:ascii="Times New Roman" w:hAnsi="Times New Roman"/>
          <w:sz w:val="20"/>
        </w:rPr>
        <w:t xml:space="preserve">(ix) as part of a sale of the undersigned’s Lock-Up Securities acquired in open market transactions after the closing date for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(x)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(xi)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similar transaction is not completed, the undersigned’s Lock-Up Securities shall remain subject to the provisions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(xii) in any redemption, conversion or exchange of common units of Opco and a corresponding number of shares of Class B common stock, par value $0.0001 per share, of the Company, into or for shares of Class A Common Stock (or securities convertible into or exercisable or exchangeable for Class A Common Stock) in a manner consistent with the provisions therefor set forth in the Prospectus (an “Exchange”); </w:t>
      </w:r>
      <w:r>
        <w:rPr>
          <w:rFonts w:ascii="Times New Roman" w:hAnsi="Times New Roman"/>
          <w:sz w:val="20"/>
          <w:u w:val="single"/>
        </w:rPr>
        <w:t>provided</w:t>
      </w:r>
      <w:r>
        <w:rPr>
          <w:rFonts w:ascii="Times New Roman" w:hAnsi="Times New Roman"/>
          <w:sz w:val="20"/>
        </w:rPr>
        <w:t xml:space="preserve">, that any shares of Class A Common Stock or other securities received upon such Exchange shall remain subject to the terms of this Letter Agreement for the remainder of the Restricted Period,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 Exchange pursuant to this clause (xii) shall only be permitted in connection with another transfer, disposition or sale of Lock-Up Securities that is otherwise permitted under this Letter Agreement;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in any conversion, reclassification, redemption or exchange of Class A Common Stock (or any securities convertible into or exercisable or exchangeable for Class A Common Stock) or such other securities to the Company or any of its affiliates in connection with the Organizational Transactions, as described in the Registration Statement, Pricing Disclosure Package and Prospectus relating to the Public Offering;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 (i), (iii), (iv), (v), (vi), (ix) and (x),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or Schedule 13D, Schedule 13D/A, Schedule 13G, Schedule 13G/A or Form 13F and any amendments thereto, each of which shall clearly indicate therein the nature and conditions of such transfer) and (C) in the case of any transfer or distribution pursuant to clause (a)(ii), (vii)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(b) 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(d) establish or modify trading plans pursuant to Rule 10b5-1 under the Exchange Act for the transfer of shares of Lock-Up Securities; </w:t>
      </w:r>
      <w:r>
        <w:rPr>
          <w:rFonts w:ascii="Times New Roman" w:hAnsi="Times New Roman"/>
          <w:sz w:val="20"/>
          <w:u w:val="single"/>
        </w:rPr>
        <w:t>provided</w:t>
      </w:r>
      <w:r>
        <w:rPr>
          <w:rFonts w:ascii="Times New Roman" w:hAnsi="Times New Roman"/>
          <w:sz w:val="20"/>
        </w:rPr>
        <w:t xml:space="preserve"> that (1) such plans do not provide for the transfer of Lock-Up Securities during the Restricted Period and (2) no filing by any party under the Exchange Act or other public announcement shall be made voluntarily in connection with such trading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undersigned is an officer or director of the Company, the undersigned further agrees that the foregoing provisions shall be equally applicable to any Company-directed Securities the undersigned may purchase in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the Representatives, on behalf of the Underwriters, agree that, at least three business days before the effective date of any release or waiver of the foregoing restrictions in connection with a transfer of shares of Lock-Up Securities, the Representatives, on behalf of the Underwriters, will notify the Company of the impending release or waiver; provided that the failure to give such notice shall not give rise to any claim or liability against the Underwriters, and (ii) the Company has agreed in the Underwriting Agreement to announce the impending release or waiver through a major news service at least two business days before the effective date of the release or waiver. Any release or waiver granted by the Representatives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enter into this Letter Agreement, and nothing set forth in such disclosures is intended to suggest that the Representatives or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Underwriting Agreement does not become effective by May 10, 2026,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61"/>
        <w:gridCol w:w="106"/>
        <w:gridCol w:w="4174"/>
        <w:gridCol w:w="106"/>
        <w:gridCol w:w="847"/>
        <w:gridCol w:w="106"/>
        <w:gridCol w:w="4005"/>
      </w:tblGrid>
      <w:tr>
        <w:trPr/>
        <w:tc>
          <w:tcPr>
            <w:tcW w:w="86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7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5" w:type="dxa"/>
            <w:tcBorders/>
          </w:tcPr>
          <w:p>
            <w:pPr>
              <w:pStyle w:val="TableContents"/>
              <w:bidi w:val="0"/>
              <w:spacing w:before="0" w:after="283"/>
              <w:jc w:val="left"/>
              <w:rPr/>
            </w:pPr>
            <w:r>
              <w:rPr/>
              <w:t>Very truly yours,</w:t>
            </w:r>
          </w:p>
        </w:tc>
      </w:tr>
      <w:tr>
        <w:trPr>
          <w:trHeight w:val="240" w:hRule="atLeast"/>
        </w:trPr>
        <w:tc>
          <w:tcPr>
            <w:tcW w:w="5141" w:type="dxa"/>
            <w:gridSpan w:val="3"/>
            <w:tcBorders/>
            <w:vAlign w:val="center"/>
          </w:tcPr>
          <w:p>
            <w:pPr>
              <w:pStyle w:val="TableContents"/>
              <w:bidi w:val="0"/>
              <w:spacing w:before="0" w:after="283"/>
              <w:jc w:val="left"/>
              <w:rPr>
                <w:sz w:val="4"/>
                <w:szCs w:val="4"/>
              </w:rPr>
            </w:pPr>
            <w:r>
              <w:rPr>
                <w:sz w:val="4"/>
                <w:szCs w:val="4"/>
              </w:rPr>
            </w:r>
          </w:p>
        </w:tc>
        <w:tc>
          <w:tcPr>
            <w:tcW w:w="5064" w:type="dxa"/>
            <w:gridSpan w:val="4"/>
            <w:tcBorders/>
            <w:vAlign w:val="center"/>
          </w:tcPr>
          <w:p>
            <w:pPr>
              <w:pStyle w:val="TableContents"/>
              <w:bidi w:val="0"/>
              <w:spacing w:before="0" w:after="283"/>
              <w:jc w:val="left"/>
              <w:rPr>
                <w:sz w:val="4"/>
                <w:szCs w:val="4"/>
              </w:rPr>
            </w:pPr>
            <w:r>
              <w:rPr>
                <w:sz w:val="4"/>
                <w:szCs w:val="4"/>
              </w:rPr>
            </w:r>
          </w:p>
        </w:tc>
      </w:tr>
      <w:tr>
        <w:trPr/>
        <w:tc>
          <w:tcPr>
            <w:tcW w:w="5141" w:type="dxa"/>
            <w:gridSpan w:val="3"/>
            <w:tcBorders/>
            <w:vAlign w:val="bottom"/>
          </w:tcPr>
          <w:p>
            <w:pPr>
              <w:pStyle w:val="TableContents"/>
              <w:bidi w:val="0"/>
              <w:spacing w:before="0" w:after="283"/>
              <w:jc w:val="left"/>
              <w:rPr>
                <w:b/>
              </w:rPr>
            </w:pPr>
            <w:r>
              <w:rPr>
                <w:b/>
              </w:rPr>
              <w:t>IF AN INDIVIDUAL:</w:t>
            </w:r>
          </w:p>
        </w:tc>
        <w:tc>
          <w:tcPr>
            <w:tcW w:w="106" w:type="dxa"/>
            <w:tcBorders/>
            <w:vAlign w:val="bottom"/>
          </w:tcPr>
          <w:p>
            <w:pPr>
              <w:pStyle w:val="TableContents"/>
              <w:bidi w:val="0"/>
              <w:spacing w:before="0" w:after="283"/>
              <w:jc w:val="left"/>
              <w:rPr/>
            </w:pPr>
            <w:r>
              <w:rPr/>
              <w:t> </w:t>
            </w:r>
          </w:p>
        </w:tc>
        <w:tc>
          <w:tcPr>
            <w:tcW w:w="4958" w:type="dxa"/>
            <w:gridSpan w:val="3"/>
            <w:tcBorders/>
            <w:vAlign w:val="bottom"/>
          </w:tcPr>
          <w:p>
            <w:pPr>
              <w:pStyle w:val="TableContents"/>
              <w:bidi w:val="0"/>
              <w:spacing w:before="0" w:after="283"/>
              <w:jc w:val="left"/>
              <w:rPr>
                <w:b/>
              </w:rPr>
            </w:pPr>
            <w:r>
              <w:rPr>
                <w:b/>
              </w:rPr>
              <w:t>IF AN ENTITY:</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0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i/>
              </w:rPr>
            </w:pPr>
            <w:r>
              <w:rPr>
                <w:i/>
              </w:rPr>
              <w:t>(duly authorized signature)</w:t>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5" w:type="dxa"/>
            <w:tcBorders/>
          </w:tcPr>
          <w:p>
            <w:pPr>
              <w:pStyle w:val="TableContents"/>
              <w:bidi w:val="0"/>
              <w:spacing w:before="0" w:after="283"/>
              <w:jc w:val="left"/>
              <w:rPr>
                <w:i/>
              </w:rPr>
            </w:pPr>
            <w:r>
              <w:rPr>
                <w:i/>
              </w:rPr>
              <w:t>(please print complete name of entity)</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0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i/>
              </w:rPr>
            </w:pPr>
            <w:r>
              <w:rPr>
                <w:i/>
              </w:rPr>
              <w:t>(please print full name)</w:t>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5" w:type="dxa"/>
            <w:tcBorders/>
          </w:tcPr>
          <w:p>
            <w:pPr>
              <w:pStyle w:val="TableContents"/>
              <w:bidi w:val="0"/>
              <w:spacing w:before="0" w:after="283"/>
              <w:jc w:val="left"/>
              <w:rPr>
                <w:i/>
              </w:rPr>
            </w:pPr>
            <w:r>
              <w:rPr>
                <w:i/>
              </w:rPr>
              <w:t>(duly authorized signature)</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bidi w:val="0"/>
              <w:spacing w:before="0" w:after="283"/>
              <w:jc w:val="left"/>
              <w:rPr/>
            </w:pPr>
            <w:r>
              <w:rPr/>
              <w:t>Address:</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left"/>
              <w:rPr/>
            </w:pPr>
            <w:r>
              <w:rPr/>
              <w:t>Name:</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0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i/>
              </w:rPr>
            </w:pPr>
            <w:r>
              <w:rPr>
                <w:i/>
              </w:rPr>
              <w:t>(please print full address)</w:t>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5" w:type="dxa"/>
            <w:tcBorders/>
          </w:tcPr>
          <w:p>
            <w:pPr>
              <w:pStyle w:val="TableContents"/>
              <w:bidi w:val="0"/>
              <w:spacing w:before="0" w:after="0"/>
              <w:jc w:val="left"/>
              <w:rPr>
                <w:rFonts w:ascii="Times New Roman" w:hAnsi="Times New Roman"/>
                <w:i/>
                <w:sz w:val="20"/>
              </w:rPr>
            </w:pPr>
            <w:r>
              <w:rPr>
                <w:rFonts w:ascii="Times New Roman" w:hAnsi="Times New Roman"/>
                <w:i/>
                <w:sz w:val="20"/>
              </w:rPr>
              <w:t>(please print full title)</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05" w:type="dxa"/>
            <w:tcBorders>
              <w:bottom w:val="single" w:sz="2" w:space="0" w:color="000000"/>
            </w:tcBorders>
            <w:tcMar>
              <w:bottom w:w="28" w:type="dxa"/>
            </w:tcMar>
          </w:tcPr>
          <w:p>
            <w:pPr>
              <w:pStyle w:val="TableContents"/>
              <w:bidi w:val="0"/>
              <w:spacing w:before="0" w:after="283"/>
              <w:jc w:val="left"/>
              <w:rPr/>
            </w:pPr>
            <w:r>
              <w:rPr/>
              <w:t> </w:t>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5" w:type="dxa"/>
            <w:tcBorders/>
          </w:tcPr>
          <w:p>
            <w:pPr>
              <w:pStyle w:val="TableContents"/>
              <w:bidi w:val="0"/>
              <w:spacing w:before="0" w:after="283"/>
              <w:jc w:val="left"/>
              <w:rPr>
                <w:i/>
              </w:rPr>
            </w:pPr>
            <w:r>
              <w:rPr>
                <w:i/>
              </w:rPr>
              <w:t>(please print full name)</w:t>
            </w:r>
          </w:p>
        </w:tc>
      </w:tr>
      <w:tr>
        <w:trPr>
          <w:trHeight w:val="240" w:hRule="atLeast"/>
        </w:trPr>
        <w:tc>
          <w:tcPr>
            <w:tcW w:w="861" w:type="dxa"/>
            <w:tcBorders/>
            <w:vAlign w:val="center"/>
          </w:tcPr>
          <w:p>
            <w:pPr>
              <w:pStyle w:val="TableContents"/>
              <w:bidi w:val="0"/>
              <w:spacing w:before="0" w:after="283"/>
              <w:jc w:val="left"/>
              <w:rPr>
                <w:sz w:val="4"/>
                <w:szCs w:val="4"/>
              </w:rPr>
            </w:pPr>
            <w:r>
              <w:rPr>
                <w:sz w:val="4"/>
                <w:szCs w:val="4"/>
              </w:rPr>
            </w:r>
          </w:p>
        </w:tc>
        <w:tc>
          <w:tcPr>
            <w:tcW w:w="4280" w:type="dxa"/>
            <w:gridSpan w:val="2"/>
            <w:tcBorders/>
            <w:vAlign w:val="center"/>
          </w:tcPr>
          <w:p>
            <w:pPr>
              <w:pStyle w:val="TableContents"/>
              <w:bidi w:val="0"/>
              <w:spacing w:before="0" w:after="283"/>
              <w:jc w:val="left"/>
              <w:rPr>
                <w:sz w:val="4"/>
                <w:szCs w:val="4"/>
              </w:rPr>
            </w:pPr>
            <w:r>
              <w:rPr>
                <w:sz w:val="4"/>
                <w:szCs w:val="4"/>
              </w:rPr>
            </w:r>
          </w:p>
        </w:tc>
        <w:tc>
          <w:tcPr>
            <w:tcW w:w="953" w:type="dxa"/>
            <w:gridSpan w:val="2"/>
            <w:tcBorders/>
            <w:vAlign w:val="center"/>
          </w:tcPr>
          <w:p>
            <w:pPr>
              <w:pStyle w:val="TableContents"/>
              <w:bidi w:val="0"/>
              <w:spacing w:before="0" w:after="283"/>
              <w:jc w:val="left"/>
              <w:rPr>
                <w:sz w:val="4"/>
                <w:szCs w:val="4"/>
              </w:rPr>
            </w:pPr>
            <w:r>
              <w:rPr>
                <w:sz w:val="4"/>
                <w:szCs w:val="4"/>
              </w:rPr>
            </w:r>
          </w:p>
        </w:tc>
        <w:tc>
          <w:tcPr>
            <w:tcW w:w="4111"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left"/>
              <w:rPr/>
            </w:pPr>
            <w:r>
              <w:rPr/>
              <w:t>Address:</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0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6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7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05" w:type="dxa"/>
            <w:tcBorders/>
          </w:tcPr>
          <w:p>
            <w:pPr>
              <w:pStyle w:val="TableContents"/>
              <w:bidi w:val="0"/>
              <w:spacing w:before="0" w:after="0"/>
              <w:jc w:val="left"/>
              <w:rPr>
                <w:rFonts w:ascii="Times New Roman" w:hAnsi="Times New Roman"/>
                <w:i/>
                <w:sz w:val="20"/>
              </w:rPr>
            </w:pPr>
            <w:r>
              <w:rPr>
                <w:rFonts w:ascii="Times New Roman" w:hAnsi="Times New Roman"/>
                <w:i/>
                <w:sz w:val="20"/>
              </w:rPr>
              <w:t>(please print full address)</w:t>
            </w:r>
          </w:p>
        </w:tc>
      </w:tr>
    </w:tbl>
    <w:p>
      <w:pPr>
        <w:pStyle w:val="TextBody"/>
        <w:bidi w:val="0"/>
        <w:spacing w:before="0" w:after="0"/>
        <w:jc w:val="right"/>
        <w:rPr>
          <w:rFonts w:ascii="Times New Roman" w:hAnsi="Times New Roman"/>
          <w:b/>
          <w:sz w:val="20"/>
        </w:rPr>
      </w:pPr>
      <w:bookmarkStart w:id="4" w:name="d189834dex102.htm"/>
      <w:bookmarkStart w:id="5" w:name="ksd189834dex102"/>
      <w:bookmarkEnd w:id="4"/>
      <w:bookmarkEnd w:id="5"/>
      <w:r>
        <w:rPr>
          <w:rFonts w:ascii="Times New Roman" w:hAnsi="Times New Roman"/>
          <w:b/>
          <w:sz w:val="20"/>
        </w:rPr>
        <w:t xml:space="preserve">Exhibit 10.2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TAX RECEIVABLE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PERSONS NAMED HEREIN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February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
        <w:gridCol w:w="122"/>
        <w:gridCol w:w="1489"/>
        <w:gridCol w:w="172"/>
        <w:gridCol w:w="7304"/>
        <w:gridCol w:w="172"/>
        <w:gridCol w:w="96"/>
        <w:gridCol w:w="423"/>
        <w:gridCol w:w="66"/>
      </w:tblGrid>
      <w:tr>
        <w:trPr/>
        <w:tc>
          <w:tcPr>
            <w:tcW w:w="36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7304"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3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I DEFINITIONS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1.1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Definitions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II DETERMINATION OF CERTAIN REALIZED TAX BENEFIT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2.1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Basis Adjustments; 754 Election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2.2</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Attribute Schedule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16</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2.3</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Tax Benefit Schedule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2.4</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Procedures, Amendments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19</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III TAX BENEFIT PAYMENTS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20</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Payments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20</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3.2</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No Duplicative Payments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21</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3.3</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Pro Rata Payments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3.4</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Payment Ordering</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3.5</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Limitation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3.6</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Payments Attributable to Unvested Units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3.7</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Threshold Exchanges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IV TERMINATION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4.1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Early Termination of Agreement; Breach of Agreement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4.2</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Early Termination Notice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25</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4.3</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Payment upon Early Termination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25</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V SUBORDINATION AND LATE PAYMENTS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5.1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Subordination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5.2</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Late Payments by PubCo</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VI NO DISPUTES; CONSISTENCY; COOPERATION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6.1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Participation in PubCo’s and OpCo’s Tax Matters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6.2</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Consistency</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27</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6.3</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Cooperation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27</w:t>
            </w:r>
          </w:p>
        </w:tc>
        <w:tc>
          <w:tcPr>
            <w:tcW w:w="66" w:type="dxa"/>
            <w:tcBorders/>
            <w:vAlign w:val="bottom"/>
          </w:tcPr>
          <w:p>
            <w:pPr>
              <w:pStyle w:val="TableContents"/>
              <w:bidi w:val="0"/>
              <w:spacing w:before="0" w:after="283"/>
              <w:jc w:val="left"/>
              <w:rPr/>
            </w:pPr>
            <w:r>
              <w:rPr/>
              <w:t> </w:t>
            </w:r>
          </w:p>
        </w:tc>
      </w:tr>
      <w:tr>
        <w:trPr>
          <w:trHeight w:val="120" w:hRule="atLeast"/>
        </w:trPr>
        <w:tc>
          <w:tcPr>
            <w:tcW w:w="9448" w:type="dxa"/>
            <w:gridSpan w:val="5"/>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9448" w:type="dxa"/>
            <w:gridSpan w:val="5"/>
            <w:tcBorders/>
          </w:tcPr>
          <w:p>
            <w:pPr>
              <w:pStyle w:val="TableContents"/>
              <w:bidi w:val="0"/>
              <w:spacing w:before="0" w:after="283"/>
              <w:jc w:val="left"/>
              <w:rPr/>
            </w:pPr>
            <w:r>
              <w:rPr/>
              <w:t>ARTICLE VII MISCELLANEOUS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6" w:type="dxa"/>
            <w:tcBorders/>
            <w:vAlign w:val="bottom"/>
          </w:tcPr>
          <w:p>
            <w:pPr>
              <w:pStyle w:val="TableContents"/>
              <w:bidi w:val="0"/>
              <w:spacing w:before="0" w:after="283"/>
              <w:jc w:val="left"/>
              <w:rPr/>
            </w:pPr>
            <w:r>
              <w:rPr/>
              <w:t> </w:t>
            </w:r>
          </w:p>
        </w:tc>
      </w:tr>
      <w:tr>
        <w:trPr>
          <w:trHeight w:val="120" w:hRule="atLeast"/>
        </w:trPr>
        <w:tc>
          <w:tcPr>
            <w:tcW w:w="361" w:type="dxa"/>
            <w:tcBorders/>
            <w:vAlign w:val="center"/>
          </w:tcPr>
          <w:p>
            <w:pPr>
              <w:pStyle w:val="TableContents"/>
              <w:bidi w:val="0"/>
              <w:spacing w:before="0" w:after="283"/>
              <w:jc w:val="left"/>
              <w:rPr>
                <w:sz w:val="4"/>
                <w:szCs w:val="4"/>
              </w:rPr>
            </w:pPr>
            <w:r>
              <w:rPr>
                <w:sz w:val="4"/>
                <w:szCs w:val="4"/>
              </w:rPr>
            </w:r>
          </w:p>
        </w:tc>
        <w:tc>
          <w:tcPr>
            <w:tcW w:w="1611" w:type="dxa"/>
            <w:gridSpan w:val="2"/>
            <w:tcBorders/>
            <w:vAlign w:val="center"/>
          </w:tcPr>
          <w:p>
            <w:pPr>
              <w:pStyle w:val="TableContents"/>
              <w:bidi w:val="0"/>
              <w:spacing w:before="0" w:after="283"/>
              <w:jc w:val="left"/>
              <w:rPr>
                <w:sz w:val="4"/>
                <w:szCs w:val="4"/>
              </w:rPr>
            </w:pPr>
            <w:r>
              <w:rPr>
                <w:sz w:val="4"/>
                <w:szCs w:val="4"/>
              </w:rPr>
            </w:r>
          </w:p>
        </w:tc>
        <w:tc>
          <w:tcPr>
            <w:tcW w:w="7476" w:type="dxa"/>
            <w:gridSpan w:val="2"/>
            <w:tcBorders/>
            <w:vAlign w:val="center"/>
          </w:tcPr>
          <w:p>
            <w:pPr>
              <w:pStyle w:val="TableContents"/>
              <w:bidi w:val="0"/>
              <w:spacing w:before="0" w:after="283"/>
              <w:jc w:val="left"/>
              <w:rPr>
                <w:sz w:val="4"/>
                <w:szCs w:val="4"/>
              </w:rPr>
            </w:pPr>
            <w:r>
              <w:rPr>
                <w:sz w:val="4"/>
                <w:szCs w:val="4"/>
              </w:rPr>
            </w:r>
          </w:p>
        </w:tc>
        <w:tc>
          <w:tcPr>
            <w:tcW w:w="757"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7.1</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Notices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7.2</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Counterparts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6" w:type="dxa"/>
            <w:tcBorders/>
            <w:vAlign w:val="bottom"/>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89" w:type="dxa"/>
            <w:tcBorders/>
          </w:tcPr>
          <w:p>
            <w:pPr>
              <w:pStyle w:val="TableContents"/>
              <w:bidi w:val="0"/>
              <w:spacing w:before="0" w:after="283"/>
              <w:jc w:val="left"/>
              <w:rPr/>
            </w:pPr>
            <w:r>
              <w:rPr/>
              <w:t>Section 7.3</w:t>
            </w:r>
          </w:p>
        </w:tc>
        <w:tc>
          <w:tcPr>
            <w:tcW w:w="172"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283"/>
              <w:jc w:val="left"/>
              <w:rPr/>
            </w:pPr>
            <w:r>
              <w:rPr/>
              <w:t>Entire Agreement; No Third Party Beneficiaries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1"/>
        <w:gridCol w:w="121"/>
        <w:gridCol w:w="1573"/>
        <w:gridCol w:w="164"/>
        <w:gridCol w:w="7622"/>
        <w:gridCol w:w="164"/>
        <w:gridCol w:w="60"/>
        <w:gridCol w:w="265"/>
        <w:gridCol w:w="65"/>
      </w:tblGrid>
      <w:tr>
        <w:trPr/>
        <w:tc>
          <w:tcPr>
            <w:tcW w:w="1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762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7.4</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Governing Law</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7.5</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Severability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7.6</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Successors; Assignment; Amendments; Waivers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7.7</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Titles and Subtitles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7.8</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Jurisdiction; Waiver of Jury Trial</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7.9</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Reconciliation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7.10</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Withholding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7.11</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Admission of PubCo into a Consolidated Group; Transfers of Corporate Assets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7.12</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Confidentiality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7.13</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Change in Law</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7.14</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TRA Party Representative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17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Section 7.15</w:t>
            </w:r>
          </w:p>
        </w:tc>
        <w:tc>
          <w:tcPr>
            <w:tcW w:w="164" w:type="dxa"/>
            <w:tcBorders/>
            <w:vAlign w:val="bottom"/>
          </w:tcPr>
          <w:p>
            <w:pPr>
              <w:pStyle w:val="TableContents"/>
              <w:bidi w:val="0"/>
              <w:spacing w:before="0" w:after="283"/>
              <w:jc w:val="left"/>
              <w:rPr/>
            </w:pPr>
            <w:r>
              <w:rPr/>
              <w:t>  </w:t>
            </w:r>
          </w:p>
        </w:tc>
        <w:tc>
          <w:tcPr>
            <w:tcW w:w="7622" w:type="dxa"/>
            <w:tcBorders/>
          </w:tcPr>
          <w:p>
            <w:pPr>
              <w:pStyle w:val="TableContents"/>
              <w:bidi w:val="0"/>
              <w:spacing w:before="0" w:after="283"/>
              <w:jc w:val="left"/>
              <w:rPr/>
            </w:pPr>
            <w:r>
              <w:rPr/>
              <w:t>Board Determinations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TAX RECEIVABLE AGREEMENT </w:t>
      </w:r>
      <w:r>
        <w:rPr>
          <w:rFonts w:ascii="Times New Roman" w:hAnsi="Times New Roman"/>
          <w:sz w:val="20"/>
        </w:rPr>
        <w:t>(this “</w:t>
      </w:r>
      <w:r>
        <w:rPr>
          <w:rFonts w:ascii="Times New Roman" w:hAnsi="Times New Roman"/>
          <w:b/>
          <w:sz w:val="20"/>
          <w:u w:val="single"/>
        </w:rPr>
        <w:t>Agreement</w:t>
      </w:r>
      <w:r>
        <w:rPr>
          <w:rFonts w:ascii="Times New Roman" w:hAnsi="Times New Roman"/>
          <w:sz w:val="20"/>
        </w:rPr>
        <w:t>”) is dated as of February 10, 2026, and is among SOLV Energy, Inc., a Delaware corporation (including any successor corporation, “</w:t>
      </w:r>
      <w:r>
        <w:rPr>
          <w:rFonts w:ascii="Times New Roman" w:hAnsi="Times New Roman"/>
          <w:b/>
          <w:sz w:val="20"/>
          <w:u w:val="single"/>
        </w:rPr>
        <w:t>PubCo</w:t>
      </w:r>
      <w:r>
        <w:rPr>
          <w:rFonts w:ascii="Times New Roman" w:hAnsi="Times New Roman"/>
          <w:sz w:val="20"/>
        </w:rPr>
        <w:t>”), SOLV Energy Holdings, LLC, a Delaware limited liability company (“</w:t>
      </w:r>
      <w:r>
        <w:rPr>
          <w:rFonts w:ascii="Times New Roman" w:hAnsi="Times New Roman"/>
          <w:b/>
          <w:sz w:val="20"/>
          <w:u w:val="single"/>
        </w:rPr>
        <w:t>OpCo</w:t>
      </w:r>
      <w:r>
        <w:rPr>
          <w:rFonts w:ascii="Times New Roman" w:hAnsi="Times New Roman"/>
          <w:sz w:val="20"/>
        </w:rPr>
        <w:t>”), the TRA Party Representative (as defined herein), each of the other undersigned parties, and each of the other Persons from time to time that becomes a party hereto (each, excluding PubCo, OpCo, and the TRA Party Representative (in its capacity as such), a “</w:t>
      </w:r>
      <w:r>
        <w:rPr>
          <w:rFonts w:ascii="Times New Roman" w:hAnsi="Times New Roman"/>
          <w:b/>
          <w:sz w:val="20"/>
          <w:u w:val="single"/>
        </w:rPr>
        <w:t>TRA Party</w:t>
      </w:r>
      <w:r>
        <w:rPr>
          <w:rFonts w:ascii="Times New Roman" w:hAnsi="Times New Roman"/>
          <w:sz w:val="20"/>
        </w:rPr>
        <w:t>” and together the “</w:t>
      </w:r>
      <w:r>
        <w:rPr>
          <w:rFonts w:ascii="Times New Roman" w:hAnsi="Times New Roman"/>
          <w:b/>
          <w:sz w:val="20"/>
          <w:u w:val="single"/>
        </w:rPr>
        <w:t>TRA 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TRA Parties directly or indirectly hold or held membership interests in OpCo (the “</w:t>
      </w:r>
      <w:r>
        <w:rPr>
          <w:rFonts w:ascii="Times New Roman" w:hAnsi="Times New Roman"/>
          <w:b/>
          <w:sz w:val="20"/>
          <w:u w:val="single"/>
        </w:rPr>
        <w:t>Units</w:t>
      </w:r>
      <w:r>
        <w:rPr>
          <w:rFonts w:ascii="Times New Roman" w:hAnsi="Times New Roman"/>
          <w:sz w:val="20"/>
        </w:rPr>
        <w:t xml:space="preserve">”), which is classified as a partnership for U.S. federal income Tax (as defined below) purposes and is a continuation of SOLV Energy Parent Holdings, LP, a Delaware limited partnership, under Section 708 of the Code;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after the IPO (as defined below), SOLV Blocker (as defined below), which became a wholly owned Subsidiary of PubCo as a result of the Reorganization (as defined below), will be the managing member of OpCo;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after the IPO, PubCo will directly and, through the Blockers and GP NewCo (each as defined below), indirectly hold Units;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PubCo, each of the Blockers, and GP NewCo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certain reorganization transactions undertaken in connection with the IPO, (a) the Blockers and the AS General Partner (as defined below) acquired Units as a result of certain distributions or redemptions from entities that owned a direct or indirect interest in OpCo (the “</w:t>
      </w:r>
      <w:r>
        <w:rPr>
          <w:rFonts w:ascii="Times New Roman" w:hAnsi="Times New Roman"/>
          <w:b/>
          <w:sz w:val="20"/>
          <w:u w:val="single"/>
        </w:rPr>
        <w:t>Unit Distributions</w:t>
      </w:r>
      <w:r>
        <w:rPr>
          <w:rFonts w:ascii="Times New Roman" w:hAnsi="Times New Roman"/>
          <w:sz w:val="20"/>
        </w:rPr>
        <w:t>”), (b) the AS General Partner contributed the Units that it acquired to SOLV Sub 3 Inc., a Delaware corporation wholly owned by the AS General Partner (“</w:t>
      </w:r>
      <w:r>
        <w:rPr>
          <w:rFonts w:ascii="Times New Roman" w:hAnsi="Times New Roman"/>
          <w:b/>
          <w:sz w:val="20"/>
          <w:u w:val="single"/>
        </w:rPr>
        <w:t>GP NewCo</w:t>
      </w:r>
      <w:r>
        <w:rPr>
          <w:rFonts w:ascii="Times New Roman" w:hAnsi="Times New Roman"/>
          <w:sz w:val="20"/>
        </w:rPr>
        <w:t>”), (c) certain TRA Parties contributed certain Units to PubCo in exchange for Class A common stock (the contributions in this clause (c), the “</w:t>
      </w:r>
      <w:r>
        <w:rPr>
          <w:rFonts w:ascii="Times New Roman" w:hAnsi="Times New Roman"/>
          <w:b/>
          <w:sz w:val="20"/>
          <w:u w:val="single"/>
        </w:rPr>
        <w:t>PubCo Unit Contributions</w:t>
      </w:r>
      <w:r>
        <w:rPr>
          <w:rFonts w:ascii="Times New Roman" w:hAnsi="Times New Roman"/>
          <w:sz w:val="20"/>
        </w:rPr>
        <w:t>”), and (d) the Blocker Shareholders contributed all of the equity interests in the Blockers, and the AS General Partner contributed all of the stock of GP NewCo, to PubCo in exchange for Class A common stock, with PubCo indirectly acquiring the Units held by the Blockers and GP NewCo as a result of such contributions (the “</w:t>
      </w:r>
      <w:r>
        <w:rPr>
          <w:rFonts w:ascii="Times New Roman" w:hAnsi="Times New Roman"/>
          <w:b/>
          <w:sz w:val="20"/>
          <w:u w:val="single"/>
        </w:rPr>
        <w:t>Reorganization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result of the Reorganization, PubCo will be entitled to obtain the benefit of (i) the Blocker Attributes and (ii) the Reorganization Transferred Basis;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IPO, (a) PubCo will acquire IPO Units (as defined below) for one or more contributions of cash to OpCo that are not used to fund a distribution to or redemption of Units held by any other member of OpCo (the “</w:t>
      </w:r>
      <w:r>
        <w:rPr>
          <w:rFonts w:ascii="Times New Roman" w:hAnsi="Times New Roman"/>
          <w:b/>
          <w:sz w:val="20"/>
          <w:u w:val="single"/>
        </w:rPr>
        <w:t>IPO Primary Contributions</w:t>
      </w:r>
      <w:r>
        <w:rPr>
          <w:rFonts w:ascii="Times New Roman" w:hAnsi="Times New Roman"/>
          <w:sz w:val="20"/>
        </w:rPr>
        <w:t>”) and (b) PubCo may acquire Units from one or more other members of OpCo (the “</w:t>
      </w:r>
      <w:r>
        <w:rPr>
          <w:rFonts w:ascii="Times New Roman" w:hAnsi="Times New Roman"/>
          <w:b/>
          <w:sz w:val="20"/>
          <w:u w:val="single"/>
        </w:rPr>
        <w:t>IPO Acquisition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result of the IPO Primary Contributions, the PubCo Group Members will be entitled to obtain the benefit of the IPO Basis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Units held by the TRA Parties may be exchanged for Class A common stock of PubCo, par value $0.0001 per share (the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A Shares</w:t>
      </w:r>
      <w:r>
        <w:rPr>
          <w:rFonts w:ascii="Times New Roman" w:hAnsi="Times New Roman"/>
          <w:sz w:val="20"/>
        </w:rPr>
        <w:t xml:space="preserve">”) and/or for cash, in accordance with and subject to the provisions of the OpCo Agreement (as defined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OpCo and each of its direct and indirect Subsidiaries (as defined below) treated as a partnership for U.S. federal income Tax purposes will have in effect an election under Section 754 of the Code (as defined below) for each Taxable Year (as defined below) that includes the IPO Date (as defined below) and for each Taxable Year in which there occurs a taxable acquisition (including a deemed taxable acquisition under Section 707(a) of the Code) of Units by PubCo (or any PubCo Group Member) from any of the TRA Parties (an “</w:t>
      </w:r>
      <w:r>
        <w:rPr>
          <w:rFonts w:ascii="Times New Roman" w:hAnsi="Times New Roman"/>
          <w:b/>
          <w:sz w:val="20"/>
          <w:u w:val="single"/>
        </w:rPr>
        <w:t>Exchange TRA Party</w:t>
      </w:r>
      <w:r>
        <w:rPr>
          <w:rFonts w:ascii="Times New Roman" w:hAnsi="Times New Roman"/>
          <w:sz w:val="20"/>
        </w:rPr>
        <w:t>”) for Class A Shares and/or other consideration or redemption or distribution (including any deemed distribution under Section 752 of the Code) by OpCo, in each case, in connection with the IPO or after the IPO Date (any such acquisition from an Exchange TRA Party or redemption or actual or deemed distribution, including any deemed taxable acquisition under Section 707(a) of the Code and any IPO Acquisition and excluding, for the avoidance of doubt, the IPO Primary Contributions, an “</w:t>
      </w:r>
      <w:r>
        <w:rPr>
          <w:rFonts w:ascii="Times New Roman" w:hAnsi="Times New Roman"/>
          <w:b/>
          <w:sz w:val="20"/>
          <w:u w:val="single"/>
        </w:rPr>
        <w:t>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result of an Exchange, PubCo (or the PubCo Group Members) will be entitled to use the Exchange Basis (as defined below) and the Basis Adjustments (as defined below) relating to such Units received (or deemed received for U.S. federal income tax purposes) in the Exchange;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income, gain, loss, expense and other Tax items of the PubCo Group Members may be affected by the (i) Blocker Attributes, (ii) Reorganization Transferred Basis, (iii) IPO Basis, (iv) Exchange Basis, (v) Basis Adjustments and (vi) Imputed Interest (as defined below) (collectively, the “</w:t>
      </w:r>
      <w:r>
        <w:rPr>
          <w:rFonts w:ascii="Times New Roman" w:hAnsi="Times New Roman"/>
          <w:b/>
          <w:sz w:val="20"/>
          <w:u w:val="single"/>
        </w:rPr>
        <w:t>Tax Attributes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to this Agreement desire to provide for certain payments and make certain arrangements with respect to the effect of the Tax Attributes on the liability for Taxes of the PubCo Group Members.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covenants and agreements set forth herein, and intending to be legally bound hereby,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As used in this Agreement, the terms set forth in this Article I shall have the following meanings (such meanings to be equally applicable to both the singular and plural forms of the terms defined). </w:t>
      </w:r>
    </w:p>
    <w:p>
      <w:pPr>
        <w:pStyle w:val="TextBody"/>
        <w:bidi w:val="0"/>
        <w:spacing w:before="240" w:after="0"/>
        <w:jc w:val="left"/>
        <w:rPr/>
      </w:pPr>
      <w:r>
        <w:rPr/>
        <w:t>“</w:t>
      </w:r>
      <w:r>
        <w:rPr>
          <w:rFonts w:ascii="Times New Roman" w:hAnsi="Times New Roman"/>
          <w:b/>
          <w:sz w:val="20"/>
          <w:u w:val="single"/>
        </w:rPr>
        <w:t>Acquired Units</w:t>
      </w:r>
      <w:r>
        <w:rPr>
          <w:rFonts w:ascii="Times New Roman" w:hAnsi="Times New Roman"/>
          <w:sz w:val="20"/>
        </w:rPr>
        <w:t xml:space="preserve">” means the Units acquired, directly or indirectly, by PubCo in the Reorganization, including Units held by the Blockers and GP NewCo.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Actual Tax Liability</w:t>
      </w:r>
      <w:r>
        <w:rPr>
          <w:rFonts w:ascii="Times New Roman" w:hAnsi="Times New Roman"/>
          <w:sz w:val="20"/>
        </w:rPr>
        <w:t xml:space="preserve">” means, with respect to any Taxable Year, the sum of (i) (A) the liability for U.S. federal income Taxes of the PubCo Group Members (calculated by assuming, in order to avoid double counting, that state and local Taxes are not deductible by the PubCo Group Members for U.S. federal income Tax purposes) and (B) without duplication, the portion of any liability for U.S. federal income Taxes imposed directly on OpCo (or OpCo’s applicable Subsidiaries or other Persons in which OpCo owns a direct or indirect equity interest) under Section 6225 or any similar provision of the Code that is allocable to any PubCo Group Member under Section 704 of the Code or otherwise attributable to any PubCo Group Member in accordance with the OpCo Agreement and (ii) the product of the amount of the U.S. federal taxable income for such taxable year reported on PubCo’s IRS Form 1120 (or any successor form) (calculated by excluding deductions for state and local Taxes) and the Blended Rate. </w:t>
      </w:r>
    </w:p>
    <w:p>
      <w:pPr>
        <w:pStyle w:val="TextBody"/>
        <w:bidi w:val="0"/>
        <w:spacing w:before="240" w:after="0"/>
        <w:jc w:val="left"/>
        <w:rPr/>
      </w:pPr>
      <w:r>
        <w:rPr/>
        <w:t>“</w:t>
      </w:r>
      <w:r>
        <w:rPr>
          <w:rFonts w:ascii="Times New Roman" w:hAnsi="Times New Roman"/>
          <w:b/>
          <w:sz w:val="20"/>
          <w:u w:val="single"/>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first Person. </w:t>
      </w:r>
    </w:p>
    <w:p>
      <w:pPr>
        <w:pStyle w:val="TextBody"/>
        <w:bidi w:val="0"/>
        <w:spacing w:before="240" w:after="0"/>
        <w:jc w:val="left"/>
        <w:rPr/>
      </w:pPr>
      <w:r>
        <w:rPr/>
        <w:t>“</w:t>
      </w:r>
      <w:r>
        <w:rPr>
          <w:rFonts w:ascii="Times New Roman" w:hAnsi="Times New Roman"/>
          <w:b/>
          <w:sz w:val="20"/>
          <w:u w:val="single"/>
        </w:rPr>
        <w:t>Agreed Rate</w:t>
      </w:r>
      <w:r>
        <w:rPr>
          <w:rFonts w:ascii="Times New Roman" w:hAnsi="Times New Roman"/>
          <w:sz w:val="20"/>
        </w:rPr>
        <w:t xml:space="preserve">” means a per annum rate of SOFR plus 100 basis points. </w:t>
      </w:r>
    </w:p>
    <w:p>
      <w:pPr>
        <w:pStyle w:val="TextBody"/>
        <w:bidi w:val="0"/>
        <w:spacing w:before="240" w:after="0"/>
        <w:jc w:val="left"/>
        <w:rPr/>
      </w:pPr>
      <w:r>
        <w:rPr/>
        <w:t>“</w:t>
      </w:r>
      <w:r>
        <w:rPr>
          <w:rFonts w:ascii="Times New Roman" w:hAnsi="Times New Roman"/>
          <w:b/>
          <w:sz w:val="20"/>
          <w:u w:val="single"/>
        </w:rPr>
        <w:t>Agreement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Amended Schedule</w:t>
      </w:r>
      <w:r>
        <w:rPr>
          <w:rFonts w:ascii="Times New Roman" w:hAnsi="Times New Roman"/>
          <w:sz w:val="20"/>
        </w:rPr>
        <w:t xml:space="preserve">” has the meaning set forth in Section 2.4(b) of this Agreement. </w:t>
      </w:r>
    </w:p>
    <w:p>
      <w:pPr>
        <w:pStyle w:val="TextBody"/>
        <w:bidi w:val="0"/>
        <w:spacing w:before="240" w:after="0"/>
        <w:jc w:val="left"/>
        <w:rPr/>
      </w:pPr>
      <w:r>
        <w:rPr/>
        <w:t>“</w:t>
      </w:r>
      <w:r>
        <w:rPr>
          <w:rFonts w:ascii="Times New Roman" w:hAnsi="Times New Roman"/>
          <w:b/>
          <w:sz w:val="20"/>
          <w:u w:val="single"/>
        </w:rPr>
        <w:t>American Securities</w:t>
      </w:r>
      <w:r>
        <w:rPr>
          <w:rFonts w:ascii="Times New Roman" w:hAnsi="Times New Roman"/>
          <w:sz w:val="20"/>
        </w:rPr>
        <w:t xml:space="preserve">” means American Securities LLC and any successor thereto. </w:t>
      </w:r>
    </w:p>
    <w:p>
      <w:pPr>
        <w:pStyle w:val="TextBody"/>
        <w:bidi w:val="0"/>
        <w:spacing w:before="240" w:after="0"/>
        <w:jc w:val="left"/>
        <w:rPr/>
      </w:pPr>
      <w:r>
        <w:rPr/>
        <w:t>“</w:t>
      </w:r>
      <w:r>
        <w:rPr>
          <w:rFonts w:ascii="Times New Roman" w:hAnsi="Times New Roman"/>
          <w:b/>
          <w:sz w:val="20"/>
          <w:u w:val="single"/>
        </w:rPr>
        <w:t>AS General Partner</w:t>
      </w:r>
      <w:r>
        <w:rPr>
          <w:rFonts w:ascii="Times New Roman" w:hAnsi="Times New Roman"/>
          <w:sz w:val="20"/>
        </w:rPr>
        <w:t xml:space="preserve">” means American Securities Associates VIII, LLC. </w:t>
      </w:r>
    </w:p>
    <w:p>
      <w:pPr>
        <w:pStyle w:val="TextBody"/>
        <w:bidi w:val="0"/>
        <w:spacing w:before="240" w:after="0"/>
        <w:jc w:val="left"/>
        <w:rPr/>
      </w:pPr>
      <w:r>
        <w:rPr/>
        <w:t>“</w:t>
      </w:r>
      <w:r>
        <w:rPr>
          <w:rFonts w:ascii="Times New Roman" w:hAnsi="Times New Roman"/>
          <w:b/>
          <w:sz w:val="20"/>
          <w:u w:val="single"/>
        </w:rPr>
        <w:t>AS New Aggregator</w:t>
      </w:r>
      <w:r>
        <w:rPr>
          <w:rFonts w:ascii="Times New Roman" w:hAnsi="Times New Roman"/>
          <w:sz w:val="20"/>
        </w:rPr>
        <w:t xml:space="preserve">” means ASP VIII Alternative Investments Solstice, L.P. (and any successor thereto or permitted transferee thereof). </w:t>
      </w:r>
    </w:p>
    <w:p>
      <w:pPr>
        <w:pStyle w:val="TextBody"/>
        <w:bidi w:val="0"/>
        <w:spacing w:before="240" w:after="0"/>
        <w:jc w:val="left"/>
        <w:rPr/>
      </w:pPr>
      <w:r>
        <w:rPr/>
        <w:t>“</w:t>
      </w:r>
      <w:r>
        <w:rPr>
          <w:rFonts w:ascii="Times New Roman" w:hAnsi="Times New Roman"/>
          <w:b/>
          <w:sz w:val="20"/>
          <w:u w:val="single"/>
        </w:rPr>
        <w:t>Attributable</w:t>
      </w:r>
      <w:r>
        <w:rPr>
          <w:rFonts w:ascii="Times New Roman" w:hAnsi="Times New Roman"/>
          <w:sz w:val="20"/>
        </w:rPr>
        <w:t xml:space="preserve">” means the portion of any Tax Attribute of any PubCo Group Member that is “Attributable” to any Exchange TRA Party or any Reorganization TRA Party, as the case may be, determined under the following principles: </w:t>
      </w:r>
    </w:p>
    <w:p>
      <w:pPr>
        <w:pStyle w:val="TextBody"/>
        <w:bidi w:val="0"/>
        <w:spacing w:before="120" w:after="0"/>
        <w:jc w:val="left"/>
        <w:rPr>
          <w:rFonts w:ascii="Times New Roman" w:hAnsi="Times New Roman"/>
          <w:sz w:val="20"/>
        </w:rPr>
      </w:pPr>
      <w:r>
        <w:rPr>
          <w:rFonts w:ascii="Times New Roman" w:hAnsi="Times New Roman"/>
          <w:sz w:val="20"/>
        </w:rPr>
        <w:t xml:space="preserve">(i) any Blocker Attributes are Attributable to the Blocker Shareholders and the AS General Partner in proportion to the number of Acquired Units contributed to PubCo as a result of the contributions of equity interests of the Blockers and GP NewCo in the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(ii) any Reorganization Transferred Basis shall be determined on an aggregate basis with respect to the Blocker Shareholders and the AS General Partner and separately for each other Reorganization TRA Party and is Attributable to each Reorganization TRA Party in accordance with Section 2.3(b)(iv)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any IPO Basis is Attributable to each TRA Party in an amount equal to the product of the total IPO Basis and the IPO Basis Percentage of such TRA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Exchange Basis shall be determined separately with respect to each Exchange TRA Party and is Attributable to an Exchange TRA Party in accordance with Section 2.3(b)(iv)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any Basis Adjustments shall be determined separately with respect to each Exchange TRA Party and are Attributable to the Exchange TRA Party that engaged in the Exchange (for the avoidance of doubt, with respect to any Basis Adjustments attributable to a distribution or redemption, the relevant Exchange TRA Party shall be the Exchange TRA Party relinquishing its interest in the Reference Asset); and </w:t>
      </w:r>
    </w:p>
    <w:p>
      <w:pPr>
        <w:pStyle w:val="TextBody"/>
        <w:bidi w:val="0"/>
        <w:spacing w:before="120" w:after="0"/>
        <w:jc w:val="left"/>
        <w:rPr>
          <w:rFonts w:ascii="Times New Roman" w:hAnsi="Times New Roman"/>
          <w:sz w:val="20"/>
        </w:rPr>
      </w:pPr>
      <w:r>
        <w:rPr>
          <w:rFonts w:ascii="Times New Roman" w:hAnsi="Times New Roman"/>
          <w:sz w:val="20"/>
        </w:rPr>
        <w:t xml:space="preserve">(vi) any deduction to any PubCo Group Member with respect to a Taxable Year in respect of Imputed Interest is Attributable to the Person that is required to include the Imputed Interest in income (without regard to whether such Person is actually subject to Tax thereon). </w:t>
      </w:r>
    </w:p>
    <w:p>
      <w:pPr>
        <w:pStyle w:val="TextBody"/>
        <w:bidi w:val="0"/>
        <w:spacing w:before="240" w:after="0"/>
        <w:jc w:val="left"/>
        <w:rPr/>
      </w:pPr>
      <w:r>
        <w:rPr/>
        <w:t>“</w:t>
      </w:r>
      <w:r>
        <w:rPr>
          <w:rFonts w:ascii="Times New Roman" w:hAnsi="Times New Roman"/>
          <w:b/>
          <w:sz w:val="20"/>
          <w:u w:val="single"/>
        </w:rPr>
        <w:t>Attribute Schedule</w:t>
      </w:r>
      <w:r>
        <w:rPr>
          <w:rFonts w:ascii="Times New Roman" w:hAnsi="Times New Roman"/>
          <w:sz w:val="20"/>
        </w:rPr>
        <w:t xml:space="preserve">” has the meaning set forth in Section 2.2 of this Agreement. </w:t>
      </w:r>
    </w:p>
    <w:p>
      <w:pPr>
        <w:pStyle w:val="TextBody"/>
        <w:bidi w:val="0"/>
        <w:spacing w:before="240" w:after="0"/>
        <w:jc w:val="left"/>
        <w:rPr/>
      </w:pPr>
      <w:r>
        <w:rPr/>
        <w:t>“</w:t>
      </w:r>
      <w:r>
        <w:rPr>
          <w:rFonts w:ascii="Times New Roman" w:hAnsi="Times New Roman"/>
          <w:b/>
          <w:sz w:val="20"/>
          <w:u w:val="single"/>
        </w:rPr>
        <w:t>Available TRA Attribute Claim</w:t>
      </w:r>
      <w:r>
        <w:rPr>
          <w:rFonts w:ascii="Times New Roman" w:hAnsi="Times New Roman"/>
          <w:sz w:val="20"/>
        </w:rPr>
        <w:t xml:space="preserve">” means, with respect to each of the TRA Parties and any Taxable Year, the difference between (a) the TRA Party’s TRA Attribute Claim Amortization for the current Taxable Year and all prior Taxable Years and (b) the amount of the TRA Party’s TRA Attribute Claim Amortization that has resulted in a Realized Tax Benefit attributable to the Exchange Basis or Reorganization Transferred Basis that has been treated as Attributable to such TRA Party pursuant to Section 2.3(b)(iv) for all prior Taxable Years. </w:t>
      </w:r>
    </w:p>
    <w:p>
      <w:pPr>
        <w:pStyle w:val="TextBody"/>
        <w:bidi w:val="0"/>
        <w:spacing w:before="240" w:after="0"/>
        <w:jc w:val="left"/>
        <w:rPr/>
      </w:pPr>
      <w:r>
        <w:rPr/>
        <w:t>“</w:t>
      </w:r>
      <w:r>
        <w:rPr>
          <w:rFonts w:ascii="Times New Roman" w:hAnsi="Times New Roman"/>
          <w:b/>
          <w:sz w:val="20"/>
          <w:u w:val="single"/>
        </w:rPr>
        <w:t>Basis Adjustment</w:t>
      </w:r>
      <w:r>
        <w:rPr>
          <w:rFonts w:ascii="Times New Roman" w:hAnsi="Times New Roman"/>
          <w:sz w:val="20"/>
        </w:rPr>
        <w:t xml:space="preserve">” means any adjustment to the Tax basis of a Reference Asset under Sections 707(a), 732, 734(b), 737, 743(b), 754 and/or 1012 of the Code, in each case, as a result of an Exchange and the payments made pursuant to this Agreement in respect of such Exchange. For the avoidance of doubt, the amount of any Basis Adjustment resulting from an Exchange of one or more Units shall be determined without regard to any Pre-Exchange Transfer as if any such Pre-Exchange Transfer had not occurred. The amount of any Basis Adjustment shall be determined using the Market Value of the Units that are the subject of the Exchange at the time of the Exchange. </w:t>
      </w:r>
    </w:p>
    <w:p>
      <w:pPr>
        <w:pStyle w:val="TextBody"/>
        <w:bidi w:val="0"/>
        <w:spacing w:before="240" w:after="0"/>
        <w:jc w:val="left"/>
        <w:rPr/>
      </w:pPr>
      <w:r>
        <w:rPr/>
        <w:t>“</w:t>
      </w:r>
      <w:r>
        <w:rPr>
          <w:rFonts w:ascii="Times New Roman" w:hAnsi="Times New Roman"/>
          <w:b/>
          <w:sz w:val="20"/>
          <w:u w:val="single"/>
        </w:rPr>
        <w:t>Basis Sharing Percentage</w:t>
      </w:r>
      <w:r>
        <w:rPr>
          <w:rFonts w:ascii="Times New Roman" w:hAnsi="Times New Roman"/>
          <w:sz w:val="20"/>
        </w:rPr>
        <w:t xml:space="preserve">” means, with respect to any Tax Benefit Payment, a fraction, (i) the numerator of which equals the Available TRA Attribute Claim associated with the Acquired Units, in the case of any Reorganization TRA Party, or the Units transferred upon an Exchange, in the case of any Exchange TRA Party, and (ii) the denominator of which equals the sum of all Available TRA Attribute Claims. The Basis Sharing Percentage associated with the Acquired Units indirectly acquired from the AS General Partner and the Blocker Shareholders in the Reorganization shall be determined on an aggregate basis for the AS General Partner and the Blocker Shareholders and apportioned among such Persons based on the relative number of Acquired Units indirectly contributed by them in the Reorganization. </w:t>
      </w:r>
    </w:p>
    <w:p>
      <w:pPr>
        <w:pStyle w:val="TextBody"/>
        <w:bidi w:val="0"/>
        <w:spacing w:before="240" w:after="0"/>
        <w:jc w:val="left"/>
        <w:rPr/>
      </w:pPr>
      <w:r>
        <w:rPr/>
        <w:t>“</w:t>
      </w:r>
      <w:r>
        <w:rPr>
          <w:rFonts w:ascii="Times New Roman" w:hAnsi="Times New Roman"/>
          <w:b/>
          <w:sz w:val="20"/>
          <w:u w:val="single"/>
        </w:rPr>
        <w:t>Beneficial Owner</w:t>
      </w:r>
      <w:r>
        <w:rPr>
          <w:rFonts w:ascii="Times New Roman" w:hAnsi="Times New Roman"/>
          <w:sz w:val="20"/>
        </w:rPr>
        <w:t>” means, with respect to any security,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Times New Roman" w:hAnsi="Times New Roman"/>
          <w:b/>
          <w:sz w:val="20"/>
          <w:u w:val="single"/>
        </w:rPr>
        <w:t>Beneficially Own</w:t>
      </w:r>
      <w:r>
        <w:rPr>
          <w:rFonts w:ascii="Times New Roman" w:hAnsi="Times New Roman"/>
          <w:sz w:val="20"/>
        </w:rPr>
        <w:t>” and “</w:t>
      </w:r>
      <w:r>
        <w:rPr>
          <w:rFonts w:ascii="Times New Roman" w:hAnsi="Times New Roman"/>
          <w:b/>
          <w:sz w:val="20"/>
          <w:u w:val="single"/>
        </w:rPr>
        <w:t>Beneficial Ownership</w:t>
      </w:r>
      <w:r>
        <w:rPr>
          <w:rFonts w:ascii="Times New Roman" w:hAnsi="Times New Roman"/>
          <w:sz w:val="20"/>
        </w:rPr>
        <w:t xml:space="preserve">” shall have correlative meanings.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Blended Rate</w:t>
      </w:r>
      <w:r>
        <w:rPr>
          <w:rFonts w:ascii="Times New Roman" w:hAnsi="Times New Roman"/>
          <w:sz w:val="20"/>
        </w:rPr>
        <w:t xml:space="preserve">” means, with respect to any Taxable Year, the sum of the effective rates of Tax (for the avoidance of doubt, taking into account any U.S. federal benefit of the state or local tax deduction) imposed on the aggregate net income of the PubCo Group Members in each state or local jurisdiction in which the PubCo Group Members file Tax Returns for such Taxable Year, with the effective rate in any state or local jurisdiction (before taking into account any U.S. federal benefit of the state or local tax deduction) being equal to the product of (i) the apportionment factor on PubCo’s income or franchise Tax Return in such jurisdiction for such Taxable Year and (ii) the maximum applicable corporate Tax rate in effect in such jurisdiction in such Taxable Year. As an illustration of the calculation of the Blended Rate for a Taxable Year (before taking into account any U.S. federal benefit of the state or local tax deduction), if the PubCo Group Members solely file Tax Returns in State 1 and State 2 in a Taxable Year, the maximum applicable corporate Tax rates in effect in such states in such Taxable Year are 6.5% and 5.5%, respectively, and the apportionment factors for such states in such Taxable Year are 55% and 45% respectively, then the Blended Rate for such Taxable Year is equal to 6.05% (i.e., 6.5% multiplied by 55% plus 5.5% multiplied by 45%). </w:t>
      </w:r>
    </w:p>
    <w:p>
      <w:pPr>
        <w:pStyle w:val="TextBody"/>
        <w:bidi w:val="0"/>
        <w:spacing w:before="240" w:after="0"/>
        <w:jc w:val="left"/>
        <w:rPr/>
      </w:pPr>
      <w:r>
        <w:rPr/>
        <w:t>“</w:t>
      </w:r>
      <w:r>
        <w:rPr>
          <w:rFonts w:ascii="Times New Roman" w:hAnsi="Times New Roman"/>
          <w:b/>
          <w:sz w:val="20"/>
          <w:u w:val="single"/>
        </w:rPr>
        <w:t>Blocker Attributes</w:t>
      </w:r>
      <w:r>
        <w:rPr>
          <w:rFonts w:ascii="Times New Roman" w:hAnsi="Times New Roman"/>
          <w:sz w:val="20"/>
        </w:rPr>
        <w:t xml:space="preserve">” means, without duplication, the net operating losses, capital losses, and disallowed business interest expense carryforwards or excess business interest expense under Section 163(j) of the Code (and any comparable provision of U.S. federal Tax law) that any PubCo Group Member is entitled to utilize as a result of any Blocker’s participation in the Reorganization that relate to taxable periods (or portions thereof) ending on or prior to the effective date of the Reorganization; provided, however, that for purposes of determining whether any such Tax attribute is a Blocker Attribute, the Taxable Year of the PubCo Group Members and each Blocker that includes the effective date of the Reorganization shall be deemed to end as of the close of such effective date. Notwithstanding the foregoing, the term “Blocker Attribute” shall not include any Tax attribute of a Blocker that is used to offset Taxes of such Blocker, if such offset Taxes are attributable to taxable periods (or any portion thereof) ending on or prior to the effective date of the Reorganization. </w:t>
      </w:r>
    </w:p>
    <w:p>
      <w:pPr>
        <w:pStyle w:val="TextBody"/>
        <w:bidi w:val="0"/>
        <w:spacing w:before="240" w:after="0"/>
        <w:jc w:val="left"/>
        <w:rPr/>
      </w:pPr>
      <w:r>
        <w:rPr/>
        <w:t>“</w:t>
      </w:r>
      <w:r>
        <w:rPr>
          <w:rFonts w:ascii="Times New Roman" w:hAnsi="Times New Roman"/>
          <w:b/>
          <w:sz w:val="20"/>
          <w:u w:val="single"/>
        </w:rPr>
        <w:t>Blockers</w:t>
      </w:r>
      <w:r>
        <w:rPr>
          <w:rFonts w:ascii="Times New Roman" w:hAnsi="Times New Roman"/>
          <w:sz w:val="20"/>
        </w:rPr>
        <w:t xml:space="preserve">” means (i) SOLV Blocker and (ii) SOLV Sub 2 Inc., a Delaware corporation that was converted from a Delaware limited partnership named ASP VIII CSE LP in connection with the Reorganization, and, in each case, any predecessor or successor thereto (including by operation of law). </w:t>
      </w:r>
    </w:p>
    <w:p>
      <w:pPr>
        <w:pStyle w:val="TextBody"/>
        <w:bidi w:val="0"/>
        <w:spacing w:before="240" w:after="0"/>
        <w:jc w:val="left"/>
        <w:rPr/>
      </w:pPr>
      <w:r>
        <w:rPr/>
        <w:t>“</w:t>
      </w:r>
      <w:r>
        <w:rPr>
          <w:rFonts w:ascii="Times New Roman" w:hAnsi="Times New Roman"/>
          <w:b/>
          <w:sz w:val="20"/>
          <w:u w:val="single"/>
        </w:rPr>
        <w:t>Blocker Shareholders</w:t>
      </w:r>
      <w:r>
        <w:rPr>
          <w:rFonts w:ascii="Times New Roman" w:hAnsi="Times New Roman"/>
          <w:sz w:val="20"/>
        </w:rPr>
        <w:t xml:space="preserve">” means ASP VIII SOLV Holdings LP and ASP VIII CSE Holdings LP (and, in each case, any successor thereto or any permitted transferee thereof). </w:t>
      </w:r>
    </w:p>
    <w:p>
      <w:pPr>
        <w:pStyle w:val="TextBody"/>
        <w:bidi w:val="0"/>
        <w:spacing w:before="240" w:after="0"/>
        <w:jc w:val="left"/>
        <w:rPr/>
      </w:pPr>
      <w:r>
        <w:rPr/>
        <w:t>“</w:t>
      </w:r>
      <w:r>
        <w:rPr>
          <w:rFonts w:ascii="Times New Roman" w:hAnsi="Times New Roman"/>
          <w:b/>
          <w:sz w:val="20"/>
          <w:u w:val="single"/>
        </w:rPr>
        <w:t>Board</w:t>
      </w:r>
      <w:r>
        <w:rPr>
          <w:rFonts w:ascii="Times New Roman" w:hAnsi="Times New Roman"/>
          <w:sz w:val="20"/>
        </w:rPr>
        <w:t xml:space="preserve">” means the Board of Directors of PubCo. </w:t>
      </w:r>
    </w:p>
    <w:p>
      <w:pPr>
        <w:pStyle w:val="TextBody"/>
        <w:bidi w:val="0"/>
        <w:spacing w:before="240" w:after="0"/>
        <w:jc w:val="left"/>
        <w:rPr/>
      </w:pPr>
      <w:r>
        <w:rPr/>
        <w:t>“</w:t>
      </w:r>
      <w:r>
        <w:rPr>
          <w:rFonts w:ascii="Times New Roman" w:hAnsi="Times New Roman"/>
          <w:b/>
          <w:sz w:val="20"/>
          <w:u w:val="single"/>
        </w:rPr>
        <w:t>Business Day</w:t>
      </w:r>
      <w:r>
        <w:rPr>
          <w:rFonts w:ascii="Times New Roman" w:hAnsi="Times New Roman"/>
          <w:sz w:val="20"/>
        </w:rPr>
        <w:t xml:space="preserve">” means each day that is not a Saturday, Sunday or other day on which banking institutions in New York, New York or San Diego, California are authorized or required by law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Change of Control</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any Person or any group of Persons acting together that would constitute a “group” for purposes of Section 13(d) of the Securities Exchange Act of 1934, as amended or any successor provisions thereto (excluding (a) a corporation or other entity owned, directly or indirectly, by the stockholders of PubCo in substantially the same proportions as their ownership of stock of PubCo or (b) a Person or group of Persons in which one or more Affiliates of Permitted Investors, directly or indirectly, hold Beneficial Ownership of securities representing more than 50% of the total voting power in such Person or held by such group) is or becomes the Beneficial Owner, directly or indirectly, of securities of PubCo representing more than 50% of the combined voting power of PubCo’s then outstanding voting securities; or </w:t>
      </w:r>
    </w:p>
    <w:p>
      <w:pPr>
        <w:pStyle w:val="TextBody"/>
        <w:bidi w:val="0"/>
        <w:spacing w:before="120" w:after="0"/>
        <w:jc w:val="left"/>
        <w:rPr>
          <w:rFonts w:ascii="Times New Roman" w:hAnsi="Times New Roman"/>
          <w:sz w:val="20"/>
        </w:rPr>
      </w:pPr>
      <w:r>
        <w:rPr>
          <w:rFonts w:ascii="Times New Roman" w:hAnsi="Times New Roman"/>
          <w:sz w:val="20"/>
        </w:rPr>
        <w:t xml:space="preserve">(ii) the following individuals cease for any reason to constitute a majority of the number of directors of PubCo then serving: individuals who, on the IPO Date, constitute the Board and any new director whose appointment or election by the Board or nomination for election by PubCo’s stockholders was approved or recommended by a vote of at least one-half of the directors then still in office who either were directors on the IPO Date or whose appointment, election or nomination for election was previously so approved or recommended by the directors referred to in this clause (ii); or </w:t>
      </w:r>
    </w:p>
    <w:p>
      <w:pPr>
        <w:pStyle w:val="TextBody"/>
        <w:bidi w:val="0"/>
        <w:spacing w:before="120" w:after="0"/>
        <w:jc w:val="left"/>
        <w:rPr>
          <w:rFonts w:ascii="Times New Roman" w:hAnsi="Times New Roman"/>
          <w:sz w:val="20"/>
        </w:rPr>
      </w:pPr>
      <w:r>
        <w:rPr>
          <w:rFonts w:ascii="Times New Roman" w:hAnsi="Times New Roman"/>
          <w:sz w:val="20"/>
        </w:rPr>
        <w:t xml:space="preserve">(iii) there is consummated a merger or consolidation of PubCo with any other corporation or other entity, and, immediately after the consummation of such merger or consolidation, either (x) the Board immediately prior to the merger or consolidation does not constitute at least a majority of the board of directors of the company surviving the merger or, if the surviving company is a Subsidiary, the ultimate parent thereof, or (y) the voting securities of PubCo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 </w:t>
      </w:r>
    </w:p>
    <w:p>
      <w:pPr>
        <w:pStyle w:val="TextBody"/>
        <w:bidi w:val="0"/>
        <w:spacing w:before="120" w:after="0"/>
        <w:jc w:val="left"/>
        <w:rPr>
          <w:rFonts w:ascii="Times New Roman" w:hAnsi="Times New Roman"/>
          <w:sz w:val="20"/>
        </w:rPr>
      </w:pPr>
      <w:r>
        <w:rPr>
          <w:rFonts w:ascii="Times New Roman" w:hAnsi="Times New Roman"/>
          <w:sz w:val="20"/>
        </w:rPr>
        <w:t xml:space="preserve">(iv) the stockholders of PubCo approve a plan of complete liquidation or dissolution of PubCo or there is consummated an agreement or series of related agreements for the sale, lease or other disposition, directly or indirectly, by PubCo of all or substantially all of PubCo’s assets, other than such sale or other disposition by PubCo of all or substantially all of PubCo’s assets to an entity at least 50% of the combined voting power of the voting securities of which are owned by stockholders of PubCo in substantially the same proportions as their ownership of PubCo immediately prior to such sale; or </w:t>
      </w:r>
    </w:p>
    <w:p>
      <w:pPr>
        <w:pStyle w:val="TextBody"/>
        <w:bidi w:val="0"/>
        <w:spacing w:before="120" w:after="0"/>
        <w:jc w:val="left"/>
        <w:rPr>
          <w:rFonts w:ascii="Times New Roman" w:hAnsi="Times New Roman"/>
          <w:sz w:val="20"/>
        </w:rPr>
      </w:pPr>
      <w:r>
        <w:rPr>
          <w:rFonts w:ascii="Times New Roman" w:hAnsi="Times New Roman"/>
          <w:sz w:val="20"/>
        </w:rPr>
        <w:t xml:space="preserve">(v) SOLV Blocker (x) ceases to be (directly or indirectly) the sole managing member of OpCo (unless PubCo or a wholly owned Subsidiary thereof becomes the sole managing member of OpCo immediately after such cessation, in which case this clause (v) shall thereafter be applied by reference to PubCo or such Subsidiary, as applicable, </w:t>
      </w:r>
      <w:r>
        <w:rPr>
          <w:rFonts w:ascii="Times New Roman" w:hAnsi="Times New Roman"/>
          <w:i/>
          <w:sz w:val="20"/>
        </w:rPr>
        <w:t>mutatis mutandis</w:t>
      </w:r>
      <w:r>
        <w:rPr>
          <w:rFonts w:ascii="Times New Roman" w:hAnsi="Times New Roman"/>
          <w:sz w:val="20"/>
        </w:rPr>
        <w:t xml:space="preserve">) or (y) ceases to be (directly or indirectly) wholly owned by PubCo.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except with respect to clause (ii), clause (iii)(x), and clause (v) above, a “Change of Control” shall not be deemed to have occurred by virtue of the consummation of any transaction or series of integrated transactions immediately following which the record holders of the shares of PubCo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PubCo immediately following such transaction or series of transactions, and (B) a “Change of Control” shall not be deemed to have occurred with respect to a particular transaction or occurrence (or series of transactions or occurrences) if the TRA Party Representative elects in writing to treat any such transaction or occurrence (or series of transactions or occurrences) as not resulting in a “Change of Control.” </w:t>
      </w:r>
    </w:p>
    <w:p>
      <w:pPr>
        <w:pStyle w:val="TextBody"/>
        <w:bidi w:val="0"/>
        <w:spacing w:before="240" w:after="0"/>
        <w:jc w:val="left"/>
        <w:rPr/>
      </w:pPr>
      <w:r>
        <w:rPr/>
        <w:t>“</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A Shares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u w:val="single"/>
        </w:rPr>
        <w:t>Control</w:t>
      </w:r>
      <w:r>
        <w:rPr>
          <w:rFonts w:ascii="Times New Roman" w:hAnsi="Times New Roman"/>
          <w:sz w:val="20"/>
        </w:rPr>
        <w:t xml:space="preserve">” means the possession, direct or indirect, of the power to direct or cause the direction of the management and policies of a Person, whether through ownership of voting securities, by contract or otherwise. </w:t>
      </w:r>
    </w:p>
    <w:p>
      <w:pPr>
        <w:pStyle w:val="TextBody"/>
        <w:bidi w:val="0"/>
        <w:spacing w:before="240" w:after="0"/>
        <w:jc w:val="left"/>
        <w:rPr/>
      </w:pPr>
      <w:r>
        <w:rPr/>
        <w:t>“</w:t>
      </w:r>
      <w:r>
        <w:rPr>
          <w:rFonts w:ascii="Times New Roman" w:hAnsi="Times New Roman"/>
          <w:b/>
          <w:sz w:val="20"/>
          <w:u w:val="single"/>
        </w:rPr>
        <w:t>Covered Person</w:t>
      </w:r>
      <w:r>
        <w:rPr>
          <w:rFonts w:ascii="Times New Roman" w:hAnsi="Times New Roman"/>
          <w:sz w:val="20"/>
        </w:rPr>
        <w:t xml:space="preserve">” has the meaning set forth in Section 7.14 of this Agreement. </w:t>
      </w:r>
    </w:p>
    <w:p>
      <w:pPr>
        <w:pStyle w:val="TextBody"/>
        <w:bidi w:val="0"/>
        <w:spacing w:before="240" w:after="0"/>
        <w:jc w:val="left"/>
        <w:rPr/>
      </w:pPr>
      <w:r>
        <w:rPr/>
        <w:t>“</w:t>
      </w:r>
      <w:r>
        <w:rPr>
          <w:rFonts w:ascii="Times New Roman" w:hAnsi="Times New Roman"/>
          <w:b/>
          <w:sz w:val="20"/>
          <w:u w:val="single"/>
        </w:rPr>
        <w:t>Cumulative Net Realized Tax Benefit</w:t>
      </w:r>
      <w:r>
        <w:rPr>
          <w:rFonts w:ascii="Times New Roman" w:hAnsi="Times New Roman"/>
          <w:sz w:val="20"/>
        </w:rPr>
        <w:t>” for a Taxable Year means the cumulative amount of Realized Tax Benefits for all Taxable Years of the PubCo Group Members, up to and including such Taxable Year, reduced, but not below zero, by the cumulative amount of Realized Tax Detriment for the same period. The Realized Tax Benefit and Realized Tax Detriment for each Taxable Year shall be determined based on the most recent Tax Benefit Schedules or Amended Schedules, if any, in existence at the time of such calculation;</w:t>
      </w:r>
      <w:r>
        <w:rPr>
          <w:rFonts w:ascii="Times New Roman" w:hAnsi="Times New Roman"/>
          <w:sz w:val="20"/>
          <w:u w:val="single"/>
        </w:rPr>
        <w:t xml:space="preserve"> provided</w:t>
      </w:r>
      <w:r>
        <w:rPr>
          <w:rFonts w:ascii="Times New Roman" w:hAnsi="Times New Roman"/>
          <w:sz w:val="20"/>
        </w:rPr>
        <w:t xml:space="preserve">, that, for the avoidance of doubt, the computation of the Cumulative Net Realized Tax Benefit shall be adjusted to reflect any applicable Determination with respect to any Realized Tax Benefits and/or Realized Tax Detriments. </w:t>
      </w:r>
    </w:p>
    <w:p>
      <w:pPr>
        <w:pStyle w:val="TextBody"/>
        <w:bidi w:val="0"/>
        <w:spacing w:before="240" w:after="0"/>
        <w:jc w:val="left"/>
        <w:rPr/>
      </w:pPr>
      <w:r>
        <w:rPr/>
        <w:t>“</w:t>
      </w:r>
      <w:r>
        <w:rPr>
          <w:rFonts w:ascii="Times New Roman" w:hAnsi="Times New Roman"/>
          <w:b/>
          <w:sz w:val="20"/>
          <w:u w:val="single"/>
        </w:rPr>
        <w:t>Default Rate</w:t>
      </w:r>
      <w:r>
        <w:rPr>
          <w:rFonts w:ascii="Times New Roman" w:hAnsi="Times New Roman"/>
          <w:sz w:val="20"/>
        </w:rPr>
        <w:t xml:space="preserve">” means a per annum rate of SOFR plus 500 basis points. </w:t>
      </w:r>
    </w:p>
    <w:p>
      <w:pPr>
        <w:pStyle w:val="TextBody"/>
        <w:bidi w:val="0"/>
        <w:spacing w:before="240" w:after="0"/>
        <w:jc w:val="left"/>
        <w:rPr/>
      </w:pPr>
      <w:r>
        <w:rPr/>
        <w:t>“</w:t>
      </w:r>
      <w:r>
        <w:rPr>
          <w:rFonts w:ascii="Times New Roman" w:hAnsi="Times New Roman"/>
          <w:b/>
          <w:sz w:val="20"/>
          <w:u w:val="single"/>
        </w:rPr>
        <w:t>Determination</w:t>
      </w:r>
      <w:r>
        <w:rPr>
          <w:rFonts w:ascii="Times New Roman" w:hAnsi="Times New Roman"/>
          <w:sz w:val="20"/>
        </w:rPr>
        <w:t xml:space="preserve">” has the meaning ascribed to such term in Section 1313(a) of the Code or similar provision of state, local, or foreign Tax law, as applicable, and shall include any other event (including the execution of IRS Form 870-AD) that finally and conclusively establishes the amount of any liability for Tax. </w:t>
      </w:r>
    </w:p>
    <w:p>
      <w:pPr>
        <w:pStyle w:val="TextBody"/>
        <w:bidi w:val="0"/>
        <w:spacing w:before="240" w:after="0"/>
        <w:jc w:val="left"/>
        <w:rPr/>
      </w:pPr>
      <w:r>
        <w:rPr/>
        <w:t>“</w:t>
      </w:r>
      <w:r>
        <w:rPr>
          <w:rFonts w:ascii="Times New Roman" w:hAnsi="Times New Roman"/>
          <w:b/>
          <w:sz w:val="20"/>
          <w:u w:val="single"/>
        </w:rPr>
        <w:t>Early Termination Date</w:t>
      </w:r>
      <w:r>
        <w:rPr>
          <w:rFonts w:ascii="Times New Roman" w:hAnsi="Times New Roman"/>
          <w:sz w:val="20"/>
        </w:rPr>
        <w:t xml:space="preserve">” means the date of an Early Termination Notice for purposes of determining the Early Termination Payment. </w:t>
      </w:r>
    </w:p>
    <w:p>
      <w:pPr>
        <w:pStyle w:val="TextBody"/>
        <w:bidi w:val="0"/>
        <w:spacing w:before="240" w:after="0"/>
        <w:jc w:val="left"/>
        <w:rPr/>
      </w:pPr>
      <w:r>
        <w:rPr/>
        <w:t>“</w:t>
      </w:r>
      <w:r>
        <w:rPr>
          <w:rFonts w:ascii="Times New Roman" w:hAnsi="Times New Roman"/>
          <w:b/>
          <w:sz w:val="20"/>
          <w:u w:val="single"/>
        </w:rPr>
        <w:t>Early Termination Effective Date</w:t>
      </w:r>
      <w:r>
        <w:rPr>
          <w:rFonts w:ascii="Times New Roman" w:hAnsi="Times New Roman"/>
          <w:sz w:val="20"/>
        </w:rPr>
        <w:t xml:space="preserve">” means the date on which an Early Termination Schedule becomes binding pursuant to Section 4.2. </w:t>
      </w:r>
    </w:p>
    <w:p>
      <w:pPr>
        <w:pStyle w:val="TextBody"/>
        <w:bidi w:val="0"/>
        <w:spacing w:before="240" w:after="0"/>
        <w:jc w:val="left"/>
        <w:rPr/>
      </w:pPr>
      <w:r>
        <w:rPr/>
        <w:t>“</w:t>
      </w:r>
      <w:r>
        <w:rPr>
          <w:rFonts w:ascii="Times New Roman" w:hAnsi="Times New Roman"/>
          <w:b/>
          <w:sz w:val="20"/>
          <w:u w:val="single"/>
        </w:rPr>
        <w:t>Early Termination Notice</w:t>
      </w:r>
      <w:r>
        <w:rPr>
          <w:rFonts w:ascii="Times New Roman" w:hAnsi="Times New Roman"/>
          <w:sz w:val="20"/>
        </w:rPr>
        <w:t xml:space="preserve">” has the meaning set forth in Section 4.2 of this Agreement. </w:t>
      </w:r>
    </w:p>
    <w:p>
      <w:pPr>
        <w:pStyle w:val="TextBody"/>
        <w:bidi w:val="0"/>
        <w:spacing w:before="240" w:after="0"/>
        <w:jc w:val="left"/>
        <w:rPr/>
      </w:pPr>
      <w:r>
        <w:rPr/>
        <w:t>“</w:t>
      </w:r>
      <w:r>
        <w:rPr>
          <w:rFonts w:ascii="Times New Roman" w:hAnsi="Times New Roman"/>
          <w:b/>
          <w:sz w:val="20"/>
          <w:u w:val="single"/>
        </w:rPr>
        <w:t>Early Termination Payment</w:t>
      </w:r>
      <w:r>
        <w:rPr>
          <w:rFonts w:ascii="Times New Roman" w:hAnsi="Times New Roman"/>
          <w:sz w:val="20"/>
        </w:rPr>
        <w:t xml:space="preserve">” has the meaning set forth in Section 4.3(b)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Early Termination Rate</w:t>
      </w:r>
      <w:r>
        <w:rPr>
          <w:rFonts w:ascii="Times New Roman" w:hAnsi="Times New Roman"/>
          <w:sz w:val="20"/>
        </w:rPr>
        <w:t xml:space="preserve">” means the lesser of (i) 6.5% per annum, compounded annually, and (ii) SOFR plus 100 basis points. </w:t>
      </w:r>
    </w:p>
    <w:p>
      <w:pPr>
        <w:pStyle w:val="TextBody"/>
        <w:bidi w:val="0"/>
        <w:spacing w:before="240" w:after="0"/>
        <w:jc w:val="left"/>
        <w:rPr/>
      </w:pPr>
      <w:r>
        <w:rPr/>
        <w:t>“</w:t>
      </w:r>
      <w:r>
        <w:rPr>
          <w:rFonts w:ascii="Times New Roman" w:hAnsi="Times New Roman"/>
          <w:b/>
          <w:sz w:val="20"/>
          <w:u w:val="single"/>
        </w:rPr>
        <w:t>Early Termination Schedule</w:t>
      </w:r>
      <w:r>
        <w:rPr>
          <w:rFonts w:ascii="Times New Roman" w:hAnsi="Times New Roman"/>
          <w:sz w:val="20"/>
        </w:rPr>
        <w:t xml:space="preserve">” has the meaning set forth in Section 4.2 of this Agreement. </w:t>
      </w:r>
    </w:p>
    <w:p>
      <w:pPr>
        <w:pStyle w:val="TextBody"/>
        <w:bidi w:val="0"/>
        <w:spacing w:before="240" w:after="0"/>
        <w:jc w:val="left"/>
        <w:rPr/>
      </w:pPr>
      <w:r>
        <w:rPr/>
        <w:t>“</w:t>
      </w:r>
      <w:r>
        <w:rPr>
          <w:rFonts w:ascii="Times New Roman" w:hAnsi="Times New Roman"/>
          <w:b/>
          <w:sz w:val="20"/>
          <w:u w:val="single"/>
        </w:rPr>
        <w:t>Exchange</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Exchange Basis</w:t>
      </w:r>
      <w:r>
        <w:rPr>
          <w:rFonts w:ascii="Times New Roman" w:hAnsi="Times New Roman"/>
          <w:sz w:val="20"/>
        </w:rPr>
        <w:t xml:space="preserve">” means the Tax basis of the Reference Assets (other than any Basis Adjustments) that are depreciable under Section 167 of the Code, amortizable under Section 197 of the Code or that are otherwise reported as amortizable or depreciable on IRS Form 4562 (or any successor form) for U.S. federal income Tax purposes associated with the Units transferred upon an Exchange, determined as of the time of the Exchange; </w:t>
      </w:r>
      <w:r>
        <w:rPr>
          <w:rFonts w:ascii="Times New Roman" w:hAnsi="Times New Roman"/>
          <w:i/>
          <w:sz w:val="20"/>
        </w:rPr>
        <w:t>provided</w:t>
      </w:r>
      <w:r>
        <w:rPr>
          <w:rFonts w:ascii="Times New Roman" w:hAnsi="Times New Roman"/>
          <w:sz w:val="20"/>
        </w:rPr>
        <w:t xml:space="preserve">, that, in order to avoid double counting, any Tax basis included in the IPO Basis Attributable to Exchange TRA Parties shall be excluded from the determination of the Exchange Basis. </w:t>
      </w:r>
    </w:p>
    <w:p>
      <w:pPr>
        <w:pStyle w:val="TextBody"/>
        <w:bidi w:val="0"/>
        <w:spacing w:before="240" w:after="0"/>
        <w:jc w:val="left"/>
        <w:rPr/>
      </w:pPr>
      <w:r>
        <w:rPr/>
        <w:t>“</w:t>
      </w:r>
      <w:r>
        <w:rPr>
          <w:rFonts w:ascii="Times New Roman" w:hAnsi="Times New Roman"/>
          <w:b/>
          <w:sz w:val="20"/>
          <w:u w:val="single"/>
        </w:rPr>
        <w:t>Exchange Date</w:t>
      </w:r>
      <w:r>
        <w:rPr>
          <w:rFonts w:ascii="Times New Roman" w:hAnsi="Times New Roman"/>
          <w:sz w:val="20"/>
        </w:rPr>
        <w:t xml:space="preserve">” means the date of any Exchange. </w:t>
      </w:r>
    </w:p>
    <w:p>
      <w:pPr>
        <w:pStyle w:val="TextBody"/>
        <w:bidi w:val="0"/>
        <w:spacing w:before="240" w:after="0"/>
        <w:jc w:val="left"/>
        <w:rPr/>
      </w:pPr>
      <w:r>
        <w:rPr/>
        <w:t>“</w:t>
      </w:r>
      <w:r>
        <w:rPr>
          <w:rFonts w:ascii="Times New Roman" w:hAnsi="Times New Roman"/>
          <w:b/>
          <w:sz w:val="20"/>
          <w:u w:val="single"/>
        </w:rPr>
        <w:t>Exchange TRA Party</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Expert</w:t>
      </w:r>
      <w:r>
        <w:rPr>
          <w:rFonts w:ascii="Times New Roman" w:hAnsi="Times New Roman"/>
          <w:sz w:val="20"/>
        </w:rPr>
        <w:t xml:space="preserve">” has the meaning set forth in Section 7.9 of this Agreement. </w:t>
      </w:r>
    </w:p>
    <w:p>
      <w:pPr>
        <w:pStyle w:val="TextBody"/>
        <w:bidi w:val="0"/>
        <w:spacing w:before="240" w:after="0"/>
        <w:jc w:val="left"/>
        <w:rPr/>
      </w:pPr>
      <w:r>
        <w:rPr/>
        <w:t>“</w:t>
      </w:r>
      <w:r>
        <w:rPr>
          <w:rFonts w:ascii="Times New Roman" w:hAnsi="Times New Roman"/>
          <w:b/>
          <w:sz w:val="20"/>
          <w:u w:val="single"/>
        </w:rPr>
        <w:t>Future TRAs</w:t>
      </w:r>
      <w:r>
        <w:rPr>
          <w:rFonts w:ascii="Times New Roman" w:hAnsi="Times New Roman"/>
          <w:sz w:val="20"/>
        </w:rPr>
        <w:t xml:space="preserve">” has the meaning set forth in Section 5.1 of this Agreement. </w:t>
      </w:r>
    </w:p>
    <w:p>
      <w:pPr>
        <w:pStyle w:val="TextBody"/>
        <w:bidi w:val="0"/>
        <w:spacing w:before="240" w:after="0"/>
        <w:jc w:val="left"/>
        <w:rPr/>
      </w:pPr>
      <w:r>
        <w:rPr/>
        <w:t>“</w:t>
      </w:r>
      <w:r>
        <w:rPr>
          <w:rFonts w:ascii="Times New Roman" w:hAnsi="Times New Roman"/>
          <w:b/>
          <w:sz w:val="20"/>
          <w:u w:val="single"/>
        </w:rPr>
        <w:t>GP NewCo</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Hypothetical Tax Liability</w:t>
      </w:r>
      <w:r>
        <w:rPr>
          <w:rFonts w:ascii="Times New Roman" w:hAnsi="Times New Roman"/>
          <w:sz w:val="20"/>
        </w:rPr>
        <w:t xml:space="preserve">” means, with respect to any Taxable Year, the sum of (i) (A) the liability for U.S. federal income Taxes of the PubCo Group Members (calculated by assuming, in order to avoid double counting, that state and local Taxes are not deductible by the PubCo Group Members for U.S. federal income Tax purposes) and (B) without duplication, the portion of any liability for U.S. federal income Taxes imposed directly on OpCo (and OpCo’s applicable subsidiaries) under Section 6225 or any similar provision of the Code that is allocable to any PubCo Group Member under Section 704 of the Code or otherwise attributable to any PubCo Group Member in accordance with the OpCo Agreement, in each case using the same methods, elections, conventions and similar practices used on the relevant IRS Form 1120 (or any successor form) and (ii) the product of the U.S. federal taxable income for such Taxable Year reported on PubCo’s IRS Form 1120 (or any successor form) (calculated by excluding deductions for state and local Taxes) and the Blended Rate, but, in the determination of the liability in clause (i) and the amount in clause (ii), above, (a) without taking into account Blocker Attributes, if any, (b) using the Non-Reorganization Transferred Basis as reflected on the Attribute Schedule including amendments thereto for the Taxable Year, (c) using the Non-IPO Basis as reflected on the Attribute Schedule including amendments thereto for the Taxable Year, (d) using the Non-Exchange Basis as reflected on the Attribute Schedule including amendments thereto for the Taxable Year, (e) using the Non-Stepped Up Tax Basis as reflected on the Attribute Schedule including amendments thereto for the Taxable Year, and (f) excluding any deduction attributable to Imputed Interest attributable to any payment made under this Agreement. For the avoidance of doubt, Hypothetical Tax Liability shall be determined without taking into account the carryover or carryback of any Tax item (or portions thereof)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the existence of any excess business interest expense under Section 163(j) of the Code or Tax items resulting therefrom) that is attributable to a Tax Attribute. For the avoidance of doubt, the basis of the Reference Assets in the aggregate for purposes of determining the Hypothetical Tax Liability can never be less than zero. </w:t>
      </w:r>
    </w:p>
    <w:p>
      <w:pPr>
        <w:pStyle w:val="TextBody"/>
        <w:bidi w:val="0"/>
        <w:spacing w:before="240" w:after="0"/>
        <w:jc w:val="left"/>
        <w:rPr/>
      </w:pPr>
      <w:r>
        <w:rPr/>
        <w:t>“</w:t>
      </w:r>
      <w:r>
        <w:rPr>
          <w:rFonts w:ascii="Times New Roman" w:hAnsi="Times New Roman"/>
          <w:b/>
          <w:sz w:val="20"/>
          <w:u w:val="single"/>
        </w:rPr>
        <w:t>Hypothetical Total TRA Attribute Claim</w:t>
      </w:r>
      <w:r>
        <w:rPr>
          <w:rFonts w:ascii="Times New Roman" w:hAnsi="Times New Roman"/>
          <w:sz w:val="20"/>
        </w:rPr>
        <w:t xml:space="preserve">” means, with respect to each of the TRA Parties, the total amount of amortization and depreciation deductions that the PubCo Group Members would be deemed to be entitled to with respect to the Exchange Basis or Reorganization Transferred Basis for each Reference Asset that is attributable to such TRA Party, determined as of the date PubCo (directly or indirectly) acquires the Units transferred upon an Exchange or Acquired Units attributable to such TRA Party, calculated over the full expected recovery period of such Exchange Basis or Reorganization Transferred Basis taking into account the conventions and methods applicable under the Code and Treasury Regulations, including Section 704(c) and the principles thereof, and assuming for this purpose that the PubCo Group Members will have sufficient taxable income in the current and future Taxable Years to fully utilize such deductions. </w:t>
      </w:r>
    </w:p>
    <w:p>
      <w:pPr>
        <w:pStyle w:val="TextBody"/>
        <w:bidi w:val="0"/>
        <w:spacing w:before="240" w:after="0"/>
        <w:jc w:val="left"/>
        <w:rPr/>
      </w:pPr>
      <w:r>
        <w:rPr/>
        <w:t>“</w:t>
      </w:r>
      <w:r>
        <w:rPr>
          <w:rFonts w:ascii="Times New Roman" w:hAnsi="Times New Roman"/>
          <w:b/>
          <w:sz w:val="20"/>
          <w:u w:val="single"/>
        </w:rPr>
        <w:t>ICC</w:t>
      </w:r>
      <w:r>
        <w:rPr>
          <w:rFonts w:ascii="Times New Roman" w:hAnsi="Times New Roman"/>
          <w:sz w:val="20"/>
        </w:rPr>
        <w:t xml:space="preserve">” has the meaning set forth in Section 7.9 of this Agreement. </w:t>
      </w:r>
    </w:p>
    <w:p>
      <w:pPr>
        <w:pStyle w:val="TextBody"/>
        <w:bidi w:val="0"/>
        <w:spacing w:before="240" w:after="0"/>
        <w:jc w:val="left"/>
        <w:rPr/>
      </w:pPr>
      <w:r>
        <w:rPr/>
        <w:t>“</w:t>
      </w:r>
      <w:r>
        <w:rPr>
          <w:rFonts w:ascii="Times New Roman" w:hAnsi="Times New Roman"/>
          <w:b/>
          <w:sz w:val="20"/>
          <w:u w:val="single"/>
        </w:rPr>
        <w:t>Imputed Interest</w:t>
      </w:r>
      <w:r>
        <w:rPr>
          <w:rFonts w:ascii="Times New Roman" w:hAnsi="Times New Roman"/>
          <w:sz w:val="20"/>
        </w:rPr>
        <w:t xml:space="preserve">” in respect of a TRA Party means any interest imputed under Sections 1272, 1274 or 483 or other provision of the Code with respect to PubCo’s payment obligations in respect of such TRA Party under this Agreement. </w:t>
      </w:r>
    </w:p>
    <w:p>
      <w:pPr>
        <w:pStyle w:val="TextBody"/>
        <w:bidi w:val="0"/>
        <w:spacing w:before="240" w:after="0"/>
        <w:jc w:val="left"/>
        <w:rPr/>
      </w:pPr>
      <w:r>
        <w:rPr/>
        <w:t>“</w:t>
      </w:r>
      <w:r>
        <w:rPr>
          <w:rFonts w:ascii="Times New Roman" w:hAnsi="Times New Roman"/>
          <w:b/>
          <w:sz w:val="20"/>
          <w:u w:val="single"/>
        </w:rPr>
        <w:t>Individual Payment Recipient</w:t>
      </w:r>
      <w:r>
        <w:rPr>
          <w:rFonts w:ascii="Times New Roman" w:hAnsi="Times New Roman"/>
          <w:sz w:val="20"/>
        </w:rPr>
        <w:t xml:space="preserve">” has the meaning set forth in Section 4.1(a). </w:t>
      </w:r>
    </w:p>
    <w:p>
      <w:pPr>
        <w:pStyle w:val="TextBody"/>
        <w:bidi w:val="0"/>
        <w:spacing w:before="240" w:after="0"/>
        <w:jc w:val="left"/>
        <w:rPr/>
      </w:pPr>
      <w:r>
        <w:rPr/>
        <w:t>“</w:t>
      </w:r>
      <w:r>
        <w:rPr>
          <w:rFonts w:ascii="Times New Roman" w:hAnsi="Times New Roman"/>
          <w:b/>
          <w:sz w:val="20"/>
          <w:u w:val="single"/>
        </w:rPr>
        <w:t>Interest Amount</w:t>
      </w:r>
      <w:r>
        <w:rPr>
          <w:rFonts w:ascii="Times New Roman" w:hAnsi="Times New Roman"/>
          <w:sz w:val="20"/>
        </w:rPr>
        <w:t xml:space="preserve">” has the meaning set forth in Section 3.1(b) of this Agreement. </w:t>
      </w:r>
    </w:p>
    <w:p>
      <w:pPr>
        <w:pStyle w:val="TextBody"/>
        <w:bidi w:val="0"/>
        <w:spacing w:before="240" w:after="0"/>
        <w:jc w:val="left"/>
        <w:rPr/>
      </w:pPr>
      <w:r>
        <w:rPr/>
        <w:t>“</w:t>
      </w:r>
      <w:r>
        <w:rPr>
          <w:rFonts w:ascii="Times New Roman" w:hAnsi="Times New Roman"/>
          <w:b/>
          <w:sz w:val="20"/>
          <w:u w:val="single"/>
        </w:rPr>
        <w:t>IPO</w:t>
      </w:r>
      <w:r>
        <w:rPr>
          <w:rFonts w:ascii="Times New Roman" w:hAnsi="Times New Roman"/>
          <w:sz w:val="20"/>
        </w:rPr>
        <w:t xml:space="preserve">” means the initial public offering of Class A Shares by PubCo (including any greenshoe related to such initial public offering). </w:t>
      </w:r>
    </w:p>
    <w:p>
      <w:pPr>
        <w:pStyle w:val="TextBody"/>
        <w:bidi w:val="0"/>
        <w:spacing w:before="240" w:after="0"/>
        <w:jc w:val="left"/>
        <w:rPr/>
      </w:pPr>
      <w:r>
        <w:rPr/>
        <w:t>“</w:t>
      </w:r>
      <w:r>
        <w:rPr>
          <w:rFonts w:ascii="Times New Roman" w:hAnsi="Times New Roman"/>
          <w:b/>
          <w:sz w:val="20"/>
          <w:u w:val="single"/>
        </w:rPr>
        <w:t>IPO Acquisition</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IPO Basis</w:t>
      </w:r>
      <w:r>
        <w:rPr>
          <w:rFonts w:ascii="Times New Roman" w:hAnsi="Times New Roman"/>
          <w:sz w:val="20"/>
        </w:rPr>
        <w:t xml:space="preserve">” means the Tax basis of the Reference Assets that are depreciable under Section 167 of the Code, amortizable under Section 197 of the Code or that are otherwise reported as amortizable or depreciable on IRS Form 4562 (or any successor form) for U.S. federal income Tax purposes to the extent allocable to the PubCo Group Members (for the avoidance of doubt, including as a result of Section 704(c) of the Code or the principles thereof) as a result of (i) any PubCo Group Member’s acquisition of IPO Units or (ii) any Subsequent Primary Contribution; provided, however, that IPO Basis shall not include any Tax basis in Reference Assets that are acquired after a Primary Contribution that is allocable to the PubCo Group Members as a result of their ownership prior to such acquisition of such Reference Assets. </w:t>
      </w:r>
    </w:p>
    <w:p>
      <w:pPr>
        <w:pStyle w:val="TextBody"/>
        <w:bidi w:val="0"/>
        <w:spacing w:before="240" w:after="0"/>
        <w:jc w:val="left"/>
        <w:rPr/>
      </w:pPr>
      <w:r>
        <w:rPr/>
        <w:t>“</w:t>
      </w:r>
      <w:r>
        <w:rPr>
          <w:rFonts w:ascii="Times New Roman" w:hAnsi="Times New Roman"/>
          <w:b/>
          <w:sz w:val="20"/>
          <w:u w:val="single"/>
        </w:rPr>
        <w:t>IPO Basis Percentage</w:t>
      </w:r>
      <w:r>
        <w:rPr>
          <w:rFonts w:ascii="Times New Roman" w:hAnsi="Times New Roman"/>
          <w:sz w:val="20"/>
        </w:rPr>
        <w:t xml:space="preserve">” means, in respect of a TRA Party, the percentage, the numerator of which is the number of Units (including, for the avoidance of doubt, any Unvested Units) held directly or indirectly by such TRA Party (or, in the case of the AS New Aggregator, by the AS General Partner and the Blocker Shareholders) immediately prior to the Reorganization (but after giving effect to the Unit Distributions and the acquisition of the Blockers by the Blocker Shareholders) and the denominator of which is the total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for the avoidance of doubt, any Unvested Units) outstanding immediately prior to the Reorganization (but after giving effect to the Unit Distributions). In the case of the Blocker Shareholders and the AS General Partner (and, by reason of the transfer of rights under this Agreement by such Persons to the AS New Aggregator, the AS New Aggregator), the IPO Basis Percentage shall be determined based on the number of Units indirectly held by such Blocker Shareholders or the AS General Partner as a result of their ownership of the applicable Blocker or GP NewCo, as applicable, immediately prior to the Reorganization (but after giving effect to the Unit Distributions, the acquisition of the Blockers by the Blocker Shareholders, and the contribution of Units by the AS General Partner to GP NewCo). </w:t>
      </w:r>
    </w:p>
    <w:p>
      <w:pPr>
        <w:pStyle w:val="TextBody"/>
        <w:bidi w:val="0"/>
        <w:spacing w:before="240" w:after="0"/>
        <w:jc w:val="left"/>
        <w:rPr/>
      </w:pPr>
      <w:r>
        <w:rPr/>
        <w:t>“</w:t>
      </w:r>
      <w:r>
        <w:rPr>
          <w:rFonts w:ascii="Times New Roman" w:hAnsi="Times New Roman"/>
          <w:b/>
          <w:sz w:val="20"/>
          <w:u w:val="single"/>
        </w:rPr>
        <w:t>IPO Date</w:t>
      </w:r>
      <w:r>
        <w:rPr>
          <w:rFonts w:ascii="Times New Roman" w:hAnsi="Times New Roman"/>
          <w:sz w:val="20"/>
        </w:rPr>
        <w:t xml:space="preserve">” means the initial closing date of the IPO. </w:t>
      </w:r>
    </w:p>
    <w:p>
      <w:pPr>
        <w:pStyle w:val="TextBody"/>
        <w:bidi w:val="0"/>
        <w:spacing w:before="240" w:after="0"/>
        <w:jc w:val="left"/>
        <w:rPr/>
      </w:pPr>
      <w:r>
        <w:rPr/>
        <w:t>“</w:t>
      </w:r>
      <w:r>
        <w:rPr>
          <w:rFonts w:ascii="Times New Roman" w:hAnsi="Times New Roman"/>
          <w:b/>
          <w:sz w:val="20"/>
          <w:u w:val="single"/>
        </w:rPr>
        <w:t>IPO Primary Contributions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IPO Units</w:t>
      </w:r>
      <w:r>
        <w:rPr>
          <w:rFonts w:ascii="Times New Roman" w:hAnsi="Times New Roman"/>
          <w:sz w:val="20"/>
        </w:rPr>
        <w:t xml:space="preserve">” means the Units acquired by any PubCo Group Member with the net proceeds from the IPO (excluding any Units acquired in an Exchange). </w:t>
      </w:r>
    </w:p>
    <w:p>
      <w:pPr>
        <w:pStyle w:val="TextBody"/>
        <w:bidi w:val="0"/>
        <w:spacing w:before="240" w:after="0"/>
        <w:jc w:val="left"/>
        <w:rPr/>
      </w:pPr>
      <w:r>
        <w:rPr/>
        <w:t>“</w:t>
      </w:r>
      <w:r>
        <w:rPr>
          <w:rFonts w:ascii="Times New Roman" w:hAnsi="Times New Roman"/>
          <w:b/>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b/>
          <w:sz w:val="20"/>
          <w:u w:val="single"/>
        </w:rPr>
        <w:t>Mandatory Assignment</w:t>
      </w:r>
      <w:r>
        <w:rPr>
          <w:rFonts w:ascii="Times New Roman" w:hAnsi="Times New Roman"/>
          <w:sz w:val="20"/>
        </w:rPr>
        <w:t xml:space="preserve">” has the meaning set forth in Section 7.6 of this Agreement. </w:t>
      </w:r>
    </w:p>
    <w:p>
      <w:pPr>
        <w:pStyle w:val="TextBody"/>
        <w:bidi w:val="0"/>
        <w:spacing w:before="240" w:after="0"/>
        <w:jc w:val="left"/>
        <w:rPr/>
      </w:pPr>
      <w:r>
        <w:rPr/>
        <w:t>“</w:t>
      </w:r>
      <w:r>
        <w:rPr>
          <w:rFonts w:ascii="Times New Roman" w:hAnsi="Times New Roman"/>
          <w:b/>
          <w:sz w:val="20"/>
          <w:u w:val="single"/>
        </w:rPr>
        <w:t>Market Value</w:t>
      </w:r>
      <w:r>
        <w:rPr>
          <w:rFonts w:ascii="Times New Roman" w:hAnsi="Times New Roman"/>
          <w:sz w:val="20"/>
        </w:rPr>
        <w:t xml:space="preserve">” means, with respect to a Unit, the closing price per share of the Class A Shares on the applicable Exchange Date on the national securities exchange or interdealer quotation system on which such Class A Shares are then traded or listed, as reported by the </w:t>
      </w:r>
      <w:r>
        <w:rPr>
          <w:rFonts w:ascii="Times New Roman" w:hAnsi="Times New Roman"/>
          <w:i/>
          <w:sz w:val="20"/>
        </w:rPr>
        <w:t>Wall Street Journal</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if the closing price is not reported by the </w:t>
      </w:r>
      <w:r>
        <w:rPr>
          <w:rFonts w:ascii="Times New Roman" w:hAnsi="Times New Roman"/>
          <w:i/>
          <w:sz w:val="20"/>
        </w:rPr>
        <w:t xml:space="preserve">Wall Street Journal </w:t>
      </w:r>
      <w:r>
        <w:rPr>
          <w:rFonts w:ascii="Times New Roman" w:hAnsi="Times New Roman"/>
          <w:sz w:val="20"/>
        </w:rPr>
        <w:t xml:space="preserve">for the applicable Exchange Date, then the Market Value shall mean the closing price of the Class A Shares on the Business Day immediately preceding such Exchange Date on the national securities exchange or interdealer quotation system on which such Class A Shares are then traded or listed, as reported by the </w:t>
      </w:r>
      <w:r>
        <w:rPr>
          <w:rFonts w:ascii="Times New Roman" w:hAnsi="Times New Roman"/>
          <w:i/>
          <w:sz w:val="20"/>
        </w:rPr>
        <w:t>Wall Street Journal</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Class A Shares are not then listed on a national securities exchange or interdealer quotation system, “Market Value” shall mean the cash consideration paid per share for Class A Shares, or the fair market value of the other property delivered per share for Class A Shares, as determined by the Board in good faith. Notwithstanding anything to the contrary in the above sentence, to the extent the Units are exchanged for cash in a transaction, the Market Value shall be determined by reference to the amount of cash transferred per Unit in such transaction. </w:t>
      </w:r>
    </w:p>
    <w:p>
      <w:pPr>
        <w:pStyle w:val="TextBody"/>
        <w:bidi w:val="0"/>
        <w:spacing w:before="240" w:after="0"/>
        <w:jc w:val="left"/>
        <w:rPr/>
      </w:pPr>
      <w:r>
        <w:rPr/>
        <w:t>“</w:t>
      </w:r>
      <w:r>
        <w:rPr>
          <w:rFonts w:ascii="Times New Roman" w:hAnsi="Times New Roman"/>
          <w:b/>
          <w:sz w:val="20"/>
          <w:u w:val="single"/>
        </w:rPr>
        <w:t>Material Objection Notice</w:t>
      </w:r>
      <w:r>
        <w:rPr>
          <w:rFonts w:ascii="Times New Roman" w:hAnsi="Times New Roman"/>
          <w:sz w:val="20"/>
        </w:rPr>
        <w:t xml:space="preserve">” has the meaning set forth in Section 4.2 of this Agreement. </w:t>
      </w:r>
    </w:p>
    <w:p>
      <w:pPr>
        <w:pStyle w:val="TextBody"/>
        <w:bidi w:val="0"/>
        <w:spacing w:before="240" w:after="0"/>
        <w:jc w:val="left"/>
        <w:rPr/>
      </w:pPr>
      <w:r>
        <w:rPr/>
        <w:t>“</w:t>
      </w:r>
      <w:r>
        <w:rPr>
          <w:rFonts w:ascii="Times New Roman" w:hAnsi="Times New Roman"/>
          <w:b/>
          <w:sz w:val="20"/>
          <w:u w:val="single"/>
        </w:rPr>
        <w:t>Net Tax Benefit</w:t>
      </w:r>
      <w:r>
        <w:rPr>
          <w:rFonts w:ascii="Times New Roman" w:hAnsi="Times New Roman"/>
          <w:sz w:val="20"/>
        </w:rPr>
        <w:t xml:space="preserve">” has the meaning set forth in Section 3.1(b) of this Agreement. </w:t>
      </w:r>
    </w:p>
    <w:p>
      <w:pPr>
        <w:pStyle w:val="TextBody"/>
        <w:bidi w:val="0"/>
        <w:spacing w:before="240" w:after="0"/>
        <w:jc w:val="left"/>
        <w:rPr/>
      </w:pPr>
      <w:r>
        <w:rPr/>
        <w:t>“</w:t>
      </w:r>
      <w:r>
        <w:rPr>
          <w:rFonts w:ascii="Times New Roman" w:hAnsi="Times New Roman"/>
          <w:b/>
          <w:sz w:val="20"/>
          <w:u w:val="single"/>
        </w:rPr>
        <w:t>Non-Exchange Basis</w:t>
      </w:r>
      <w:r>
        <w:rPr>
          <w:rFonts w:ascii="Times New Roman" w:hAnsi="Times New Roman"/>
          <w:sz w:val="20"/>
        </w:rPr>
        <w:t xml:space="preserve">” means, with respect to any Reference Asset that is depreciable under Section 167 of the Code, amortizable under Section 197 of the Code or that is otherwise reported as amortizable or depreciable on IRS Form 4562 (or any successor form) for U.S. federal income Tax purposes, the Tax basis that such Reference Asset would have had if the Exchange Basis at the time of the Exchange were equal to zero.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Non-IPO Basis</w:t>
      </w:r>
      <w:r>
        <w:rPr>
          <w:rFonts w:ascii="Times New Roman" w:hAnsi="Times New Roman"/>
          <w:sz w:val="20"/>
        </w:rPr>
        <w:t xml:space="preserve">” means, with respect to any Reference Asset that is depreciable under Section 167 of the Code, amortizable under Section 197 of the Code or that is otherwise reported as amortizable or depreciable on IRS Form 4562 (or any successor form) for U.S. federal income Tax purposes, the Tax basis that such Reference Asset would have had if the IPO Basis of such Reference Asset at the time of such Primary Contribution were equal to zero. </w:t>
      </w:r>
    </w:p>
    <w:p>
      <w:pPr>
        <w:pStyle w:val="TextBody"/>
        <w:bidi w:val="0"/>
        <w:spacing w:before="240" w:after="0"/>
        <w:jc w:val="left"/>
        <w:rPr/>
      </w:pPr>
      <w:r>
        <w:rPr/>
        <w:t>“</w:t>
      </w:r>
      <w:r>
        <w:rPr>
          <w:rFonts w:ascii="Times New Roman" w:hAnsi="Times New Roman"/>
          <w:b/>
          <w:sz w:val="20"/>
          <w:u w:val="single"/>
        </w:rPr>
        <w:t>Non-Reorganization Transferred Basis</w:t>
      </w:r>
      <w:r>
        <w:rPr>
          <w:rFonts w:ascii="Times New Roman" w:hAnsi="Times New Roman"/>
          <w:sz w:val="20"/>
        </w:rPr>
        <w:t xml:space="preserve">” means, with respect to any Reference Asset that is depreciable under Section 167 of the Code, amortizable under Section 197 of the Code or that is otherwise reported as amortizable or depreciable on IRS Form 4562 (or any successor form) for U.S. federal income Tax purposes, the Tax basis that such Reference Asset would have had if (i) the Reorganization Transferred Basis at the time of the Reorganization were equal to zero and (ii) there were no increases to Tax basis of any Reference Asset as a result of any payments made pursuant to this Agreement to any Reorganization TRA Party. </w:t>
      </w:r>
    </w:p>
    <w:p>
      <w:pPr>
        <w:pStyle w:val="TextBody"/>
        <w:bidi w:val="0"/>
        <w:spacing w:before="240" w:after="0"/>
        <w:jc w:val="left"/>
        <w:rPr/>
      </w:pPr>
      <w:r>
        <w:rPr/>
        <w:t>“</w:t>
      </w:r>
      <w:r>
        <w:rPr>
          <w:rFonts w:ascii="Times New Roman" w:hAnsi="Times New Roman"/>
          <w:b/>
          <w:sz w:val="20"/>
          <w:u w:val="single"/>
        </w:rPr>
        <w:t>Non-Stepped Up Tax Basis</w:t>
      </w:r>
      <w:r>
        <w:rPr>
          <w:rFonts w:ascii="Times New Roman" w:hAnsi="Times New Roman"/>
          <w:sz w:val="20"/>
        </w:rPr>
        <w:t xml:space="preserve">” means, with respect to any Reference Asset, the Tax basis that such asset would have if no Basis Adjustments had been made. </w:t>
      </w:r>
    </w:p>
    <w:p>
      <w:pPr>
        <w:pStyle w:val="TextBody"/>
        <w:bidi w:val="0"/>
        <w:spacing w:before="240" w:after="0"/>
        <w:jc w:val="left"/>
        <w:rPr/>
      </w:pPr>
      <w:r>
        <w:rPr/>
        <w:t>“</w:t>
      </w:r>
      <w:r>
        <w:rPr>
          <w:rFonts w:ascii="Times New Roman" w:hAnsi="Times New Roman"/>
          <w:b/>
          <w:sz w:val="20"/>
          <w:u w:val="single"/>
        </w:rPr>
        <w:t>Objection Notice</w:t>
      </w:r>
      <w:r>
        <w:rPr>
          <w:rFonts w:ascii="Times New Roman" w:hAnsi="Times New Roman"/>
          <w:sz w:val="20"/>
        </w:rPr>
        <w:t xml:space="preserve">” has the meaning set forth in Section 2.4(a) of this Agreement. </w:t>
      </w:r>
    </w:p>
    <w:p>
      <w:pPr>
        <w:pStyle w:val="TextBody"/>
        <w:bidi w:val="0"/>
        <w:spacing w:before="240" w:after="0"/>
        <w:jc w:val="left"/>
        <w:rPr/>
      </w:pPr>
      <w:r>
        <w:rPr/>
        <w:t>“</w:t>
      </w:r>
      <w:r>
        <w:rPr>
          <w:rFonts w:ascii="Times New Roman" w:hAnsi="Times New Roman"/>
          <w:b/>
          <w:sz w:val="20"/>
          <w:u w:val="single"/>
        </w:rPr>
        <w:t>OpCo</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OpCo Agreement</w:t>
      </w:r>
      <w:r>
        <w:rPr>
          <w:rFonts w:ascii="Times New Roman" w:hAnsi="Times New Roman"/>
          <w:sz w:val="20"/>
        </w:rPr>
        <w:t xml:space="preserve">” means, with respect to OpCo, the Amended and Restated Limited Liability Company Agreement of OpCo, dated as of the date hereof, as such agreement may be further amended, restated, supplemented and/or otherwise modified from time to time. </w:t>
      </w:r>
    </w:p>
    <w:p>
      <w:pPr>
        <w:pStyle w:val="TextBody"/>
        <w:bidi w:val="0"/>
        <w:spacing w:before="240" w:after="0"/>
        <w:jc w:val="left"/>
        <w:rPr/>
      </w:pPr>
      <w:r>
        <w:rPr/>
        <w:t>“</w:t>
      </w:r>
      <w:r>
        <w:rPr>
          <w:rFonts w:ascii="Times New Roman" w:hAnsi="Times New Roman"/>
          <w:b/>
          <w:sz w:val="20"/>
          <w:u w:val="single"/>
        </w:rPr>
        <w:t>Payment Date</w:t>
      </w:r>
      <w:r>
        <w:rPr>
          <w:rFonts w:ascii="Times New Roman" w:hAnsi="Times New Roman"/>
          <w:sz w:val="20"/>
        </w:rPr>
        <w:t xml:space="preserve">” means any date on which a payment is required to be made pursuant to this Agreement. </w:t>
      </w:r>
    </w:p>
    <w:p>
      <w:pPr>
        <w:pStyle w:val="TextBody"/>
        <w:bidi w:val="0"/>
        <w:spacing w:before="240" w:after="0"/>
        <w:jc w:val="left"/>
        <w:rPr/>
      </w:pPr>
      <w:r>
        <w:rPr/>
        <w:t>“</w:t>
      </w:r>
      <w:r>
        <w:rPr>
          <w:rFonts w:ascii="Times New Roman" w:hAnsi="Times New Roman"/>
          <w:b/>
          <w:sz w:val="20"/>
          <w:u w:val="single"/>
        </w:rPr>
        <w:t>Permitted Investors</w:t>
      </w:r>
      <w:r>
        <w:rPr>
          <w:rFonts w:ascii="Times New Roman" w:hAnsi="Times New Roman"/>
          <w:sz w:val="20"/>
        </w:rPr>
        <w:t xml:space="preserve">” means American Securities and any of its Affiliates and any AS Person (as such term is defined in the OpCo Agreement). </w:t>
      </w:r>
    </w:p>
    <w:p>
      <w:pPr>
        <w:pStyle w:val="TextBody"/>
        <w:bidi w:val="0"/>
        <w:spacing w:before="240" w:after="0"/>
        <w:jc w:val="left"/>
        <w:rPr/>
      </w:pPr>
      <w:r>
        <w:rPr/>
        <w:t>“</w:t>
      </w:r>
      <w:r>
        <w:rPr>
          <w:rFonts w:ascii="Times New Roman" w:hAnsi="Times New Roman"/>
          <w:b/>
          <w:sz w:val="20"/>
          <w:u w:val="single"/>
        </w:rPr>
        <w:t>Person</w:t>
      </w:r>
      <w:r>
        <w:rPr>
          <w:rFonts w:ascii="Times New Roman" w:hAnsi="Times New Roman"/>
          <w:sz w:val="20"/>
        </w:rPr>
        <w:t xml:space="preserve">” means any individual, corporation, firm, partnership, joint venture, limited liability company, estate, trust, business association, organization, governmental entity or other entity. </w:t>
      </w:r>
    </w:p>
    <w:p>
      <w:pPr>
        <w:pStyle w:val="TextBody"/>
        <w:bidi w:val="0"/>
        <w:spacing w:before="240" w:after="0"/>
        <w:jc w:val="left"/>
        <w:rPr/>
      </w:pPr>
      <w:r>
        <w:rPr/>
        <w:t>“</w:t>
      </w:r>
      <w:r>
        <w:rPr>
          <w:rFonts w:ascii="Times New Roman" w:hAnsi="Times New Roman"/>
          <w:b/>
          <w:sz w:val="20"/>
          <w:u w:val="single"/>
        </w:rPr>
        <w:t>Pre-Exchange Transfer</w:t>
      </w:r>
      <w:r>
        <w:rPr>
          <w:rFonts w:ascii="Times New Roman" w:hAnsi="Times New Roman"/>
          <w:sz w:val="20"/>
        </w:rPr>
        <w:t xml:space="preserve">” means any transfer (including upon the death of a prior holder) of one or more Units (or interests in any applicable Subsidiaries of OpCo or other Persons in which OpCo owns a direct or indirect equity interest) (i) that occurs prior to an Exchange of such Units and (ii) to which Section 743(b) of the Code applies. </w:t>
      </w:r>
    </w:p>
    <w:p>
      <w:pPr>
        <w:pStyle w:val="TextBody"/>
        <w:bidi w:val="0"/>
        <w:spacing w:before="240" w:after="0"/>
        <w:jc w:val="left"/>
        <w:rPr/>
      </w:pPr>
      <w:r>
        <w:rPr/>
        <w:t>“</w:t>
      </w:r>
      <w:r>
        <w:rPr>
          <w:rFonts w:ascii="Times New Roman" w:hAnsi="Times New Roman"/>
          <w:b/>
          <w:sz w:val="20"/>
          <w:u w:val="single"/>
        </w:rPr>
        <w:t>Primary Contributions</w:t>
      </w:r>
      <w:r>
        <w:rPr>
          <w:rFonts w:ascii="Times New Roman" w:hAnsi="Times New Roman"/>
          <w:sz w:val="20"/>
        </w:rPr>
        <w:t xml:space="preserve">” means the IPO Primary Contributions and any Subsequent Primary Contribution. </w:t>
      </w:r>
    </w:p>
    <w:p>
      <w:pPr>
        <w:pStyle w:val="TextBody"/>
        <w:bidi w:val="0"/>
        <w:spacing w:before="240" w:after="0"/>
        <w:jc w:val="left"/>
        <w:rPr/>
      </w:pPr>
      <w:r>
        <w:rPr/>
        <w:t>“</w:t>
      </w:r>
      <w:r>
        <w:rPr>
          <w:rFonts w:ascii="Times New Roman" w:hAnsi="Times New Roman"/>
          <w:b/>
          <w:sz w:val="20"/>
          <w:u w:val="single"/>
        </w:rPr>
        <w:t>PubCo</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PubCo Group Members</w:t>
      </w:r>
      <w:r>
        <w:rPr>
          <w:rFonts w:ascii="Times New Roman" w:hAnsi="Times New Roman"/>
          <w:sz w:val="20"/>
        </w:rPr>
        <w:t xml:space="preserve">” means PubCo and any Subsidiary thereof (other than OpCo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PubCo Unit Contributions</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Realized Tax Benefit</w:t>
      </w:r>
      <w:r>
        <w:rPr>
          <w:rFonts w:ascii="Times New Roman" w:hAnsi="Times New Roman"/>
          <w:sz w:val="20"/>
        </w:rPr>
        <w:t xml:space="preserve">” means, for a Taxable Year, the excess, if any, of the Hypothetical Tax Liability over the Actual Tax Liability. If all or a portion of the Actual Tax Liability for the Taxable Year arises as a result of an audit by a Taxing Authority of any Taxable Year, such liability shall not be included in determining the Realized Tax Benefit unless and until there has been a Determination. </w:t>
      </w:r>
    </w:p>
    <w:p>
      <w:pPr>
        <w:pStyle w:val="TextBody"/>
        <w:bidi w:val="0"/>
        <w:spacing w:before="240" w:after="0"/>
        <w:jc w:val="left"/>
        <w:rPr/>
      </w:pPr>
      <w:r>
        <w:rPr/>
        <w:t>“</w:t>
      </w:r>
      <w:r>
        <w:rPr>
          <w:rFonts w:ascii="Times New Roman" w:hAnsi="Times New Roman"/>
          <w:b/>
          <w:sz w:val="20"/>
          <w:u w:val="single"/>
        </w:rPr>
        <w:t>Realized Tax Detriment</w:t>
      </w:r>
      <w:r>
        <w:rPr>
          <w:rFonts w:ascii="Times New Roman" w:hAnsi="Times New Roman"/>
          <w:sz w:val="20"/>
        </w:rPr>
        <w:t xml:space="preserve">” means, for a Taxable Year, the excess, if any, of the Actual Tax Liability over the Hypothetical Tax Liability. If all or a portion of the Actual Tax Liability for the Taxable Year arises as a result of an audit by a Taxing Authority of any Taxable Year, such liability shall not be included in determining the Realized Tax Detriment unless and until there has been a Determination. </w:t>
      </w:r>
    </w:p>
    <w:p>
      <w:pPr>
        <w:pStyle w:val="TextBody"/>
        <w:bidi w:val="0"/>
        <w:spacing w:before="240" w:after="0"/>
        <w:jc w:val="left"/>
        <w:rPr/>
      </w:pPr>
      <w:r>
        <w:rPr/>
        <w:t>“</w:t>
      </w:r>
      <w:r>
        <w:rPr>
          <w:rFonts w:ascii="Times New Roman" w:hAnsi="Times New Roman"/>
          <w:b/>
          <w:sz w:val="20"/>
          <w:u w:val="single"/>
        </w:rPr>
        <w:t>Reconciliation Dispute</w:t>
      </w:r>
      <w:r>
        <w:rPr>
          <w:rFonts w:ascii="Times New Roman" w:hAnsi="Times New Roman"/>
          <w:sz w:val="20"/>
        </w:rPr>
        <w:t xml:space="preserve">” has the meaning set forth in Section 7.9 of this Agreement. </w:t>
      </w:r>
    </w:p>
    <w:p>
      <w:pPr>
        <w:pStyle w:val="TextBody"/>
        <w:bidi w:val="0"/>
        <w:spacing w:before="240" w:after="0"/>
        <w:jc w:val="left"/>
        <w:rPr/>
      </w:pPr>
      <w:r>
        <w:rPr/>
        <w:t>“</w:t>
      </w:r>
      <w:r>
        <w:rPr>
          <w:rFonts w:ascii="Times New Roman" w:hAnsi="Times New Roman"/>
          <w:b/>
          <w:sz w:val="20"/>
          <w:u w:val="single"/>
        </w:rPr>
        <w:t>Reconciliation Procedures</w:t>
      </w:r>
      <w:r>
        <w:rPr>
          <w:rFonts w:ascii="Times New Roman" w:hAnsi="Times New Roman"/>
          <w:sz w:val="20"/>
        </w:rPr>
        <w:t xml:space="preserve">” has the meaning set forth in Section 2.4(a) of this Agreement. </w:t>
      </w:r>
    </w:p>
    <w:p>
      <w:pPr>
        <w:pStyle w:val="TextBody"/>
        <w:bidi w:val="0"/>
        <w:spacing w:before="240" w:after="0"/>
        <w:jc w:val="left"/>
        <w:rPr/>
      </w:pPr>
      <w:r>
        <w:rPr/>
        <w:t>“</w:t>
      </w:r>
      <w:r>
        <w:rPr>
          <w:rFonts w:ascii="Times New Roman" w:hAnsi="Times New Roman"/>
          <w:b/>
          <w:sz w:val="20"/>
          <w:u w:val="single"/>
        </w:rPr>
        <w:t>Reference Asset</w:t>
      </w:r>
      <w:r>
        <w:rPr>
          <w:rFonts w:ascii="Times New Roman" w:hAnsi="Times New Roman"/>
          <w:sz w:val="20"/>
        </w:rPr>
        <w:t xml:space="preserve">” means an asset that is held by OpCo, by any of its direct or indirect Subsidiaries treated as a partnership or disregarded entity (but only to the extent such indirect Subsidiaries are held through Subsidiaries treated as partnerships or disregarded entities), or by any PubCo Group Member, for purposes of the applicable Tax, as of the relevant date. A Reference Asset also includes any asset that is “substituted basis property” under Section 7701(a)(42) of the Code with respect to a Reference Asset. </w:t>
      </w:r>
    </w:p>
    <w:p>
      <w:pPr>
        <w:pStyle w:val="TextBody"/>
        <w:bidi w:val="0"/>
        <w:spacing w:before="240" w:after="0"/>
        <w:jc w:val="left"/>
        <w:rPr/>
      </w:pPr>
      <w:r>
        <w:rPr/>
        <w:t>“</w:t>
      </w:r>
      <w:r>
        <w:rPr>
          <w:rFonts w:ascii="Times New Roman" w:hAnsi="Times New Roman"/>
          <w:b/>
          <w:sz w:val="20"/>
          <w:u w:val="single"/>
        </w:rPr>
        <w:t>Reorganization</w:t>
      </w:r>
      <w:r>
        <w:rPr>
          <w:rFonts w:ascii="Times New Roman" w:hAnsi="Times New Roman"/>
          <w:sz w:val="20"/>
        </w:rPr>
        <w:t xml:space="preserve">” has the meaning set forth in the Recitals to this Agreement. </w:t>
      </w:r>
    </w:p>
    <w:p>
      <w:pPr>
        <w:pStyle w:val="TextBody"/>
        <w:bidi w:val="0"/>
        <w:spacing w:before="240" w:after="0"/>
        <w:jc w:val="left"/>
        <w:rPr/>
      </w:pPr>
      <w:r>
        <w:rPr/>
        <w:t>“</w:t>
      </w:r>
      <w:r>
        <w:rPr>
          <w:rFonts w:ascii="Times New Roman" w:hAnsi="Times New Roman"/>
          <w:b/>
          <w:sz w:val="20"/>
          <w:u w:val="single"/>
        </w:rPr>
        <w:t>Reorganization TRA Party</w:t>
      </w:r>
      <w:r>
        <w:rPr>
          <w:rFonts w:ascii="Times New Roman" w:hAnsi="Times New Roman"/>
          <w:sz w:val="20"/>
        </w:rPr>
        <w:t xml:space="preserve">” means any TRA Party that directly or indirectly transfers Units to PubCo as part of or in connection with the Reorganization (including, for the avoidance of doubt, Units held by the Blockers and GP NewCo) and includes the AS New Aggregator (by reason of the contributions to the AS New Aggregator by the Blocker Shareholders and the AS General Partner of rights under this Agreement). In the case of any TRA Party that is both an Exchange TRA Party and a Reorganization TRA Party, references to an Exchange TRA Party or a Reorganization TRA Party in this Agreement refer to such TRA Party in its capacity as such. </w:t>
      </w:r>
    </w:p>
    <w:p>
      <w:pPr>
        <w:pStyle w:val="TextBody"/>
        <w:bidi w:val="0"/>
        <w:spacing w:before="240" w:after="0"/>
        <w:jc w:val="left"/>
        <w:rPr/>
      </w:pPr>
      <w:r>
        <w:rPr/>
        <w:t>“</w:t>
      </w:r>
      <w:r>
        <w:rPr>
          <w:rFonts w:ascii="Times New Roman" w:hAnsi="Times New Roman"/>
          <w:b/>
          <w:sz w:val="20"/>
          <w:u w:val="single"/>
        </w:rPr>
        <w:t>Reorganization Transferred Basis</w:t>
      </w:r>
      <w:r>
        <w:rPr>
          <w:rFonts w:ascii="Times New Roman" w:hAnsi="Times New Roman"/>
          <w:sz w:val="20"/>
        </w:rPr>
        <w:t>” means the Tax basis of the Reference Assets that are depreciable under Section 167 of the Code, amortizable under Section 197 of the Code or that are otherwise reported as amortizable or depreciable on IRS Form 4562 (or any successor form) for U.S. federal income Tax purposes associated with the Acquired Units, determined at the time of (and, for the avoidance of doubt, taking into account) the Reorganization, and any adjustments to such Tax basis (including under Section 743(b) of the Code) as a result of the Reorganization and the payments made pursuant to this Agreement to any Reorganization TRA Party;</w:t>
      </w:r>
      <w:r>
        <w:rPr>
          <w:rFonts w:ascii="Times New Roman" w:hAnsi="Times New Roman"/>
          <w:sz w:val="20"/>
          <w:u w:val="single"/>
        </w:rPr>
        <w:t xml:space="preserve"> provided</w:t>
      </w:r>
      <w:r>
        <w:rPr>
          <w:rFonts w:ascii="Times New Roman" w:hAnsi="Times New Roman"/>
          <w:sz w:val="20"/>
        </w:rPr>
        <w:t xml:space="preserve">, that, in order to avoid double counting, any Tax basis included in the IPO Basis Attributable to the Reorganization TRA Parties (with respect to Acquired Units) shall be excluded from the determination of the Reorganization Transferred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Retained Amount</w:t>
      </w:r>
      <w:r>
        <w:rPr>
          <w:rFonts w:ascii="Times New Roman" w:hAnsi="Times New Roman"/>
          <w:sz w:val="20"/>
        </w:rPr>
        <w:t xml:space="preserve">” has the meaning set forth in Section 3.7 of this Agreement. </w:t>
      </w:r>
    </w:p>
    <w:p>
      <w:pPr>
        <w:pStyle w:val="TextBody"/>
        <w:bidi w:val="0"/>
        <w:spacing w:before="240" w:after="0"/>
        <w:jc w:val="left"/>
        <w:rPr/>
      </w:pPr>
      <w:r>
        <w:rPr/>
        <w:t>“</w:t>
      </w:r>
      <w:r>
        <w:rPr>
          <w:rFonts w:ascii="Times New Roman" w:hAnsi="Times New Roman"/>
          <w:b/>
          <w:sz w:val="20"/>
          <w:u w:val="single"/>
        </w:rPr>
        <w:t>Schedule</w:t>
      </w:r>
      <w:r>
        <w:rPr>
          <w:rFonts w:ascii="Times New Roman" w:hAnsi="Times New Roman"/>
          <w:sz w:val="20"/>
        </w:rPr>
        <w:t xml:space="preserve">” means any of the following: (i) an Attribute Schedule; (ii) a Tax Benefit Schedule (including an Amended Schedule, if any); or (iii) the Early Termination Schedule. </w:t>
      </w:r>
    </w:p>
    <w:p>
      <w:pPr>
        <w:pStyle w:val="TextBody"/>
        <w:bidi w:val="0"/>
        <w:spacing w:before="240" w:after="0"/>
        <w:jc w:val="left"/>
        <w:rPr/>
      </w:pPr>
      <w:r>
        <w:rPr/>
        <w:t>“</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734(b) Exchan</w:t>
      </w:r>
      <w:r>
        <w:rPr>
          <w:rFonts w:ascii="Times New Roman" w:hAnsi="Times New Roman"/>
          <w:b/>
          <w:sz w:val="20"/>
        </w:rPr>
        <w:t>ge</w:t>
      </w:r>
      <w:r>
        <w:rPr>
          <w:rFonts w:ascii="Times New Roman" w:hAnsi="Times New Roman"/>
          <w:sz w:val="20"/>
        </w:rPr>
        <w:t xml:space="preserve">” means any Exchange that results in a Basis Adjustment under Section 734(b) of the Code. </w:t>
      </w:r>
    </w:p>
    <w:p>
      <w:pPr>
        <w:pStyle w:val="TextBody"/>
        <w:bidi w:val="0"/>
        <w:spacing w:before="240" w:after="0"/>
        <w:jc w:val="left"/>
        <w:rPr/>
      </w:pPr>
      <w:r>
        <w:rPr/>
        <w:t>“</w:t>
      </w:r>
      <w:r>
        <w:rPr>
          <w:rFonts w:ascii="Times New Roman" w:hAnsi="Times New Roman"/>
          <w:b/>
          <w:sz w:val="20"/>
          <w:u w:val="single"/>
        </w:rPr>
        <w:t>Senior Obligations</w:t>
      </w:r>
      <w:r>
        <w:rPr>
          <w:rFonts w:ascii="Times New Roman" w:hAnsi="Times New Roman"/>
          <w:sz w:val="20"/>
        </w:rPr>
        <w:t xml:space="preserve">” has the meaning set forth in Section 5.1 of this Agreement. </w:t>
      </w:r>
    </w:p>
    <w:p>
      <w:pPr>
        <w:pStyle w:val="TextBody"/>
        <w:bidi w:val="0"/>
        <w:spacing w:before="240" w:after="0"/>
        <w:jc w:val="left"/>
        <w:rPr/>
      </w:pPr>
      <w:r>
        <w:rPr/>
        <w:t>“</w:t>
      </w:r>
      <w:r>
        <w:rPr>
          <w:rFonts w:ascii="Times New Roman" w:hAnsi="Times New Roman"/>
          <w:b/>
          <w:sz w:val="20"/>
          <w:u w:val="single"/>
        </w:rPr>
        <w:t>SOFR</w:t>
      </w:r>
      <w:r>
        <w:rPr>
          <w:rFonts w:ascii="Times New Roman" w:hAnsi="Times New Roman"/>
          <w:sz w:val="20"/>
        </w:rPr>
        <w:t>” means for each month (or portion thereof) during any period, an interest rate per annum equal to the secured overnight financing rate, on the date two (2) Business Days prior to the first day of such month, as reported by the Wall Street Journal;</w:t>
      </w:r>
      <w:r>
        <w:rPr>
          <w:rFonts w:ascii="Times New Roman" w:hAnsi="Times New Roman"/>
          <w:sz w:val="20"/>
          <w:u w:val="single"/>
        </w:rPr>
        <w:t xml:space="preserve"> provided</w:t>
      </w:r>
      <w:r>
        <w:rPr>
          <w:rFonts w:ascii="Times New Roman" w:hAnsi="Times New Roman"/>
          <w:sz w:val="20"/>
        </w:rPr>
        <w:t>, that at no time shall SOFR be less than 0%. In the event PubCo determines that SOFR ceases to be a widely recognized benchmark rate, PubCo and the TRA Party Representative shall jointly select an alternate benchmark rate (the “</w:t>
      </w:r>
      <w:r>
        <w:rPr>
          <w:rFonts w:ascii="Times New Roman" w:hAnsi="Times New Roman"/>
          <w:b/>
          <w:sz w:val="20"/>
          <w:u w:val="single"/>
        </w:rPr>
        <w:t>Replacement Rate</w:t>
      </w:r>
      <w:r>
        <w:rPr>
          <w:rFonts w:ascii="Times New Roman" w:hAnsi="Times New Roman"/>
          <w:sz w:val="20"/>
        </w:rPr>
        <w:t xml:space="preserve">”), in which case, the Replacement Rate shall, subject to the next two sentences, replace SOFR for all purposes under this Agreement. In connection with the establishment and application of the Replacement Rate, this Agreement shall be amended solely with the consent of PubCo and the TRA Party Representative, as may be necessary or appropriate, in the reasonable judgment of PubCo and the TRA Party Representative, to effect the provisions of this section. The Replacement Rate shall be applied in a manner consistent with market practice; provided that, to the extent such market practice is not administratively feasible for PubCo, such Replacement Rate shall be applied as otherwise reasonably determined by PubCo and the TRA Party Representative. </w:t>
      </w:r>
    </w:p>
    <w:p>
      <w:pPr>
        <w:pStyle w:val="TextBody"/>
        <w:bidi w:val="0"/>
        <w:spacing w:before="240" w:after="0"/>
        <w:jc w:val="left"/>
        <w:rPr/>
      </w:pPr>
      <w:r>
        <w:rPr/>
        <w:t>“</w:t>
      </w:r>
      <w:r>
        <w:rPr>
          <w:rFonts w:ascii="Times New Roman" w:hAnsi="Times New Roman"/>
          <w:b/>
          <w:sz w:val="20"/>
          <w:u w:val="single"/>
        </w:rPr>
        <w:t>SOLV Blocker</w:t>
      </w:r>
      <w:r>
        <w:rPr>
          <w:rFonts w:ascii="Times New Roman" w:hAnsi="Times New Roman"/>
          <w:sz w:val="20"/>
        </w:rPr>
        <w:t xml:space="preserve">” means SOLV Manager Sub Inc., a Delaware corporation that was converted from a Delaware limited partnership named ASP VIII SOLV LP in connection with the Reorganization, and any predecessor or successor thereto (including by operation of law). </w:t>
      </w:r>
    </w:p>
    <w:p>
      <w:pPr>
        <w:pStyle w:val="TextBody"/>
        <w:bidi w:val="0"/>
        <w:spacing w:before="240" w:after="0"/>
        <w:jc w:val="left"/>
        <w:rPr/>
      </w:pPr>
      <w:r>
        <w:rPr/>
        <w:t>“</w:t>
      </w:r>
      <w:r>
        <w:rPr>
          <w:rFonts w:ascii="Times New Roman" w:hAnsi="Times New Roman"/>
          <w:b/>
          <w:sz w:val="20"/>
          <w:u w:val="single"/>
        </w:rPr>
        <w:t>Subsequent Primary Contribution</w:t>
      </w:r>
      <w:r>
        <w:rPr>
          <w:rFonts w:ascii="Times New Roman" w:hAnsi="Times New Roman"/>
          <w:sz w:val="20"/>
        </w:rPr>
        <w:t xml:space="preserve">” means any contribution by any PubCo Group Member to OpCo after the IPO Primary Contributions (other than any such subsequent contribution that is treated as a direct acquisition of Units from another member of OpCo under Section 707(a)(2)(B) of the Code). </w:t>
      </w:r>
    </w:p>
    <w:p>
      <w:pPr>
        <w:pStyle w:val="TextBody"/>
        <w:bidi w:val="0"/>
        <w:spacing w:before="240" w:after="0"/>
        <w:jc w:val="left"/>
        <w:rPr/>
      </w:pPr>
      <w:r>
        <w:rPr/>
        <w:t>“</w:t>
      </w:r>
      <w:r>
        <w:rPr>
          <w:rFonts w:ascii="Times New Roman" w:hAnsi="Times New Roman"/>
          <w:b/>
          <w:sz w:val="20"/>
          <w:u w:val="single"/>
        </w:rPr>
        <w:t>Subsidiaries</w:t>
      </w:r>
      <w:r>
        <w:rPr>
          <w:rFonts w:ascii="Times New Roman" w:hAnsi="Times New Roman"/>
          <w:sz w:val="20"/>
        </w:rPr>
        <w:t xml:space="preserve">”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 </w:t>
      </w:r>
    </w:p>
    <w:p>
      <w:pPr>
        <w:pStyle w:val="TextBody"/>
        <w:bidi w:val="0"/>
        <w:spacing w:before="240" w:after="0"/>
        <w:jc w:val="left"/>
        <w:rPr/>
      </w:pPr>
      <w:r>
        <w:rPr/>
        <w:t>“</w:t>
      </w:r>
      <w:r>
        <w:rPr>
          <w:rFonts w:ascii="Times New Roman" w:hAnsi="Times New Roman"/>
          <w:b/>
          <w:sz w:val="20"/>
          <w:u w:val="single"/>
        </w:rPr>
        <w:t>Tax</w:t>
      </w:r>
      <w:r>
        <w:rPr>
          <w:rFonts w:ascii="Times New Roman" w:hAnsi="Times New Roman"/>
          <w:sz w:val="20"/>
        </w:rPr>
        <w:t>” or “</w:t>
      </w:r>
      <w:r>
        <w:rPr>
          <w:rFonts w:ascii="Times New Roman" w:hAnsi="Times New Roman"/>
          <w:b/>
          <w:sz w:val="20"/>
          <w:u w:val="single"/>
        </w:rPr>
        <w:t>Taxes</w:t>
      </w:r>
      <w:r>
        <w:rPr>
          <w:rFonts w:ascii="Times New Roman" w:hAnsi="Times New Roman"/>
          <w:sz w:val="20"/>
        </w:rPr>
        <w:t xml:space="preserve">” means any and all U.S. federal, state, local and foreign taxes, assessments or similar charges that are based on or measured with respect to net income or profits, including, for the avoidance of doubt, any corporate alternative minimum tax and any UTPR Taxes, and any interest related to any such Taxes. </w:t>
      </w:r>
    </w:p>
    <w:p>
      <w:pPr>
        <w:pStyle w:val="TextBody"/>
        <w:bidi w:val="0"/>
        <w:spacing w:before="240" w:after="0"/>
        <w:jc w:val="left"/>
        <w:rPr/>
      </w:pPr>
      <w:r>
        <w:rPr/>
        <w:t>“</w:t>
      </w:r>
      <w:r>
        <w:rPr>
          <w:rFonts w:ascii="Times New Roman" w:hAnsi="Times New Roman"/>
          <w:b/>
          <w:sz w:val="20"/>
          <w:u w:val="single"/>
        </w:rPr>
        <w:t>Tax Attributes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Tax Benefit Payment</w:t>
      </w:r>
      <w:r>
        <w:rPr>
          <w:rFonts w:ascii="Times New Roman" w:hAnsi="Times New Roman"/>
          <w:sz w:val="20"/>
        </w:rPr>
        <w:t xml:space="preserve">” has the meaning set forth in Section 3.1(b)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Tax Benefit Schedule</w:t>
      </w:r>
      <w:r>
        <w:rPr>
          <w:rFonts w:ascii="Times New Roman" w:hAnsi="Times New Roman"/>
          <w:sz w:val="20"/>
        </w:rPr>
        <w:t xml:space="preserve">” has the meaning set forth in Section 2.3(a) of this Agreement. </w:t>
      </w:r>
    </w:p>
    <w:p>
      <w:pPr>
        <w:pStyle w:val="TextBody"/>
        <w:bidi w:val="0"/>
        <w:spacing w:before="240" w:after="0"/>
        <w:jc w:val="left"/>
        <w:rPr/>
      </w:pPr>
      <w:r>
        <w:rPr/>
        <w:t>“</w:t>
      </w:r>
      <w:r>
        <w:rPr>
          <w:rFonts w:ascii="Times New Roman" w:hAnsi="Times New Roman"/>
          <w:b/>
          <w:sz w:val="20"/>
          <w:u w:val="single"/>
        </w:rPr>
        <w:t>Tax Return</w:t>
      </w:r>
      <w:r>
        <w:rPr>
          <w:rFonts w:ascii="Times New Roman" w:hAnsi="Times New Roman"/>
          <w:sz w:val="20"/>
        </w:rPr>
        <w:t xml:space="preserve">” means any return, declaration, report or similar statement filed or required to be filed with respect to Taxes (including any attached schedules), including, without limitation, any information return, claim for refund, amended return and declaration of estimated Tax. </w:t>
      </w:r>
    </w:p>
    <w:p>
      <w:pPr>
        <w:pStyle w:val="TextBody"/>
        <w:bidi w:val="0"/>
        <w:spacing w:before="240" w:after="0"/>
        <w:jc w:val="left"/>
        <w:rPr/>
      </w:pPr>
      <w:r>
        <w:rPr/>
        <w:t>“</w:t>
      </w:r>
      <w:r>
        <w:rPr>
          <w:rFonts w:ascii="Times New Roman" w:hAnsi="Times New Roman"/>
          <w:b/>
          <w:sz w:val="20"/>
          <w:u w:val="single"/>
        </w:rPr>
        <w:t>Taxable Year</w:t>
      </w:r>
      <w:r>
        <w:rPr>
          <w:rFonts w:ascii="Times New Roman" w:hAnsi="Times New Roman"/>
          <w:sz w:val="20"/>
        </w:rPr>
        <w:t xml:space="preserve">” means a taxable year of the PubCo Group Members as defined in Section 441(b) of the Code or comparable section of state or local Tax law, as applicable (and, therefore, for the avoidance of doubt, may include a period of less than twelve (12) months for which a Tax Return is made), ending on or after the IPO Date. </w:t>
      </w:r>
    </w:p>
    <w:p>
      <w:pPr>
        <w:pStyle w:val="TextBody"/>
        <w:bidi w:val="0"/>
        <w:spacing w:before="240" w:after="0"/>
        <w:jc w:val="left"/>
        <w:rPr/>
      </w:pPr>
      <w:r>
        <w:rPr/>
        <w:t>“</w:t>
      </w:r>
      <w:r>
        <w:rPr>
          <w:rFonts w:ascii="Times New Roman" w:hAnsi="Times New Roman"/>
          <w:b/>
          <w:sz w:val="20"/>
          <w:u w:val="single"/>
        </w:rPr>
        <w:t>Taxing Authority</w:t>
      </w:r>
      <w:r>
        <w:rPr>
          <w:rFonts w:ascii="Times New Roman" w:hAnsi="Times New Roman"/>
          <w:sz w:val="20"/>
        </w:rPr>
        <w:t xml:space="preserve">” means any domestic, federal, national, state, county or municipal or other local government, any subdivision, agency, commission or authority thereof, or any quasi-governmental body exercising any taxing authority or any other authority exercising Tax regulatory authority. </w:t>
      </w:r>
    </w:p>
    <w:p>
      <w:pPr>
        <w:pStyle w:val="TextBody"/>
        <w:bidi w:val="0"/>
        <w:spacing w:before="240" w:after="0"/>
        <w:jc w:val="left"/>
        <w:rPr/>
      </w:pPr>
      <w:r>
        <w:rPr/>
        <w:t>“</w:t>
      </w:r>
      <w:r>
        <w:rPr>
          <w:rFonts w:ascii="Times New Roman" w:hAnsi="Times New Roman"/>
          <w:b/>
          <w:sz w:val="20"/>
          <w:u w:val="single"/>
        </w:rPr>
        <w:t>Threshold Exchange</w:t>
      </w:r>
      <w:r>
        <w:rPr>
          <w:rFonts w:ascii="Times New Roman" w:hAnsi="Times New Roman"/>
          <w:sz w:val="20"/>
        </w:rPr>
        <w:t xml:space="preserve">” has the meaning set forth in Section 3.7 of this Agreement. </w:t>
      </w:r>
    </w:p>
    <w:p>
      <w:pPr>
        <w:pStyle w:val="TextBody"/>
        <w:bidi w:val="0"/>
        <w:spacing w:before="240" w:after="0"/>
        <w:jc w:val="left"/>
        <w:rPr/>
      </w:pPr>
      <w:r>
        <w:rPr/>
        <w:t>“</w:t>
      </w:r>
      <w:r>
        <w:rPr>
          <w:rFonts w:ascii="Times New Roman" w:hAnsi="Times New Roman"/>
          <w:b/>
          <w:sz w:val="20"/>
          <w:u w:val="single"/>
        </w:rPr>
        <w:t>Threshold Exchange Units</w:t>
      </w:r>
      <w:r>
        <w:rPr>
          <w:rFonts w:ascii="Times New Roman" w:hAnsi="Times New Roman"/>
          <w:sz w:val="20"/>
        </w:rPr>
        <w:t xml:space="preserve">” has the meaning set forth in Section 3.7 of this Agreement. </w:t>
      </w:r>
    </w:p>
    <w:p>
      <w:pPr>
        <w:pStyle w:val="TextBody"/>
        <w:bidi w:val="0"/>
        <w:spacing w:before="240" w:after="0"/>
        <w:jc w:val="left"/>
        <w:rPr/>
      </w:pPr>
      <w:r>
        <w:rPr/>
        <w:t>“</w:t>
      </w:r>
      <w:r>
        <w:rPr>
          <w:rFonts w:ascii="Times New Roman" w:hAnsi="Times New Roman"/>
          <w:b/>
          <w:sz w:val="20"/>
          <w:u w:val="single"/>
        </w:rPr>
        <w:t>TRA Attribute Claim Amortization</w:t>
      </w:r>
      <w:r>
        <w:rPr>
          <w:rFonts w:ascii="Times New Roman" w:hAnsi="Times New Roman"/>
          <w:sz w:val="20"/>
        </w:rPr>
        <w:t xml:space="preserve">” means, with respect to each of the TRA Parties and any Taxable Year, (i) the portion of the Hypothetical Total TRA Attribute Claim of such TRA Party that is treated as amortized or depreciated during such Taxable Year, determined by applying the recovery periods, methods, and conventions for each applicable Reference Asset used in calculating the Actual Tax Liability, and (ii) in the case of a sale or disposition of a Reference Asset (other than any de minimis sale or disposition, determined in the reasonable discretion of OpCo), the excess remainder of (x) the excess of the Hypothetical Total TRA Attribute Claim with respect to such Reference Asset, over (y) the cumulative amount of the TRA Party’s TRA Attribute Claim Amortization provided for in clause (i) of this definition for the current Taxable Year and all prior Taxable Years with respect to such Reference Asset. </w:t>
      </w:r>
    </w:p>
    <w:p>
      <w:pPr>
        <w:pStyle w:val="TextBody"/>
        <w:bidi w:val="0"/>
        <w:spacing w:before="240" w:after="0"/>
        <w:jc w:val="left"/>
        <w:rPr/>
      </w:pPr>
      <w:r>
        <w:rPr/>
        <w:t>“</w:t>
      </w:r>
      <w:r>
        <w:rPr>
          <w:rFonts w:ascii="Times New Roman" w:hAnsi="Times New Roman"/>
          <w:b/>
          <w:sz w:val="20"/>
          <w:u w:val="single"/>
        </w:rPr>
        <w:t>TRA Party</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b/>
          <w:sz w:val="20"/>
          <w:u w:val="single"/>
        </w:rPr>
        <w:t>TRA Party Representative</w:t>
      </w:r>
      <w:r>
        <w:rPr>
          <w:rFonts w:ascii="Times New Roman" w:hAnsi="Times New Roman"/>
          <w:sz w:val="20"/>
        </w:rPr>
        <w:t xml:space="preserve">” means initially, ASP Manager Corp., and thereafter, such other Person designated as such pursuant to Section 7.14. </w:t>
      </w:r>
    </w:p>
    <w:p>
      <w:pPr>
        <w:pStyle w:val="TextBody"/>
        <w:bidi w:val="0"/>
        <w:spacing w:before="240" w:after="0"/>
        <w:jc w:val="left"/>
        <w:rPr/>
      </w:pPr>
      <w:r>
        <w:rPr/>
        <w:t>“</w:t>
      </w:r>
      <w:r>
        <w:rPr>
          <w:rFonts w:ascii="Times New Roman" w:hAnsi="Times New Roman"/>
          <w:b/>
          <w:sz w:val="20"/>
          <w:u w:val="single"/>
        </w:rPr>
        <w:t>Treasury Regulations</w:t>
      </w:r>
      <w:r>
        <w:rPr>
          <w:rFonts w:ascii="Times New Roman" w:hAnsi="Times New Roman"/>
          <w:sz w:val="20"/>
        </w:rPr>
        <w:t xml:space="preserve">” means the final, temporary and proposed regulations under the Code promulgated from time to time (including corresponding provisions and succeeding provisions) as in effect for the relevant taxable period. </w:t>
      </w:r>
    </w:p>
    <w:p>
      <w:pPr>
        <w:pStyle w:val="TextBody"/>
        <w:bidi w:val="0"/>
        <w:spacing w:before="240" w:after="0"/>
        <w:jc w:val="left"/>
        <w:rPr/>
      </w:pPr>
      <w:r>
        <w:rPr/>
        <w:t>“</w:t>
      </w:r>
      <w:r>
        <w:rPr>
          <w:rFonts w:ascii="Times New Roman" w:hAnsi="Times New Roman"/>
          <w:b/>
          <w:sz w:val="20"/>
          <w:u w:val="single"/>
        </w:rPr>
        <w:t>Unit Distributions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Units</w:t>
      </w:r>
      <w:r>
        <w:rPr>
          <w:rFonts w:ascii="Times New Roman" w:hAnsi="Times New Roman"/>
          <w:sz w:val="20"/>
        </w:rPr>
        <w:t xml:space="preserve">” has the meaning set forth in the Recitals of this Agreement. </w:t>
      </w:r>
    </w:p>
    <w:p>
      <w:pPr>
        <w:pStyle w:val="TextBody"/>
        <w:bidi w:val="0"/>
        <w:spacing w:before="240" w:after="0"/>
        <w:jc w:val="left"/>
        <w:rPr/>
      </w:pPr>
      <w:r>
        <w:rPr/>
        <w:t>“</w:t>
      </w:r>
      <w:r>
        <w:rPr>
          <w:rFonts w:ascii="Times New Roman" w:hAnsi="Times New Roman"/>
          <w:b/>
          <w:sz w:val="20"/>
          <w:u w:val="single"/>
        </w:rPr>
        <w:t>Unvested Unit</w:t>
      </w:r>
      <w:r>
        <w:rPr>
          <w:rFonts w:ascii="Times New Roman" w:hAnsi="Times New Roman"/>
          <w:sz w:val="20"/>
        </w:rPr>
        <w:t xml:space="preserve">” has the meaning set forth in the OpCo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UTPR Taxes</w:t>
      </w:r>
      <w:r>
        <w:rPr>
          <w:rFonts w:ascii="Times New Roman" w:hAnsi="Times New Roman"/>
          <w:sz w:val="20"/>
        </w:rPr>
        <w:t xml:space="preserve">” means any Taxes imposed pursuant to any provision of non-U.S. Tax law implementing the “undertaxed payments rule” of the OECD’s Global Anti-Base Erosion Model Rules under Pillar Two. </w:t>
      </w:r>
    </w:p>
    <w:p>
      <w:pPr>
        <w:pStyle w:val="TextBody"/>
        <w:bidi w:val="0"/>
        <w:spacing w:before="240" w:after="0"/>
        <w:jc w:val="left"/>
        <w:rPr/>
      </w:pPr>
      <w:r>
        <w:rPr/>
        <w:t>“</w:t>
      </w:r>
      <w:r>
        <w:rPr>
          <w:rFonts w:ascii="Times New Roman" w:hAnsi="Times New Roman"/>
          <w:b/>
          <w:sz w:val="20"/>
          <w:u w:val="single"/>
        </w:rPr>
        <w:t>Valuation Assumptions</w:t>
      </w:r>
      <w:r>
        <w:rPr>
          <w:rFonts w:ascii="Times New Roman" w:hAnsi="Times New Roman"/>
          <w:sz w:val="20"/>
        </w:rPr>
        <w:t xml:space="preserve">” means, as of an Early Termination Date, the assumptions that in each Taxable Year ending on or after such Early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 the PubCo Group Members will have taxable income sufficient to fully utilize, and will fully utilize (for the avoidance of doubt, without regard to any limitations under Section 382 of the Code), the Tax items arising from the Tax Attributes (other than any items addressed in clause (ii) below) during such Taxable Year or future Taxable Years (including, for the avoidance of doubt, Basis Adjustments, Reorganization Transferred Basis and Imputed Interest that would result from future payments made under this Agreement that would be paid in accordance with the Valuation Assumptions) in which such deductions would become available; </w:t>
      </w:r>
    </w:p>
    <w:p>
      <w:pPr>
        <w:pStyle w:val="TextBody"/>
        <w:bidi w:val="0"/>
        <w:spacing w:before="120" w:after="0"/>
        <w:jc w:val="left"/>
        <w:rPr>
          <w:rFonts w:ascii="Times New Roman" w:hAnsi="Times New Roman"/>
          <w:sz w:val="20"/>
        </w:rPr>
      </w:pPr>
      <w:r>
        <w:rPr>
          <w:rFonts w:ascii="Times New Roman" w:hAnsi="Times New Roman"/>
          <w:sz w:val="20"/>
        </w:rPr>
        <w:t xml:space="preserve">(ii) loss carryovers or disallowed interest carryovers (including any excess business interest expense) that are available as of such Early Termination Date and were generated by deductions arising from any Tax Attributes, and any Blocker Attributes that are available as of such Early Termination Date, will be used by the PubCo Group Members on a pro rata basis from such Early Termination Date through the earlier of (x) the scheduled expiration date under applicable Tax law of such carryovers or (y) the fifth (5th) anniversary of the Early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(iii) the U.S. federal, state and local income Tax rates that will be in effect for each such Taxable Year will be those specified for each such Taxable Year by the Code and other law as in effect on the Early Termination Date and the Blended Rate will be calculated based on such rates and the apportionment factor applicable in the prior Taxable Year; </w:t>
      </w:r>
    </w:p>
    <w:p>
      <w:pPr>
        <w:pStyle w:val="TextBody"/>
        <w:bidi w:val="0"/>
        <w:spacing w:before="120" w:after="0"/>
        <w:jc w:val="left"/>
        <w:rPr>
          <w:rFonts w:ascii="Times New Roman" w:hAnsi="Times New Roman"/>
          <w:sz w:val="20"/>
        </w:rPr>
      </w:pPr>
      <w:r>
        <w:rPr>
          <w:rFonts w:ascii="Times New Roman" w:hAnsi="Times New Roman"/>
          <w:sz w:val="20"/>
        </w:rPr>
        <w:t xml:space="preserve">(iv) any non-amortizable assets (other than equity interests in any Subsidiary that is treated as an association taxable as a corporation for U.S. federal income Tax purposes) will be disposed of on the later of (A) the fifteenth (15th) anniversary of the applicable Exchange or deemed exchange pursuant to clause (v) (in the case of Basis Adjustments or Exchange Basis), the IPO Date (in the case of IPO Basis), or the Reorganization (in the case of Reorganization Transferred Basis) and (B) the Early Termination Date and any cash equivalents will be disposed of twelve (12) months following the Early Termination Date; provided, that in the event of a Change of Control, such non-amortizable assets shall be deemed disposed of at the time of sale (if applicable) of the relevant asset in the Change of Control (if earlier than such fifteenth (15th) anniversary) (other than equity interests in any Subsidiary that is treated as an association taxable as a corporation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(v) if, on the Early Termination Date, there are Units that have not been Exchanged, then each such Unit shall be deemed Exchanged for the Market Value of such Unit (and therefore, for the avoidance of doubt, to the extent a Threshold Exchange has not occurred with respect to an Exchange TRA Party on or before the Early Termination Date, a Threshold Exchange with respect to such Exchange TRA Party shall be deemed to have occurred on such Early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with respect to Taxable Years where the Payment Date has passed, any unpaid Tax Benefit Payments and any applicable interest will be paid on the Early Termination Date at the Default Rate; and </w:t>
      </w:r>
    </w:p>
    <w:p>
      <w:pPr>
        <w:pStyle w:val="TextBody"/>
        <w:bidi w:val="0"/>
        <w:spacing w:before="120" w:after="0"/>
        <w:jc w:val="left"/>
        <w:rPr>
          <w:rFonts w:ascii="Times New Roman" w:hAnsi="Times New Roman"/>
          <w:sz w:val="20"/>
        </w:rPr>
      </w:pPr>
      <w:r>
        <w:rPr>
          <w:rFonts w:ascii="Times New Roman" w:hAnsi="Times New Roman"/>
          <w:sz w:val="20"/>
        </w:rPr>
        <w:t xml:space="preserve">(vii) each Tax Benefit Payment for the relevant Taxable Year will be due and payable and satisfied on the due date (without extensions) under applicable law as of the Early Termination Effective Date for filing of IRS Form 1120 (or any successor form) of PubCo.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DETERMINATION OF CERTAIN REALIZED TAX BENEFIT </w:t>
      </w:r>
    </w:p>
    <w:p>
      <w:pPr>
        <w:pStyle w:val="TextBody"/>
        <w:bidi w:val="0"/>
        <w:spacing w:before="240" w:after="0"/>
        <w:jc w:val="left"/>
        <w:rPr>
          <w:rFonts w:ascii="Times New Roman" w:hAnsi="Times New Roman"/>
          <w:sz w:val="20"/>
        </w:rPr>
      </w:pPr>
      <w:r>
        <w:rPr>
          <w:rFonts w:ascii="Times New Roman" w:hAnsi="Times New Roman"/>
          <w:b/>
          <w:sz w:val="20"/>
        </w:rPr>
        <w:t xml:space="preserve">SECTION 2.1 </w:t>
      </w:r>
      <w:r>
        <w:rPr>
          <w:rFonts w:ascii="Times New Roman" w:hAnsi="Times New Roman"/>
          <w:b/>
          <w:sz w:val="20"/>
          <w:u w:val="single"/>
        </w:rPr>
        <w:t>Basis Adjustments; 754 Election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Basis Ad</w:t>
      </w:r>
      <w:r>
        <w:rPr>
          <w:rFonts w:ascii="Times New Roman" w:hAnsi="Times New Roman"/>
          <w:sz w:val="20"/>
        </w:rPr>
        <w:t>j</w:t>
      </w:r>
      <w:r>
        <w:rPr>
          <w:rFonts w:ascii="Times New Roman" w:hAnsi="Times New Roman"/>
          <w:sz w:val="20"/>
          <w:u w:val="single"/>
        </w:rPr>
        <w:t>ustments</w:t>
      </w:r>
      <w:r>
        <w:rPr>
          <w:rFonts w:ascii="Times New Roman" w:hAnsi="Times New Roman"/>
          <w:sz w:val="20"/>
        </w:rPr>
        <w:t xml:space="preserve">. The Parties acknowledge and agree that, except as otherwise required by applicable law, the Parties shall treat (i) each Exchange as a direct purchase of Units by PubCo from the applicable holder of Units (including through the application of Section 707(a)(2)(B) of the Code (or any similar provisions of applicable state, local or non-U.S. tax law) in the case of any Exchange involving a contribution to OpCo) and (ii) each Exchange as a transaction that could give rise to Basis Adjustments. For the avoidance of doubt, payments made under this Agreement in respect of an Exchange TRA Party shall not be treated as resulting in a Basis Adjustment to the extent such payments are treated as Imputed Interest.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754 Election</w:t>
      </w:r>
      <w:r>
        <w:rPr>
          <w:rFonts w:ascii="Times New Roman" w:hAnsi="Times New Roman"/>
          <w:sz w:val="20"/>
        </w:rPr>
        <w:t xml:space="preserve">. The PubCo Group Members shall cause OpCo and each of its applicable direct or indirect Subsidiaries that is treated as a partnership for U.S. federal income tax purposes to have in effect an election under Section 754 of the Code (or any similar provisions of applicable state, local or foreign tax law) for each taxable year ending on or after the IPO Date. The PubCo Group Members shall use commercially reasonable efforts to cause each Person in which OpCo owns a direct or indirect equity interest (other than a Subsidiary) that is so treated as a partnership for U.S. federal income tax purposes to have in effect such an election for each such taxable year. </w:t>
      </w:r>
    </w:p>
    <w:p>
      <w:pPr>
        <w:pStyle w:val="TextBody"/>
        <w:bidi w:val="0"/>
        <w:spacing w:before="240" w:after="0"/>
        <w:jc w:val="left"/>
        <w:rPr>
          <w:rFonts w:ascii="Times New Roman" w:hAnsi="Times New Roman"/>
          <w:sz w:val="20"/>
        </w:rPr>
      </w:pPr>
      <w:r>
        <w:rPr>
          <w:rFonts w:ascii="Times New Roman" w:hAnsi="Times New Roman"/>
          <w:b/>
          <w:sz w:val="20"/>
        </w:rPr>
        <w:t>SECTION 2.2</w:t>
      </w:r>
      <w:r>
        <w:rPr>
          <w:rFonts w:ascii="Times New Roman" w:hAnsi="Times New Roman"/>
          <w:sz w:val="20"/>
        </w:rPr>
        <w:t xml:space="preserve"> </w:t>
      </w:r>
      <w:r>
        <w:rPr>
          <w:rFonts w:ascii="Times New Roman" w:hAnsi="Times New Roman"/>
          <w:b/>
          <w:sz w:val="20"/>
          <w:u w:val="single"/>
        </w:rPr>
        <w:t>Attribute Schedule</w:t>
      </w:r>
      <w:r>
        <w:rPr>
          <w:rFonts w:ascii="Times New Roman" w:hAnsi="Times New Roman"/>
          <w:sz w:val="20"/>
        </w:rPr>
        <w:t>. Within one hundred and twenty (120) calendar days after the due date (including extensions) of IRS Form 1120 (or any successor form) of PubCo for each relevant Taxable Year, PubCo shall deliver to the TRA Party Representative a schedule (the “</w:t>
      </w:r>
      <w:r>
        <w:rPr>
          <w:rFonts w:ascii="Times New Roman" w:hAnsi="Times New Roman"/>
          <w:b/>
          <w:sz w:val="20"/>
          <w:u w:val="single"/>
        </w:rPr>
        <w:t>Attribute Schedule</w:t>
      </w:r>
      <w:r>
        <w:rPr>
          <w:rFonts w:ascii="Times New Roman" w:hAnsi="Times New Roman"/>
          <w:sz w:val="20"/>
        </w:rPr>
        <w:t>”) that shows, in reasonable detail necessary to perform the calculations required by this Agreement, (i) the Reorganization Transferred Basis of the Reference Assets in respect of each TRA Party, if any, (ii) the IPO Basis of the Reference Assets in respect of each TRA Party, if any, (iii) the Exchange Basis of the Reference Assets in respect of each TRA Party, if any, (iv) the Basis Adjustments with respect to the Reference Assets in respect of each TRA Party as a result of the Exchanges effected in such Taxable Year or any prior Taxable Year, if any, calculated in the aggregate, (v) the Non-Exchange Basis,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IPO Basis, Non-Reorganization Transferred Basis, and Non-Stepped Up Tax Basis of the Reference Assets in respect of each TRA Party, (vi) the period (or periods) over which the Reference Assets in respect of each TRA Party are amortizable and/or depreciable, (vii) the period (or periods) over which the Reorganization Transferred Basis, the IPO Basis, the Exchange Basis, and each Basis Adjustment in respect of each TRA Party is amortizable and/or depreciable, and (viii) the Blocker Attributes available to the PubCo Group Members in such Taxable Year in respect of each TRA Party and the period (or periods) over which such Blocker Attributes are usable. An Attribute Schedule will become final and binding on the Parties pursuant to the procedures set forth in Section 2.4(a) and may be amended by the Parties pursuant to the procedures set forth in Section 2.4(b) (subject to the procedures set forth in Section 2.4). All costs and expenses incurred in connection with the provision and preparation of the Attribute Schedules and Tax Benefit Schedules (as defined below) for each TRA Party in compliance with this Agreement shall be borne by OpCo.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Tax Benefit Schedule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Benefit Schedule</w:t>
      </w:r>
      <w:r>
        <w:rPr>
          <w:rFonts w:ascii="Times New Roman" w:hAnsi="Times New Roman"/>
          <w:sz w:val="20"/>
        </w:rPr>
        <w:t>. Within one hundred and twenty (120) calendar days after the due date (including extensions) of IRS Form 1120 (or any successor form) of PubCo for any Taxable Year in which there is a Realized Tax Benefit or a Realized Tax Detriment Attributable to a TRA Party, PubCo shall provide to the TRA Party Representative a schedule showing, in reasonable detail, the calculation of the Realized Tax Benefit and Tax Benefit Payment or the Realized Tax Detriment, as applicable, in respect of each TRA Party for such Taxable Year (a “</w:t>
      </w:r>
      <w:r>
        <w:rPr>
          <w:rFonts w:ascii="Times New Roman" w:hAnsi="Times New Roman"/>
          <w:b/>
          <w:sz w:val="20"/>
          <w:u w:val="single"/>
        </w:rPr>
        <w:t>Tax Benefit Schedule</w:t>
      </w:r>
      <w:r>
        <w:rPr>
          <w:rFonts w:ascii="Times New Roman" w:hAnsi="Times New Roman"/>
          <w:sz w:val="20"/>
        </w:rPr>
        <w:t xml:space="preserve">”). Each Tax Benefit Schedule will become final as provided in Section 2.4(a) and may be amended as provided in Section 2.4(b) (subject to the procedures set forth in Section 2.4).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Applicable Principles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w:t>
      </w:r>
      <w:r>
        <w:rPr>
          <w:rFonts w:ascii="Times New Roman" w:hAnsi="Times New Roman"/>
          <w:sz w:val="20"/>
        </w:rPr>
        <w:t xml:space="preserve">. Subject to Section 3.3, the Realized Tax Benefit (or the Realized Tax Detriment) for each Taxable Year is intended to measure the decrease (or increase) in the actual liability for Taxes of the PubCo Group Members for such Taxable Year attributable to the Tax Attributes, determined using a “with and without” methodology. Carryovers or carrybacks of any Tax item attributable to any of the Tax Attributes shall be considered to be subject to the rules of the Code and the Treasury Regulations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Treatment of Tax Benefit Payments</w:t>
      </w:r>
      <w:r>
        <w:rPr>
          <w:rFonts w:ascii="Times New Roman" w:hAnsi="Times New Roman"/>
          <w:sz w:val="20"/>
        </w:rPr>
        <w:t xml:space="preserve">. The parties agree that (A) all Tax Benefit Payments (other than Imputed Interest thereon) attributable to Blocker Attributes or Reorganization Transferred Basis will be treated as other property or money for purposes of Section 351 of the Code or otherwise as consideration received in the Reorganization, (B) all Tax Benefit Payments (other than Imputed Interest thereon) attributable to the IPO Basis (including Reorganization Transferred Basis resulting from Tax Benefit Payments attributable to the IPO Basis) Attributable to any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 Party will be treated as other property or money for purposes of Section 351 of the Code or otherwise as consideration received in the Reorganization (which, with respect to the PubCo Unit Contributions, will have the effect of creating additional Reorganization Transferred Basis with respect to Reference Assets for the PubCo Group Members in the year of payment), (C) all Tax Benefit Payments (other than Imputed Interest thereon) attributable to the Exchange Basis or Basis Adjustments (other than Basis Adjustments resulting from Tax Benefit Payments attributable to the IPO Basis) will be treated as subsequent upward purchase price adjustments with respect to the Units exchanged in the applicable Exchange that have the effect of creating additional Basis Adjustments to Reference Assets for the PubCo Group Members in the year of payment, (D) all Tax Benefit Payments (other than Imputed Interest thereon) attributable to the IPO Basis (including Basis Adjustments resulting from Tax Benefit Payments attributable to the IPO Basis) Attributable to any Exchange TRA Party will be treated as subsequent upward purchase price adjustments with respect to the Threshold Exchange Units that have the effect of creating additional Basis Adjustments to Reference Assets for the PubCo Group Members in the year of payment, (E) the Actual Tax Liability will take into account the deduction of the portion of the Tax Benefit Payment that must be accounted for as Imputed Interest, and (F) as a result, any additional Basis Adjustments (and, in the case of the PubCo Unit Contributions, any additional Reorganization Transferred Basis) will be incorporated into the current year calculation and into future year calculations,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Applicable Principles of Section 734(b) Exchanges</w:t>
      </w:r>
      <w:r>
        <w:rPr>
          <w:rFonts w:ascii="Times New Roman" w:hAnsi="Times New Roman"/>
          <w:sz w:val="20"/>
        </w:rPr>
        <w:t xml:space="preserve">. Notwithstanding any provisions to the contrary in this Agreement, the foregoing treatment set out in Section 2.3(b)(ii) shall not be required to apply to payments hereunder to an Exchange TRA Party in respect of a Section 734(b) Exchange by such Exchange TRA Party. For the avoidance of doubt, payments made under this Agreement relating to a Section 734(b) Exchange shall not be treated as resulting in a Basis Adjustment to the extent such payments are treated as Imputed Interest. The parties intend that (A) an Exchange TRA Party that has made a Section 734(b) Exchange shall, with respect to the Basis Adjustment resulting from such Section 734(b) Exchange or any payments hereunder in respect of such Section 734(b) Exchange, be entitled to Tax Benefit Payments attributable to such Basis Adjustments only to the extent such Basis Adjustments are allocable to the PubCo Group Members following such Section 734(b) Exchange (without taking into account any concurrent or subsequent Exchanges) and (B) if, as a result of a subsequent Exchange, an increased portion of the Basis Adjustments resulting from such Section 734(b) Exchange or any payments hereunder in respect of such Section 734(b) Exchange becomes allocable to the PubCo Group Members, then the Exchange TRA Party that makes such subsequent Exchange shall be entitled to a Tax Benefit Payment calculated in respect of such increased portion. For purposes of this Agreement, the increased portion of such Basis Adjustments that becomes allocable to the PubCo Group Members as a result of a subsequent Exchange as described in clause (B) of the previous sentence shall be reported and treated as Exchange Basis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Applicable Principles for Exchange Basis and Reorganization Transferred Basis</w:t>
      </w:r>
      <w:r>
        <w:rPr>
          <w:rFonts w:ascii="Times New Roman" w:hAnsi="Times New Roman"/>
          <w:sz w:val="20"/>
        </w:rPr>
        <w:t xml:space="preserve">. For the avoidance of doubt, the Realized Tax Benefit (or the Realized Tax Detriment) attributable to the Exchange Basis or Reorganization Transferred Basis is intended to represent the decrease (or increase) in the actual liability for Taxes of the PubCo Group Members for such Taxable Year attributable to the Tax deductions allocable to the PubCo Group Members that result from the Tax basis of the Reference Assets measured at the time of the Reorganization or the relevant Exchange, as applicable, in excess of Tax deductions allocable to the PubCo Group Members that result from the IPO Basis existing as of such time. Any Tax Benefit Payments attributable to the Exchange Basis or Reorganization Transferred Basis are Attributable to, and are intended to be allocated and paid to, the relevant TRA Parties proportionately based on the Basis Sharing Percentage of each such TRA Party; provided, however, that any Tax Benefit Payments attributable to any adjustment to Tax basis in relation to the PubCo Unit Contributions that results from any payment under this Agreement shall be Attributable to the Reorganization TRA Parties that contributed Units in the PubCo Unit Contributions.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Amounts Attributable to Blocker Shareholders and AS General Partner</w:t>
      </w:r>
      <w:r>
        <w:rPr>
          <w:rFonts w:ascii="Times New Roman" w:hAnsi="Times New Roman"/>
          <w:sz w:val="20"/>
        </w:rPr>
        <w:t xml:space="preserve">. On or about the date of this Agreement, the Blocker Shareholders and the AS General Partner contributed all of their rights under this Agreement to the AS New Aggregator (with the AS New Aggregator becoming a “TRA Party” and “Reorganization TRA Party”). By reason of such contributions, any Tax Attribute that would otherwise be Attributable to the Blocker Shareholders or the AS General Partner shall be Attributable to the AS New Aggregator.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Applicable Principles of Pillar Two</w:t>
      </w:r>
      <w:r>
        <w:rPr>
          <w:rFonts w:ascii="Times New Roman" w:hAnsi="Times New Roman"/>
          <w:sz w:val="20"/>
        </w:rPr>
        <w:t>. Notwithstanding anything to the contrary in this Agreement, to the extent that any Tax Attributes increase UTPR Taxes over the amount of UTPR Taxes that would be payable absent the Tax Attributes (as determined on a “with and without” basis in a manner consistent with this Agreement), the Realized Tax Benefit or Realized Tax Detriment shall be decreased or increased, as applicable, to take into account such increase in UTPR Taxes. The TRA Parties agree that PubCo and OpCo may make reasonable assumptions and estimates consistent with the purpose of this section to reduce administrative burdens on PubCo and OpCo when computing whether the Tax Attributes resulted in an increase in UTPR Taxes;</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disclose any such assumptions or estimates in the Tax Benefit Schedule and such assumptions and estimates shall be subject to the procedures set forth in Section 2.4. </w:t>
      </w:r>
    </w:p>
    <w:p>
      <w:pPr>
        <w:pStyle w:val="TextBody"/>
        <w:bidi w:val="0"/>
        <w:spacing w:before="240" w:after="0"/>
        <w:jc w:val="left"/>
        <w:rPr>
          <w:rFonts w:ascii="Times New Roman" w:hAnsi="Times New Roman"/>
          <w:sz w:val="20"/>
        </w:rPr>
      </w:pPr>
      <w:r>
        <w:rPr>
          <w:rFonts w:ascii="Times New Roman" w:hAnsi="Times New Roman"/>
          <w:b/>
          <w:sz w:val="20"/>
        </w:rPr>
        <w:t xml:space="preserve">SECTION 2.4 </w:t>
      </w:r>
      <w:r>
        <w:rPr>
          <w:rFonts w:ascii="Times New Roman" w:hAnsi="Times New Roman"/>
          <w:b/>
          <w:sz w:val="20"/>
          <w:u w:val="single"/>
        </w:rPr>
        <w:t>Procedures, Amendments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w:t>
      </w:r>
      <w:r>
        <w:rPr>
          <w:rFonts w:ascii="Times New Roman" w:hAnsi="Times New Roman"/>
          <w:sz w:val="20"/>
        </w:rPr>
        <w:t xml:space="preserve">. Every time PubCo delivers to the TRA Party Representative an applicable Schedule under this Agreement, including any Amended Schedule, PubCo shall also (x) deliver to the TRA Party Representative supporting schedules and work papers, as determined by PubCo or as reasonably requested by the TRA Party Representative, providing reasonable detail regarding data and calculations that were relevant for purposes of preparing such Schedule and (y) allow the TRA Party Representative reasonable access at no cost to the appropriate representatives at PubCo, as determined by PubCo or as reasonably requested by the TRA Party Representative, in connection with a review of such Schedule. Without limiting the generality of the preceding sentence, PubCo shall ensure that any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Benefit Schedule that is delivered to the TRA Party Representative, along with any supporting schedules and work papers, provides a reasonably detailed presentation of the calculation of the Actual Tax Liability and the Hypothetical Tax Liability and identifies any material assumptions or operating procedures or principles that were used for purposes of such calculations. An applicable Schedule or amendment thereto shall become final and binding on all parties thirty (30) calendar days from the date on which the TRA Party Representative is treated as having received the applicable Schedule or amendment thereto under Section 7.1 unless the TRA Party Representative (i) within thirty (30) calendar days from such date provides PubCo with written notice of a material objection to such Schedule (“</w:t>
      </w:r>
      <w:r>
        <w:rPr>
          <w:rFonts w:ascii="Times New Roman" w:hAnsi="Times New Roman"/>
          <w:b/>
          <w:sz w:val="20"/>
          <w:u w:val="single"/>
        </w:rPr>
        <w:t>Objection Notice</w:t>
      </w:r>
      <w:r>
        <w:rPr>
          <w:rFonts w:ascii="Times New Roman" w:hAnsi="Times New Roman"/>
          <w:sz w:val="20"/>
        </w:rPr>
        <w:t>”) made in good faith or (ii) provides a written waiver of such right of any Objection Notice within the period described in clause (i) above, in which case such Schedule or amendment thereto becomes binding on the date the waiver is received by PubCo. If PubCo and the TRA Party Representative, for any reason, are unable to successfully resolve the issues raised in the Objection Notice within thirty (30) calendar days after receipt by PubCo of an Objection Notice, PubCo and the TRA Party Representative shall employ the reconciliation procedures as described in Section 7.9 of this Agreement (the “</w:t>
      </w:r>
      <w:r>
        <w:rPr>
          <w:rFonts w:ascii="Times New Roman" w:hAnsi="Times New Roman"/>
          <w:b/>
          <w:sz w:val="20"/>
          <w:u w:val="single"/>
        </w:rPr>
        <w:t>Reconciliation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Amended Schedule</w:t>
      </w:r>
      <w:r>
        <w:rPr>
          <w:rFonts w:ascii="Times New Roman" w:hAnsi="Times New Roman"/>
          <w:sz w:val="20"/>
        </w:rPr>
        <w:t>. The applicable Schedule for any Taxable Year may be amended from time to time by PubCo (i) in connection with a Determination affecting such Schedule, (ii) to correct inaccuracies in the Schedule identified as a result of the receipt of additional factual information relating to a Taxable Year after the date the Schedule was provided to the TRA Party Representative, (iii) to comply with an Expert’s determination under the Reconciliation Procedures, (iv) to reflect a change in the Realized Tax Benefit or the Realized Tax Detriment for such Taxable Year attributable to a carryback or carryforward of a loss or other Tax item to such Taxable Year, (v) to reflect a change in the Realized Tax Benefit or the Realized Tax Detriment for such Taxable Year attributable to an amended Tax Return filed for such Taxable Year or (vi) to adjust an applicable TRA Party’s Attribute Schedule to take into account payments made pursuant to this Agreement (any such Schedule, an “</w:t>
      </w:r>
      <w:r>
        <w:rPr>
          <w:rFonts w:ascii="Times New Roman" w:hAnsi="Times New Roman"/>
          <w:b/>
          <w:sz w:val="20"/>
          <w:u w:val="single"/>
        </w:rPr>
        <w:t>Amended Schedule</w:t>
      </w:r>
      <w:r>
        <w:rPr>
          <w:rFonts w:ascii="Times New Roman" w:hAnsi="Times New Roman"/>
          <w:sz w:val="20"/>
        </w:rPr>
        <w:t xml:space="preserve">”). PubCo shall provide an Amended Schedule to the TRA Party Representative when PubCo delivers the Attribute Schedule for the following Taxable Year.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TAX BENEFIT PAYMENTS </w:t>
      </w:r>
    </w:p>
    <w:p>
      <w:pPr>
        <w:pStyle w:val="TextBody"/>
        <w:bidi w:val="0"/>
        <w:spacing w:before="240" w:after="0"/>
        <w:jc w:val="left"/>
        <w:rPr>
          <w:rFonts w:ascii="Times New Roman" w:hAnsi="Times New Roman"/>
          <w:sz w:val="20"/>
        </w:rPr>
      </w:pPr>
      <w:r>
        <w:rPr>
          <w:rFonts w:ascii="Times New Roman" w:hAnsi="Times New Roman"/>
          <w:b/>
          <w:sz w:val="20"/>
        </w:rPr>
        <w:t xml:space="preserve">SECTION 3.1 </w:t>
      </w:r>
      <w:r>
        <w:rPr>
          <w:rFonts w:ascii="Times New Roman" w:hAnsi="Times New Roman"/>
          <w:b/>
          <w:sz w:val="20"/>
          <w:u w:val="single"/>
        </w:rPr>
        <w:t>Payments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Payments</w:t>
      </w:r>
      <w:r>
        <w:rPr>
          <w:rFonts w:ascii="Times New Roman" w:hAnsi="Times New Roman"/>
          <w:sz w:val="20"/>
        </w:rPr>
        <w:t>. Within five (5) Business Days after a Tax Benefit Schedule delivered to the TRA Party Representative becomes final in accordance with Section 2.4(a) and Section 7.9, if applicable, PubCo shall pay each TRA Party for such Taxable Year the Tax Benefit Payment determined pursuant to Section 3.1(b) that is Attributable to such TRA Party. If PubCo is current in respect of its payment obligations owed to each TRA Party under this Agreement, PubCo may, at any time on or after the due date (without extensions) of IRS Form 1120 (or any successor form) of PubCo for a Taxable Year, make one or more estimated payments to the TRA Parties in respect of any amounts anticipated to be owed with respect to such Taxable Year to the TRA Parties pursuant to this Section 3.1(a) (an “</w:t>
      </w:r>
      <w:r>
        <w:rPr>
          <w:rFonts w:ascii="Times New Roman" w:hAnsi="Times New Roman"/>
          <w:b/>
          <w:sz w:val="20"/>
          <w:u w:val="single"/>
        </w:rPr>
        <w:t>Advance Payment</w:t>
      </w:r>
      <w:r>
        <w:rPr>
          <w:rFonts w:ascii="Times New Roman" w:hAnsi="Times New Roman"/>
          <w:sz w:val="20"/>
        </w:rPr>
        <w:t xml:space="preserve">”); provided that, if PubCo makes Advance Payments, it must make Advance Payments to all TRA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eligible to receive payments under this Agreement with respect to a particular Taxable Year in proportion to their respective amounts of anticipated payments under this Agreement in respect of such Taxable Year. Any Advance Payment made to the TRA Parties shall first be applied to any Interest Amount for such Taxable Year and then to the remaining amount of the Tax Benefit Payment to be made pursuant to this Section 3.1(a). Each such Tax Benefit Payment shall be made by wire transfer of immediately available funds to the bank account previously designated by such TRA Party to PubCo or as otherwise agreed by PubCo and such TRA Party. For the avoidance of doubt, (x) no Tax Benefit Payment shall be made in respect of estimated Tax payments, including, without limitation, U.S. federal estimated income Tax payments and (y) the payments provided for pursuant to the above sentence shall be computed separately for each TRA Party. No TRA Party shall be required to make a payment or return a payment to PubCo in respect of any portion of any Tax Benefit Payment previously paid to such TRA Party (including any portion of any Early Termination Payment or, for the avoidance of doubt, any Advance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PubCo makes a payment to a TRA Party under this Agreement in an amount that exceeds the amount that should have been paid to such TRA Party (including after taking into account any Determination that would have changed the Net Tax Benefit or any other calculation under this Agreement in any prior Taxable Year), then the amount of such excess shall offset and reduce, dollar-for-dollar, any future payments payable to such TRA Party under this Agreement. Notwithstanding anything to the contrary in this Agreement, with respect to each Exchange by or with respect to an Exchange TRA Party, if the Exchange TRA Party notifies PubCo in writing of a stated maximum selling price (within the meaning of Treasury Regulations Section 15A.453-1(c)(2)), then the amount of the consideration received in connection with such Exchange and the aggregate Tax Benefit Payments to such Exchange TRA Party in respect of such Exchange (other than amounts accounted for as interest under the Code) shall not exceed such stated maximum selling price. </w:t>
      </w:r>
    </w:p>
    <w:p>
      <w:pPr>
        <w:pStyle w:val="TextBody"/>
        <w:bidi w:val="0"/>
        <w:spacing w:before="240" w:after="0"/>
        <w:jc w:val="left"/>
        <w:rPr>
          <w:rFonts w:ascii="Times New Roman" w:hAnsi="Times New Roman"/>
          <w:sz w:val="20"/>
        </w:rPr>
      </w:pPr>
      <w:r>
        <w:rPr>
          <w:rFonts w:ascii="Times New Roman" w:hAnsi="Times New Roman"/>
          <w:sz w:val="20"/>
        </w:rPr>
        <w:t>(b) A “</w:t>
      </w:r>
      <w:r>
        <w:rPr>
          <w:rFonts w:ascii="Times New Roman" w:hAnsi="Times New Roman"/>
          <w:b/>
          <w:sz w:val="20"/>
          <w:u w:val="single"/>
        </w:rPr>
        <w:t>Tax Benefit Payment</w:t>
      </w:r>
      <w:r>
        <w:rPr>
          <w:rFonts w:ascii="Times New Roman" w:hAnsi="Times New Roman"/>
          <w:sz w:val="20"/>
        </w:rPr>
        <w:t>” in respect of a TRA Party for a Taxable Year means an amount, not less than zero, equal to the Net Tax Benefit that is Attributable to such TRA Party and the Interest Amount with respect thereto. For the avoidance of doubt, for Tax purposes, the Interest Amount shall not be treated as interest, but instead, shall be treated as additional consideration in the applicable transaction, unless otherwise required by law. Subject to Section 3.3, the “</w:t>
      </w:r>
      <w:r>
        <w:rPr>
          <w:rFonts w:ascii="Times New Roman" w:hAnsi="Times New Roman"/>
          <w:b/>
          <w:sz w:val="20"/>
          <w:u w:val="single"/>
        </w:rPr>
        <w:t>Net Tax Benefit</w:t>
      </w:r>
      <w:r>
        <w:rPr>
          <w:rFonts w:ascii="Times New Roman" w:hAnsi="Times New Roman"/>
          <w:sz w:val="20"/>
        </w:rPr>
        <w:t>” for a Taxable Year shall be an amount equal to the excess, if any, of 85% of the Cumulative Net Realized Tax Benefit as of the end of such Taxable Year, over the total amount of payments previously made under the first sentence of Section 3.1(a) (excluding payments attributable to Interest Amounts). The “</w:t>
      </w:r>
      <w:r>
        <w:rPr>
          <w:rFonts w:ascii="Times New Roman" w:hAnsi="Times New Roman"/>
          <w:b/>
          <w:sz w:val="20"/>
          <w:u w:val="single"/>
        </w:rPr>
        <w:t>Interest Amount</w:t>
      </w:r>
      <w:r>
        <w:rPr>
          <w:rFonts w:ascii="Times New Roman" w:hAnsi="Times New Roman"/>
          <w:sz w:val="20"/>
        </w:rPr>
        <w:t xml:space="preserve">” shall equal the interest on the Net Tax Benefit calculated at the Agreed Rate from the due date (without extensions) for filing IRS Form 1120 (or any successor form) of PubCo with respect to Taxes for such Taxable Year until the payment date under Section 3.1(a) (for the avoidance of doubt, taking into account any Advance Payments).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No Duplicative Payments</w:t>
      </w:r>
      <w:r>
        <w:rPr>
          <w:rFonts w:ascii="Times New Roman" w:hAnsi="Times New Roman"/>
          <w:sz w:val="20"/>
        </w:rPr>
        <w:t xml:space="preserve">. It is intended that the provisions of this Agreement will not result in duplicative payment of any amount (including interest) required under this Agreement. The provisions of this Agreement shall be construed in the appropriate manner to ensure such intentions are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Pro Rata Payments</w:t>
      </w:r>
      <w:r>
        <w:rPr>
          <w:rFonts w:ascii="Times New Roman" w:hAnsi="Times New Roman"/>
          <w:sz w:val="20"/>
        </w:rPr>
        <w:t xml:space="preserve">. Notwithstanding anything in this Agreement to the contrary, to the extent that the aggregate Realized Tax Benefit of the PubCo Group Members with respect to the Tax Attributes is limited in a particular Taxable Year because the PubCo Group Members do not have sufficient taxable income, the Net Tax Benefit for that Taxable Year shall be allocated among all parties then-eligible to receive Tax Benefit Payments under this Agreement in proportion to the amounts of Net Tax Benefit for that Taxable Year, respectively, that would have been Attributable to each TRA Party if the PubCo Group Members had sufficient taxable income so that there were no such limitation; provided that, for purposes of determining the Net Tax Benefit that is Attributable to any TRA Party and allocating among the TRA Parties the aggregate Tax Benefit Payments under this Agreement with respect to any Taxable Year, the operation of this Section 3.3 with respect to any prior Taxable Year shall be taken into account, it being the intention of the parties to this Agreement for each TRA Party eligible for payments hereunder to receive, in the aggregate, Tax Benefit Payments in proportion to the aggregate Net Tax Benefits Attributable to such party had there been sufficient taxable income to utilize all available Tax Attributes. For the avoidance of doubt, the determination of whether Tax Benefit Payments are not payable as a result of the application of Section 3.7 shall not be relevant in the determination of whether a Net Tax Benefit is eligible to be allocated to the relevant TRA Party for purposes of this Section 3.3. </w:t>
      </w:r>
    </w:p>
    <w:p>
      <w:pPr>
        <w:pStyle w:val="TextBody"/>
        <w:bidi w:val="0"/>
        <w:spacing w:before="240" w:after="0"/>
        <w:jc w:val="left"/>
        <w:rPr>
          <w:rFonts w:ascii="Times New Roman" w:hAnsi="Times New Roman"/>
          <w:sz w:val="20"/>
        </w:rPr>
      </w:pPr>
      <w:r>
        <w:rPr>
          <w:rFonts w:ascii="Times New Roman" w:hAnsi="Times New Roman"/>
          <w:b/>
          <w:sz w:val="20"/>
        </w:rPr>
        <w:t>SECTION 3.4</w:t>
      </w:r>
      <w:r>
        <w:rPr>
          <w:rFonts w:ascii="Times New Roman" w:hAnsi="Times New Roman"/>
          <w:sz w:val="20"/>
        </w:rPr>
        <w:t xml:space="preserve"> </w:t>
      </w:r>
      <w:r>
        <w:rPr>
          <w:rFonts w:ascii="Times New Roman" w:hAnsi="Times New Roman"/>
          <w:b/>
          <w:sz w:val="20"/>
          <w:u w:val="single"/>
        </w:rPr>
        <w:t>Payment Ordering</w:t>
      </w:r>
      <w:r>
        <w:rPr>
          <w:rFonts w:ascii="Times New Roman" w:hAnsi="Times New Roman"/>
          <w:sz w:val="20"/>
        </w:rPr>
        <w:t>. If for any reason PubCo does not fully satisfy its payment obligations to make all Tax Benefit Payments due under this Agreement in respect of a particular Taxable Year, then PubCo and the TRA Parties agree that (i) Tax Benefit Payments for such Taxable Year that are made shall be allocated to all parties eligible to receive Tax Benefit Payments under this Agreement in such Taxable Year in proportion to the amounts of Tax Benefit Payments, respectively, that would have been made to each TRA Party if PubCo had sufficient cash available to make such Tax Benefit Payments and (ii) no Tax Benefit Payments shall be made in respect of any Taxable Year until all Tax Benefit Payments to all TRA Parties in respect of all prior Taxable Years have been made in full;</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payments that were previously not made as a result of the application of Section 3.7 and have now become due and payable pursuant to Section 3.7 shall be made prior to any other Tax Benefit Payments.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Limitation</w:t>
      </w:r>
      <w:r>
        <w:rPr>
          <w:rFonts w:ascii="Times New Roman" w:hAnsi="Times New Roman"/>
          <w:sz w:val="20"/>
        </w:rPr>
        <w:t xml:space="preserve">. If the Net Tax Benefit for a Taxable Year is reduced as a result of any tax detriment attributable to any TRA Party or any payment to a TRA Party under this Agreement in an amount that exceeds the amount that should have been paid to such TRA Party (including after taking into account any Determination that would have changed the Net Tax Benefit or any other calculation under this Agreement in any prior Taxable Year), the Net Tax Benefit for such Taxable Year and any future Taxable Year shall be allocated among the TRA Parties in a manner such that, to the maximum extent possible, each other TRA Party receives aggregate payments under Section 3.1(a) (taking into account Section 3.3) in the amount it would have received if there had been no such tax detriment attributable to or excess payment to another TRA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b/>
          <w:sz w:val="20"/>
          <w:u w:val="single"/>
        </w:rPr>
        <w:t>Payments Attributable to Unvested Units</w:t>
      </w:r>
      <w:r>
        <w:rPr>
          <w:rFonts w:ascii="Times New Roman" w:hAnsi="Times New Roman"/>
          <w:sz w:val="20"/>
        </w:rPr>
        <w:t>. Notwithstanding anything to the contrary in this Agreement, if any Unvested Unit is forfeited, no Tax Benefit Payment (or any other payment under this Agreement) that is attributable to such Unvested Unit and would otherwise become due and payable after the date of such forfeiture shall be required to be made</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b/>
          <w:sz w:val="20"/>
          <w:u w:val="single"/>
        </w:rPr>
        <w:t>Threshold Exchanges</w:t>
      </w:r>
      <w:r>
        <w:rPr>
          <w:rFonts w:ascii="Times New Roman" w:hAnsi="Times New Roman"/>
          <w:sz w:val="20"/>
        </w:rPr>
        <w:t>. Notwithstanding anything to the contrary herein, no Tax Benefit Payments with respect to IPO Basis shall be made to an Exchange TRA Party in respect of any Units held after the Reorganization until such Exchange TRA Party has exchanged Units in one or more Exchanges equal to 5% of the Units (including, for the avoidance of doubt, any Unvested Units) that such Exchange TRA Party held prior to the Reorganization (determined after giving effect to the Unit Distributions) (such Units, such Exchange TRA Party’s “</w:t>
      </w:r>
      <w:r>
        <w:rPr>
          <w:rFonts w:ascii="Times New Roman" w:hAnsi="Times New Roman"/>
          <w:b/>
          <w:sz w:val="20"/>
          <w:u w:val="single"/>
        </w:rPr>
        <w:t>Threshold Exchange Units</w:t>
      </w:r>
      <w:r>
        <w:rPr>
          <w:rFonts w:ascii="Times New Roman" w:hAnsi="Times New Roman"/>
          <w:sz w:val="20"/>
        </w:rPr>
        <w:t>,” and an Exchange of Threshold Exchange Units, a “</w:t>
      </w:r>
      <w:r>
        <w:rPr>
          <w:rFonts w:ascii="Times New Roman" w:hAnsi="Times New Roman"/>
          <w:b/>
          <w:sz w:val="20"/>
          <w:u w:val="single"/>
        </w:rPr>
        <w:t>Threshold Exchange</w:t>
      </w:r>
      <w:r>
        <w:rPr>
          <w:rFonts w:ascii="Times New Roman" w:hAnsi="Times New Roman"/>
          <w:sz w:val="20"/>
        </w:rPr>
        <w:t>”). The amount retained by PubCo in respect of any Exchange TRA Party until the occurrence of a Threshold Exchange (such Exchange TRA Party’s “</w:t>
      </w:r>
      <w:r>
        <w:rPr>
          <w:rFonts w:ascii="Times New Roman" w:hAnsi="Times New Roman"/>
          <w:b/>
          <w:sz w:val="20"/>
          <w:u w:val="single"/>
        </w:rPr>
        <w:t>Retained Amount</w:t>
      </w:r>
      <w:r>
        <w:rPr>
          <w:rFonts w:ascii="Times New Roman" w:hAnsi="Times New Roman"/>
          <w:sz w:val="20"/>
        </w:rPr>
        <w:t xml:space="preserve">”) shall include the Interest Amount in respect of any associated Net Tax Benefit, calculated through the due date for the Tax Benefit Payment that would otherwise apply under Section 3.1(a), but shall not otherwise accrue interest. After the occurrence of a Threshold Exchange by an Exchange TRA Party, PubCo shall, on the first due date for Tax Benefit Payments under this Agreement after such Threshold Exchange, pay the applicable Exchange TRA Party an amount equal to such Exchange TRA Party’s Retained Amount. Notwithstanding the foregoing, and for the avoidance of doubt, (a) all Tax Benefit Payments with respect to IPO Basis shall be required to be paid no later than the date of any payment required to be made to such TRA Party pursuant to Article IV of this Agreement, and (b) the restrictions in this Section 3.7 shall not apply with respect to IPO Basis attributable to any Acquired Units directly or indirectly transferred in the Reorganization.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TERMINATION </w:t>
      </w:r>
    </w:p>
    <w:p>
      <w:pPr>
        <w:pStyle w:val="TextBody"/>
        <w:bidi w:val="0"/>
        <w:spacing w:before="240" w:after="0"/>
        <w:jc w:val="left"/>
        <w:rPr>
          <w:rFonts w:ascii="Times New Roman" w:hAnsi="Times New Roman"/>
          <w:sz w:val="20"/>
        </w:rPr>
      </w:pPr>
      <w:r>
        <w:rPr>
          <w:rFonts w:ascii="Times New Roman" w:hAnsi="Times New Roman"/>
          <w:b/>
          <w:sz w:val="20"/>
        </w:rPr>
        <w:t xml:space="preserve">SECTION 4.1 </w:t>
      </w:r>
      <w:r>
        <w:rPr>
          <w:rFonts w:ascii="Times New Roman" w:hAnsi="Times New Roman"/>
          <w:b/>
          <w:sz w:val="20"/>
          <w:u w:val="single"/>
        </w:rPr>
        <w:t>Early Termination Of Agreement; Breach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PubCo may (with approval of its Board) terminate this Agreement with respect to (i) all amounts payable to the TRA Parties and with respect to all of the Units held by the TRA Parties at any time by paying to each TRA Party the Early Termination Payment in respect of such TRA Party or (ii) the amount payable to any individual TRA Party having rights to less than 5% of the aggregate IPO Basis Percentage by paying to any such individual TRA Party the Early Termination Payment in respect of such TRA Party (any individual TRA Party that receives payments described in this clause (ii), an “</w:t>
      </w:r>
      <w:r>
        <w:rPr>
          <w:rFonts w:ascii="Times New Roman" w:hAnsi="Times New Roman"/>
          <w:b/>
          <w:sz w:val="20"/>
          <w:u w:val="single"/>
        </w:rPr>
        <w:t>Individual Payment Recipient</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this Agreement shall only terminate upon the receipt of the Early Termination Payment by all TRA Parties, and</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PubCo may withdraw any notice to execute its termination rights under this Section 4.1(a) prior to the time at which any Early Termination Payment has been paid. Upon payment of the Early Termination Payment in respect of each TRA Party (or in respect of any Individual Payment Recipient) by PubCo, PubCo shall have no further payment obligations under this Agreement (or, in the case of an Early Termination Payment in respect of an Individual Payment Recipient, with respect to such Individual Payment Recipient under this Agreement), other than for any (a) Tax Benefit Payments due and payable and that remain unpaid as of the Early Termination Notice and (b) Tax Benefit Payment due for the Taxable Year ending with or including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Early Termination Notice (except to the extent that the amount described in clause (b) is included in the Early Termination Payment). If an Exchange occurs after PubCo makes all of the required Early Termination Payments under clause (i) or (ii) of this Section 4.1(a), as applicable, PubCo shall have no obligations under this Agreement with respect to such Exchange to (A) in the case of Early Termination Payments under clause (i), any TRA Party, or (B) in the case of any Early Termination Payment under clause (ii), the applicable Individual Payment Recipient. </w:t>
      </w:r>
    </w:p>
    <w:p>
      <w:pPr>
        <w:pStyle w:val="TextBody"/>
        <w:bidi w:val="0"/>
        <w:spacing w:before="240" w:after="0"/>
        <w:jc w:val="left"/>
        <w:rPr>
          <w:rFonts w:ascii="Times New Roman" w:hAnsi="Times New Roman"/>
          <w:sz w:val="20"/>
        </w:rPr>
      </w:pPr>
      <w:r>
        <w:rPr>
          <w:rFonts w:ascii="Times New Roman" w:hAnsi="Times New Roman"/>
          <w:sz w:val="20"/>
        </w:rPr>
        <w:t>(b) In the event that (1) PubCo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unless otherwise waived in writing by the TRA Party Representative (any such breach to the extent not waived, a “</w:t>
      </w:r>
      <w:r>
        <w:rPr>
          <w:rFonts w:ascii="Times New Roman" w:hAnsi="Times New Roman"/>
          <w:b/>
          <w:sz w:val="20"/>
          <w:u w:val="single"/>
        </w:rPr>
        <w:t>Material Breach</w:t>
      </w:r>
      <w:r>
        <w:rPr>
          <w:rFonts w:ascii="Times New Roman" w:hAnsi="Times New Roman"/>
          <w:sz w:val="20"/>
        </w:rPr>
        <w:t>”) or (2)(A) PubCo commences any case, proceeding or other action (i) under any existing or future law of any jurisdiction, domestic or foreign, relating to bankruptcy, insolvency, reorganization or relief of debtors, seeking to have an order for relief entered with respect to it, or seeking to adjudicate a bankruptcy or insolvency,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makes a general assignment for the benefit of creditors or (B) there is commenced against PubCo any case, proceeding or other action of the nature referred to in clause (A) above that remains undismissed or undischarged for a period of sixty (60) calendar days, all obligations hereunder shall be automatically accelerated and shall be immediately due and payable, and such obligations shall be calculated as if an Early Termination Notice had been delivered on the date of such breach and shall include, but not be limited to, (x) the Early Termination Payments calculated as if an Early Termination Notice had been delivered to the TRA Party Representative on the date of a breach, (y) any Tax Benefit Payment due and payable and that remains unpaid as of the date of a breach, and (z) any Tax Benefit Payment in respect of any TRA Party due for any Taxable Year ending prior to, with or including the date of a breach;</w:t>
      </w:r>
      <w:r>
        <w:rPr>
          <w:rFonts w:ascii="Times New Roman" w:hAnsi="Times New Roman"/>
          <w:sz w:val="20"/>
          <w:u w:val="single"/>
        </w:rPr>
        <w:t xml:space="preserve"> provided</w:t>
      </w:r>
      <w:r>
        <w:rPr>
          <w:rFonts w:ascii="Times New Roman" w:hAnsi="Times New Roman"/>
          <w:sz w:val="20"/>
        </w:rPr>
        <w:t>, that procedures similar to the procedures of Section 4.2 shall apply with respect to the determination of the amount payable by PubCo pursuant to this sentence. Notwithstanding the foregoing, in the event that PubCo breaches this Agreement and such breach is a Material Breach, to the fullest extent permitted by applicable law, each TRA Party shall be entitled to elect to receive the amounts set forth in clauses (x), (y) and (z) above or to seek specific performance of the terms hereof. The parties agree that the failure to make any payment due pursuant to this Agreement within sixty (60) days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sixty (60) days of the date such payment is due. Notwithstanding anything in this Agreement to the contrary, it shall not be a breach of a material obligation of this Agreement if PubCo fails to make any Tax Benefit Payment when due to the extent that PubCo has insufficient funds to make such payment and is unable to obtain funds to make such payment after using commercially reasonable efforts to do so;</w:t>
      </w:r>
      <w:r>
        <w:rPr>
          <w:rFonts w:ascii="Times New Roman" w:hAnsi="Times New Roman"/>
          <w:sz w:val="20"/>
          <w:u w:val="single"/>
        </w:rPr>
        <w:t xml:space="preserve"> provided</w:t>
      </w:r>
      <w:r>
        <w:rPr>
          <w:rFonts w:ascii="Times New Roman" w:hAnsi="Times New Roman"/>
          <w:sz w:val="20"/>
        </w:rPr>
        <w:t xml:space="preserve">, that the interest provisions of Section 5.2 shall apply to such late payment (unless PubCo does not have sufficient funds to make such payment as a result of limitations imposed by any Senior Obligations, in which case Section 5.2 shall apply, but the Default Rate shall be replaced by the Agreed Rate). PubCo shall use commercially reasonable efforts to (1) obtain sufficient available funds for the purpose of making Tax Benefit Payments under this Agreement and (2) avoid entering into any agreements after the date of this Agreement that could be reasonably anticipated to materially delay the timing of the making of any Tax Benefit Payments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of a Change of Control, all obligations hereunder shall be accelerated and such obligations shall be calculated as if an Early Termination Notice had been delivered on the date of such Change of Control and utilizing the Valuation Assumptions by substituting in each case the terms “the closing date (or the date of effectiveness or occurrence (as the context implies)) of a Change of Control” in each place where the phrase “Early Termination Date” appears. Such obligations shall include (1) the Early Termination Payments calculated as if the Early Termination Date is the date of such Change of Control, (2) any Tax Benefit Payment due and payable and that remains unpaid as of the date of such Change of Control, and (3) any Tax Benefit Payment in respect of any TRA Party due for any Taxable Year ending prior to, with or including the date of such Change of Control (except to the extent any amounts described in clause (2) or (3) are included in the Early Termination Payment). For the avoidance of doubt, Sections 4.2 and 4.3 shall apply to a Change of Control,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Early Termination Notice</w:t>
      </w:r>
      <w:r>
        <w:rPr>
          <w:rFonts w:ascii="Times New Roman" w:hAnsi="Times New Roman"/>
          <w:sz w:val="20"/>
        </w:rPr>
        <w:t>. If PubCo chooses to exercise its right of early termination under Section 4.1(a) above, PubCo shall deliver to the TRA Party Representative notice of such intention to exercise such right (“</w:t>
      </w:r>
      <w:r>
        <w:rPr>
          <w:rFonts w:ascii="Times New Roman" w:hAnsi="Times New Roman"/>
          <w:b/>
          <w:sz w:val="20"/>
          <w:u w:val="single"/>
        </w:rPr>
        <w:t>Early Termination Notice</w:t>
      </w:r>
      <w:r>
        <w:rPr>
          <w:rFonts w:ascii="Times New Roman" w:hAnsi="Times New Roman"/>
          <w:sz w:val="20"/>
        </w:rPr>
        <w:t>”) and a schedule (the “</w:t>
      </w:r>
      <w:r>
        <w:rPr>
          <w:rFonts w:ascii="Times New Roman" w:hAnsi="Times New Roman"/>
          <w:b/>
          <w:sz w:val="20"/>
          <w:u w:val="single"/>
        </w:rPr>
        <w:t>Early Termination Schedule</w:t>
      </w:r>
      <w:r>
        <w:rPr>
          <w:rFonts w:ascii="Times New Roman" w:hAnsi="Times New Roman"/>
          <w:sz w:val="20"/>
        </w:rPr>
        <w:t>”) specifying PubCo’s intention to exercise such right under either clause (i) or (ii) thereof and showing in reasonable detail the calculation of the Early Termination Payment(s) due for each relevant TRA Party. Each Early Termination Schedule shall become final and binding on all parties thirty (30) calendar days from the first date on which the TRA Party Representative is treated as having received such Schedule or amendment thereto under Section 7.1 unless the TRA Party Representative (i) within thirty (30) calendar days after such date provides PubCo with notice of a material objection to such Schedule made in good faith (“</w:t>
      </w:r>
      <w:r>
        <w:rPr>
          <w:rFonts w:ascii="Times New Roman" w:hAnsi="Times New Roman"/>
          <w:b/>
          <w:sz w:val="20"/>
          <w:u w:val="single"/>
        </w:rPr>
        <w:t>Material Ob</w:t>
      </w:r>
      <w:r>
        <w:rPr>
          <w:rFonts w:ascii="Times New Roman" w:hAnsi="Times New Roman"/>
          <w:b/>
          <w:sz w:val="20"/>
        </w:rPr>
        <w:t>j</w:t>
      </w:r>
      <w:r>
        <w:rPr>
          <w:rFonts w:ascii="Times New Roman" w:hAnsi="Times New Roman"/>
          <w:b/>
          <w:sz w:val="20"/>
          <w:u w:val="single"/>
        </w:rPr>
        <w:t>ection Notice</w:t>
      </w:r>
      <w:r>
        <w:rPr>
          <w:rFonts w:ascii="Times New Roman" w:hAnsi="Times New Roman"/>
          <w:sz w:val="20"/>
        </w:rPr>
        <w:t xml:space="preserve">”) or (ii) provides a written waiver of such right of a Material Objection Notice within the period described in clause (i) above, in which case such Schedule becomes binding on the date the waiver is received by PubCo. If PubCo and the TRA Party Representative, for any reason, are unable to successfully resolve the issues raised in such notice within thirty (30) calendar days after receipt by PubCo of the Material Objection Notice, PubCo and the TRA Party Representative shall employ the Reconciliation Procedures in which case such Schedule becomes binding ten (10) calendar days after the conclusion of the Reconciliation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Payment upon Early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five (5) Business Days after an Early Termination Effective Date, PubCo shall pay to each relevant TRA Party an amount equal to the Early Termination Payment in respect of such TRA Party. Such payment shall be made by wire transfer of immediately available funds to a bank account or accounts designated by such TRA Party or as otherwise agreed by PubCo and such TRA Party or, in the absence of such designation or agreement, by check mailed to the last mailing address provided by such TRA Party to PubCo.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Early Termination Payment</w:t>
      </w:r>
      <w:r>
        <w:rPr>
          <w:rFonts w:ascii="Times New Roman" w:hAnsi="Times New Roman"/>
          <w:sz w:val="20"/>
        </w:rPr>
        <w:t xml:space="preserve">” in respect of a TRA Party shall equal the present value, discounted at the Early Termination Rate as of the applicable Early Termination Effective Date, of all Tax Benefit Payments in respect of such TRA Party that would be required to be paid by PubCo beginning from the Early Termination Date and assuming that the Valuation Assumptions in respect of such TRA Party are applied and that each Tax Benefit Payment for the relevant Taxable Year would be due and payable on the due date (without extensions) under applicable law as of the Early Termination Effective Date for filing of IRS Form 1120 (or any successor form) of PubCo. For the avoidance of doubt, an entire Early Termination Payment shall be made to each applicable TRA Party regardless of whether such TRA Party has exchanged all of its Units as of the Early Termination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SUBORDINATION AND LATE PAYMENTS </w:t>
      </w:r>
    </w:p>
    <w:p>
      <w:pPr>
        <w:pStyle w:val="TextBody"/>
        <w:bidi w:val="0"/>
        <w:spacing w:before="240" w:after="0"/>
        <w:jc w:val="left"/>
        <w:rPr>
          <w:rFonts w:ascii="Times New Roman" w:hAnsi="Times New Roman"/>
          <w:sz w:val="20"/>
        </w:rPr>
      </w:pPr>
      <w:r>
        <w:rPr>
          <w:rFonts w:ascii="Times New Roman" w:hAnsi="Times New Roman"/>
          <w:sz w:val="20"/>
        </w:rPr>
        <w:t>SECTION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Subordination</w:t>
      </w:r>
      <w:r>
        <w:rPr>
          <w:rFonts w:ascii="Times New Roman" w:hAnsi="Times New Roman"/>
          <w:sz w:val="20"/>
        </w:rPr>
        <w:t>. Notwithstanding any other provision of this Agreement to the contrary, any Tax Benefit Payment required to be made by PubCo to the TRA Parties under this Agreement shall rank subordinate and junior in right of payment to any principal, interest or other amounts due and payable in respect of any obligations in respect of indebtedness for borrowed money of PubCo and its Subsidiaries (“</w:t>
      </w:r>
      <w:r>
        <w:rPr>
          <w:rFonts w:ascii="Times New Roman" w:hAnsi="Times New Roman"/>
          <w:b/>
          <w:sz w:val="20"/>
          <w:u w:val="single"/>
        </w:rPr>
        <w:t>Senior Obligations</w:t>
      </w:r>
      <w:r>
        <w:rPr>
          <w:rFonts w:ascii="Times New Roman" w:hAnsi="Times New Roman"/>
          <w:sz w:val="20"/>
        </w:rPr>
        <w:t xml:space="preserve">”) and shall rank </w:t>
      </w:r>
      <w:r>
        <w:rPr>
          <w:rFonts w:ascii="Times New Roman" w:hAnsi="Times New Roman"/>
          <w:i/>
          <w:sz w:val="20"/>
        </w:rPr>
        <w:t xml:space="preserve">pari passu </w:t>
      </w:r>
      <w:r>
        <w:rPr>
          <w:rFonts w:ascii="Times New Roman" w:hAnsi="Times New Roman"/>
          <w:sz w:val="20"/>
        </w:rPr>
        <w:t>in right of payment with all current or future unsecured obligations of PubCo that are not Senior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PubCo shall make such payments at the first opportunity that such payments are permitted to be made in accordance with the terms of the Senior Obligations. Notwithstanding any other provision of this Agreement to the contrary, to the extent that PubCo or any of its Affiliates enters into future Tax receivable or other similar agreements (“</w:t>
      </w:r>
      <w:r>
        <w:rPr>
          <w:rFonts w:ascii="Times New Roman" w:hAnsi="Times New Roman"/>
          <w:b/>
          <w:sz w:val="20"/>
          <w:u w:val="single"/>
        </w:rPr>
        <w:t>Future TRAs</w:t>
      </w:r>
      <w:r>
        <w:rPr>
          <w:rFonts w:ascii="Times New Roman" w:hAnsi="Times New Roman"/>
          <w:sz w:val="20"/>
        </w:rPr>
        <w:t xml:space="preserve">”), PubCo shall ensure that the terms of any such Future TRA provide that the Tax Attributes subject to this Agreement are considered senior in priority to any Tax attributes subject to any such Future TRA for purposes of calculating the amount and timing of payments under any such Future TRA.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Late Payments by PubCo</w:t>
      </w:r>
      <w:r>
        <w:rPr>
          <w:rFonts w:ascii="Times New Roman" w:hAnsi="Times New Roman"/>
          <w:sz w:val="20"/>
        </w:rPr>
        <w:t xml:space="preserve">. Subject to the proviso in the next to last sentence of Section 4.1(b), the amount of all or any 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first due and payable to the date of actual payment.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NO DISPUTES; CONSISTENCY; COOPERATION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Participation in PubCo</w:t>
      </w:r>
      <w:r>
        <w:rPr>
          <w:rFonts w:ascii="Times New Roman" w:hAnsi="Times New Roman"/>
          <w:sz w:val="20"/>
          <w:u w:val="single"/>
        </w:rPr>
        <w:t>’</w:t>
      </w:r>
      <w:r>
        <w:rPr>
          <w:rFonts w:ascii="Times New Roman" w:hAnsi="Times New Roman"/>
          <w:b/>
          <w:sz w:val="20"/>
          <w:u w:val="single"/>
        </w:rPr>
        <w:t>s</w:t>
      </w:r>
      <w:r>
        <w:rPr>
          <w:rFonts w:ascii="Times New Roman" w:hAnsi="Times New Roman"/>
          <w:sz w:val="20"/>
          <w:u w:val="single"/>
        </w:rPr>
        <w:t xml:space="preserve"> </w:t>
      </w:r>
      <w:r>
        <w:rPr>
          <w:rFonts w:ascii="Times New Roman" w:hAnsi="Times New Roman"/>
          <w:b/>
          <w:sz w:val="20"/>
          <w:u w:val="single"/>
        </w:rPr>
        <w:t>and OpCo</w:t>
      </w:r>
      <w:r>
        <w:rPr>
          <w:rFonts w:ascii="Times New Roman" w:hAnsi="Times New Roman"/>
          <w:sz w:val="20"/>
          <w:u w:val="single"/>
        </w:rPr>
        <w:t>’</w:t>
      </w:r>
      <w:r>
        <w:rPr>
          <w:rFonts w:ascii="Times New Roman" w:hAnsi="Times New Roman"/>
          <w:b/>
          <w:sz w:val="20"/>
          <w:u w:val="single"/>
        </w:rPr>
        <w:t>s</w:t>
      </w:r>
      <w:r>
        <w:rPr>
          <w:rFonts w:ascii="Times New Roman" w:hAnsi="Times New Roman"/>
          <w:sz w:val="20"/>
          <w:u w:val="single"/>
        </w:rPr>
        <w:t xml:space="preserve"> </w:t>
      </w:r>
      <w:r>
        <w:rPr>
          <w:rFonts w:ascii="Times New Roman" w:hAnsi="Times New Roman"/>
          <w:b/>
          <w:sz w:val="20"/>
          <w:u w:val="single"/>
        </w:rPr>
        <w:t>Tax Matters</w:t>
      </w:r>
      <w:r>
        <w:rPr>
          <w:rFonts w:ascii="Times New Roman" w:hAnsi="Times New Roman"/>
          <w:sz w:val="20"/>
        </w:rPr>
        <w:t>. PubCo shall promptly notify the TRA Party Representative of, and keep the TRA Party Representative reasonably informed with respect to, the portion of any audit, examination, investigation, contest, or other administrative or judicial proceeding (a “</w:t>
      </w:r>
      <w:r>
        <w:rPr>
          <w:rFonts w:ascii="Times New Roman" w:hAnsi="Times New Roman"/>
          <w:b/>
          <w:sz w:val="20"/>
          <w:u w:val="single"/>
        </w:rPr>
        <w:t>Tax Proceeding</w:t>
      </w:r>
      <w:r>
        <w:rPr>
          <w:rFonts w:ascii="Times New Roman" w:hAnsi="Times New Roman"/>
          <w:sz w:val="20"/>
        </w:rPr>
        <w:t xml:space="preserve">”) of any PubCo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Member, OpCo (or any entity with respect to which OpCo is a continuation under Section 708 of the Code) or any of their direct or indirect Subsidiaries by a Taxing Authority the outcome of which is reasonably expected to materially affect any TRA Party’s rights or obligations under this Agreement. The TRA Party Representative shall have the right to be reasonably informed and to monitor at its own expense (but not to control) any portion of any Tax Proceeding of any PubCo Group Member, OpCo (or any entity with respect to which OpCo is a continuation under Section 708 of the Code) or any of their direct or indirect Subsidiaries by a Taxing Authority the outcome of which is reasonably expected to materially affect either the TRA Party Representative’s or any TRA Party’s rights or obligations under this Agreement. PubCo shall (and shall cause the PubCo Group Members and OpCo to) (a) provide to the TRA Party Representative reasonable opportunity to provide information and other input to the PubCo Group Members, OpCo and their advisors concerning the conduct of any such portion of such Tax Proceeding and (b) not settle or fail to contest (or cause or permit OpCo or any representative thereof to settle or fail to contest) any issue in any such portion of such Tax Proceeding without the prior written consent of the TRA Party Representative, which consent shall not be unreasonably withheld, conditioned or delayed;</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PubCo Group Member shall be required to take any action in connection with such Tax Proceeding that is inconsistent with any provision of this Agreement or the OpCo Agreement. If the TRA Party Representative fails to respond to any notice from the PubCo Group Members with respect to the settlement of any such issue within fifteen (15) days of the TRA Party Representative’s receipt of the applicable notice, the TRA Party Representative shall be deemed to have consented to the proposed settlement or other disposition.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Consistency</w:t>
      </w:r>
      <w:r>
        <w:rPr>
          <w:rFonts w:ascii="Times New Roman" w:hAnsi="Times New Roman"/>
          <w:sz w:val="20"/>
        </w:rPr>
        <w:t xml:space="preserve">. PubCo, OpCo and the TRA Parties agree to report and cause to be reported for all purposes, including U.S. federal, state and local Tax purposes and financial reporting purposes, all Tax-related items (including, without limitation, the Basis Adjustments and each Tax Benefit Payment) in a manner consistent with that contemplated by this Agreement or specified by PubCo in any Schedule required to be provided by or on behalf of PubCo under this Agreement unless otherwise required by law. PubCo shall (and shall cause its Subsidiaries, including OpCo, to) use commercially reasonable efforts (for the avoidance of doubt, taking into account the interests and entitlements of all TRA Parties under this Agreement) to defend the Tax treatment contemplated by this Agreement and any Schedule in any Tax Proceeding with any Taxing Authority.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Cooperation</w:t>
      </w:r>
      <w:r>
        <w:rPr>
          <w:rFonts w:ascii="Times New Roman" w:hAnsi="Times New Roman"/>
          <w:sz w:val="20"/>
        </w:rPr>
        <w:t xml:space="preserve">. Each of the TRA Parties shall (a) use its commercially reasonable efforts to furnish to PubCo in a timely manner such information, documents and other materials as PubCo may reasonably request for purposes of making any determination or computation necessary or appropriate under this Agreement, preparing any Tax Return or contesting or defending any audit, examination or controversy with any Taxing Authority, (b) make itself available to PubCo and its representatives to provide explanations of documents and materials and such other information as PubCo or its representatives may reasonably request in connection with any of the matters described in clause (a) above, and (c) reasonably cooperate in connection with any such matter, and PubCo shall reimburse each such TRA Party for any reasonable and documented out-of-pocket costs and expenses incurred pursuant to this Section 6.3. Upon the request of any TRA Party, PubCo shall cooperate in taking any action reasonably requested by such TRA Party in connection with its Tax or financial reporting and/or the consummation of any assignment or transfer of any of its rights and/or obligations under this Agreement, including, without limitation, providing any information or executing any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All notices, requests, claims, demands and other communications hereunder shall be in writing and shall be deemed duly given and received (a) on the date of delivery if delivered personally, (b) when sent by email (provided no “bounceback” or notice of non-delivery), (c) on the first Business Day following the date of dispatch if delivered by a recognized next-day courier service or (d) three calendar days after mailing by certified or registered mail, postage prepaid and return receipt requested. All notices hereunder shall be delivered as set forth below, or pursuant to such other instructions as may be designated in writing by the party to receive such notice: </w:t>
      </w:r>
    </w:p>
    <w:p>
      <w:pPr>
        <w:pStyle w:val="TextBody"/>
        <w:bidi w:val="0"/>
        <w:spacing w:before="120" w:after="0"/>
        <w:jc w:val="left"/>
        <w:rPr>
          <w:rFonts w:ascii="Times New Roman" w:hAnsi="Times New Roman"/>
          <w:sz w:val="20"/>
        </w:rPr>
      </w:pPr>
      <w:r>
        <w:rPr>
          <w:rFonts w:ascii="Times New Roman" w:hAnsi="Times New Roman"/>
          <w:sz w:val="20"/>
        </w:rPr>
        <w:t xml:space="preserve">If to PubCo or the PubCo Group Members, to: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w:t>
      </w:r>
    </w:p>
    <w:p>
      <w:pPr>
        <w:pStyle w:val="TextBody"/>
        <w:bidi w:val="0"/>
        <w:spacing w:before="0" w:after="0"/>
        <w:jc w:val="left"/>
        <w:rPr>
          <w:rFonts w:ascii="Times New Roman" w:hAnsi="Times New Roman"/>
          <w:sz w:val="20"/>
        </w:rPr>
      </w:pPr>
      <w:r>
        <w:rPr>
          <w:rFonts w:ascii="Times New Roman" w:hAnsi="Times New Roman"/>
          <w:sz w:val="20"/>
        </w:rPr>
        <w:t xml:space="preserve">Attn: Adam Forman,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with a copy (which copy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Attn: Michael Lubowitz; Ryan Taylor and Alexander D. Lynch </w:t>
      </w:r>
    </w:p>
    <w:p>
      <w:pPr>
        <w:pStyle w:val="TextBody"/>
        <w:bidi w:val="0"/>
        <w:spacing w:before="240" w:after="0"/>
        <w:jc w:val="left"/>
        <w:rPr>
          <w:rFonts w:ascii="Times New Roman" w:hAnsi="Times New Roman"/>
          <w:sz w:val="20"/>
        </w:rPr>
      </w:pPr>
      <w:r>
        <w:rPr>
          <w:rFonts w:ascii="Times New Roman" w:hAnsi="Times New Roman"/>
          <w:sz w:val="20"/>
        </w:rPr>
        <w:t xml:space="preserve">If to the TRA Party Representative, to: </w:t>
      </w:r>
    </w:p>
    <w:p>
      <w:pPr>
        <w:pStyle w:val="TextBody"/>
        <w:bidi w:val="0"/>
        <w:spacing w:before="120" w:after="0"/>
        <w:jc w:val="left"/>
        <w:rPr>
          <w:rFonts w:ascii="Times New Roman" w:hAnsi="Times New Roman"/>
          <w:sz w:val="20"/>
        </w:rPr>
      </w:pPr>
      <w:r>
        <w:rPr>
          <w:rFonts w:ascii="Times New Roman" w:hAnsi="Times New Roman"/>
          <w:sz w:val="20"/>
        </w:rPr>
        <w:t xml:space="preserve">ASP Manager Corp. </w:t>
      </w:r>
    </w:p>
    <w:p>
      <w:pPr>
        <w:pStyle w:val="TextBody"/>
        <w:bidi w:val="0"/>
        <w:spacing w:before="0" w:after="0"/>
        <w:jc w:val="left"/>
        <w:rPr>
          <w:rFonts w:ascii="Times New Roman" w:hAnsi="Times New Roman"/>
          <w:sz w:val="20"/>
        </w:rPr>
      </w:pPr>
      <w:r>
        <w:rPr>
          <w:rFonts w:ascii="Times New Roman" w:hAnsi="Times New Roman"/>
          <w:sz w:val="20"/>
        </w:rPr>
        <w:t xml:space="preserve">c/o American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Attention: Kevin Penn; Michael Sand; Eric Schondorf </w:t>
      </w:r>
    </w:p>
    <w:p>
      <w:pPr>
        <w:pStyle w:val="TextBody"/>
        <w:bidi w:val="0"/>
        <w:spacing w:before="240" w:after="0"/>
        <w:jc w:val="left"/>
        <w:rPr>
          <w:rFonts w:ascii="Times New Roman" w:hAnsi="Times New Roman"/>
          <w:sz w:val="20"/>
        </w:rPr>
      </w:pPr>
      <w:r>
        <w:rPr>
          <w:rFonts w:ascii="Times New Roman" w:hAnsi="Times New Roman"/>
          <w:sz w:val="20"/>
        </w:rPr>
        <w:t xml:space="preserve">If to the TRA Parties, to the respective addresses and email addresses set forth in the records of OpCo (or the signature pages hereto if not a member of OpCo). </w:t>
      </w:r>
    </w:p>
    <w:p>
      <w:pPr>
        <w:pStyle w:val="TextBody"/>
        <w:bidi w:val="0"/>
        <w:spacing w:before="240" w:after="0"/>
        <w:jc w:val="left"/>
        <w:rPr>
          <w:rFonts w:ascii="Times New Roman" w:hAnsi="Times New Roman"/>
          <w:sz w:val="20"/>
        </w:rPr>
      </w:pPr>
      <w:r>
        <w:rPr>
          <w:rFonts w:ascii="Times New Roman" w:hAnsi="Times New Roman"/>
          <w:sz w:val="20"/>
        </w:rPr>
        <w:t xml:space="preserve">Any party may change its address or email by giving the other party written notice of its new address or email in the manner set forth above.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may be executed in one or more counterparts (including counterparts transmitted electronically in portable document format (pdf)),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 Electronic signatures shall be a valid method of executing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Entire Agreement; No Third Party Beneficiaries</w:t>
      </w:r>
      <w:r>
        <w:rPr>
          <w:rFonts w:ascii="Times New Roman" w:hAnsi="Times New Roman"/>
          <w:sz w:val="20"/>
        </w:rPr>
        <w:t xml:space="preserve">.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shall be governed by, and construed in accordance with, the law of the State of Delaware, without giving effect to any principles or rules of conflict of law or choice of law (whether of the State of Delaware or any other jurisdiction) that would cause the application of substantive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Successors; Assignment; Amendments;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TRA Party may assign, sell, pledge, or otherwise alienate or transfer any of its interests in this Agreement, including the right to receive Tax Benefit Payments under this Agreement, to any Person, except with the prior written consent of PubCo;</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consent shall not be required: (i) in the case of a transfer by any TRA Party of such transferor’s interests in this Agreement and rights to receive Tax Benefit Payments hereunder with respect to (x) any Units that have previously been Exchanged or (y) any Acquired Units or any Tax Attributes that are Attributable to a Reorganization TRA Party, or (ii) if such assignment occurs in connection with or subsequent to an assignment to the same Person of Units in accordance with the OpCo Agreement and assigns only the rights under this Agreement related to the assigned Units. If a TRA Party transfers Units in accordance with the terms of the OpCo Agreement but does not assign to the transferee of such Units its rights and obligations under this Agreement with respect to such transferred Units, (i) such TRA Party shall remain a TRA Party under this Agreement for all purposes, including with respect to the receipt of Tax Benefit Payments to the extent payable hereunder (including any Tax Benefit Payments in respect of the Exchanges of such transferred Units by such transferee), and (ii) the transferee of such Units shall not be a TRA Party with respect to such Units. In connection with any assignment or transfer permitted under this Agreement, the transferee shall execute and deliver a joinder to this Agreement, substantially in form of </w:t>
      </w:r>
      <w:r>
        <w:rPr>
          <w:rFonts w:ascii="Times New Roman" w:hAnsi="Times New Roman"/>
          <w:sz w:val="20"/>
          <w:u w:val="single"/>
        </w:rPr>
        <w:t>Exhibit A</w:t>
      </w:r>
      <w:r>
        <w:rPr>
          <w:rFonts w:ascii="Times New Roman" w:hAnsi="Times New Roman"/>
          <w:sz w:val="20"/>
        </w:rPr>
        <w:t xml:space="preserve"> hereto, agreeing to become a TRA Party for all purposes of this Agreement, except as otherwise provided in such joinder. PubCo shall not assign or otherwise transfer any of its rights or obligations under this Agreement to any Person (other than pursuant to a Mandatory Assignment) without the prior written consent of the TRA Party Representative (not to be unreasonably withheld, conditioned or delayed). Any purported assignment or other transfer of this Agreement or any interest therein in violation of the foregoing in this </w:t>
      </w:r>
      <w:r>
        <w:rPr>
          <w:rFonts w:ascii="Times New Roman" w:hAnsi="Times New Roman"/>
          <w:sz w:val="20"/>
          <w:u w:val="single"/>
        </w:rPr>
        <w:t>Section 7.6(a</w:t>
      </w:r>
      <w:r>
        <w:rPr>
          <w:rFonts w:ascii="Times New Roman" w:hAnsi="Times New Roman"/>
          <w:sz w:val="20"/>
        </w:rPr>
        <w:t xml:space="preserve">)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 provision of this Agreement may be amended unless such amendment is approved in writing by each of PubCo (following approval of its Board) and by the TRA Parties who would be entitled to receive at least two-thirds (2/3) of the total amount of the Early Termination Payments payable to all TRA Parties hereunder if PubCo had exercised its right of early termination on the date of the most recent Exchange prior to such amendment (excluding, for purposes of this sentence, all payments made to any TRA Party pursuant to this Agreement since the date of such most recent Exchange);</w:t>
      </w:r>
      <w:r>
        <w:rPr>
          <w:rFonts w:ascii="Times New Roman" w:hAnsi="Times New Roman"/>
          <w:sz w:val="20"/>
          <w:u w:val="single"/>
        </w:rPr>
        <w:t xml:space="preserve"> provided</w:t>
      </w:r>
      <w:r>
        <w:rPr>
          <w:rFonts w:ascii="Times New Roman" w:hAnsi="Times New Roman"/>
          <w:sz w:val="20"/>
        </w:rPr>
        <w:t xml:space="preserve">, that no such amendment shall be effective if such amendment would have a material and disproportionate effect on the payments one or more TRA Parties would be entitled to receive under this Agreement unless such amendment is consented to in writing by such TRA Parties disproportionately affected who would be entitled to receive at least a majority of the total amount of the Early Termination Payments payable to all TRA Parties disproportionately affected hereunder if PubCo had exercised its right of early termination on the date of the most recent Exchange prior to such amendment (excluding, for purposes of this sentence, all payments made to any TRA Party pursuant to this Agreement since the date of such most recent Exchange). No provision of this Agreement may be waived unless such waiver is in writing and signed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(c) All of the terms and provisions of this Agreement shall be binding upon, shall inure to the benefit of and shall be enforceable by the parties hereto and their respective successors, permitted assigns, heirs, executors, administrators and legal representatives. PubCo shall, by written agreement, require and cause any direct or indirect successor (whether by purchase, merger, consolidation or otherwise) to all or substantially all of the business or assets of PubCo expressly to assume and agree to perform this Agreement in the same manner and to the same extent that PubCo would be required to perform if no such succession had taken place (a “</w:t>
      </w:r>
      <w:r>
        <w:rPr>
          <w:rFonts w:ascii="Times New Roman" w:hAnsi="Times New Roman"/>
          <w:b/>
          <w:sz w:val="20"/>
          <w:u w:val="single"/>
        </w:rPr>
        <w:t>Mandatory 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Titles and Subtitles</w:t>
      </w:r>
      <w:r>
        <w:rPr>
          <w:rFonts w:ascii="Times New Roman" w:hAnsi="Times New Roman"/>
          <w:sz w:val="20"/>
        </w:rPr>
        <w:t xml:space="preserve">. The titles of the sections and subsections of this Agreement are for convenience of reference only and are not to be considered in construing this Agreement. </w:t>
      </w:r>
    </w:p>
    <w:p>
      <w:pPr>
        <w:pStyle w:val="TextBody"/>
        <w:bidi w:val="0"/>
        <w:spacing w:before="240" w:after="0"/>
        <w:jc w:val="left"/>
        <w:rPr>
          <w:rFonts w:ascii="Times New Roman" w:hAnsi="Times New Roman"/>
          <w:sz w:val="20"/>
        </w:rPr>
      </w:pPr>
      <w:r>
        <w:rPr>
          <w:rFonts w:ascii="Times New Roman" w:hAnsi="Times New Roman"/>
          <w:sz w:val="20"/>
        </w:rPr>
        <w:t>SECTION </w:t>
      </w: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Jurisdiction; Waiver of Jury Trial</w:t>
      </w:r>
      <w:r>
        <w:rPr>
          <w:rFonts w:ascii="Times New Roman" w:hAnsi="Times New Roman"/>
          <w:sz w:val="20"/>
        </w:rPr>
        <w:t xml:space="preserve">. Any action based upon, arising out of or related to this Agreement or the transactions contemplated hereby may be brought in federal and state courts located in the State of Delaware, and each of the Parties irrevocably submits to the exclusive jurisdiction of each such court (and of the appropriate appellate courts)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hAnsi="Times New Roman"/>
          <w:sz w:val="20"/>
          <w:u w:val="single"/>
        </w:rPr>
        <w:t>Section 7.8</w:t>
      </w:r>
      <w:r>
        <w:rPr>
          <w:rFonts w:ascii="Times New Roman" w:hAnsi="Times New Roman"/>
          <w:sz w:val="20"/>
        </w:rPr>
        <w:t xml:space="preserve">. EACH OF THE PARTIES HEREBY IRREVOCABLY WAIVES ANY AND ALL RIGHT TO TRIAL BY JURY IN ANY ACTION BASED UPON, ARISING OUT OF OR RELATED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w:t>
      </w: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Reconciliation</w:t>
      </w:r>
      <w:r>
        <w:rPr>
          <w:rFonts w:ascii="Times New Roman" w:hAnsi="Times New Roman"/>
          <w:sz w:val="20"/>
        </w:rPr>
        <w:t>. In the event that PubCo and the TRA Party Representative are unable to resolve a disagreement with respect to the calculations required to produce the schedules described in Sections 2.2, 2.3, and 4.2 (but not, for the avoidance of doubt, with respect to any legal interpretation with respect to such provisions) within the relevant period designated in this Agreement (“</w:t>
      </w:r>
      <w:r>
        <w:rPr>
          <w:rFonts w:ascii="Times New Roman" w:hAnsi="Times New Roman"/>
          <w:b/>
          <w:sz w:val="20"/>
          <w:u w:val="single"/>
        </w:rPr>
        <w:t>Reconciliation Dispute</w:t>
      </w:r>
      <w:r>
        <w:rPr>
          <w:rFonts w:ascii="Times New Roman" w:hAnsi="Times New Roman"/>
          <w:sz w:val="20"/>
        </w:rPr>
        <w:t>”), the Reconciliation Dispute shall be submitted for determination to a nationally recognized expert in the particular area of disagreement, acting as an expert and not as an arbitrator (the “</w:t>
      </w:r>
      <w:r>
        <w:rPr>
          <w:rFonts w:ascii="Times New Roman" w:hAnsi="Times New Roman"/>
          <w:b/>
          <w:sz w:val="20"/>
          <w:u w:val="single"/>
        </w:rPr>
        <w:t>Expert</w:t>
      </w:r>
      <w:r>
        <w:rPr>
          <w:rFonts w:ascii="Times New Roman" w:hAnsi="Times New Roman"/>
          <w:sz w:val="20"/>
        </w:rPr>
        <w:t>”), mutually acceptable to PubCo and the TRA Party Representative. The Expert shall be a nationally recognized accounting or law firm, and unless PubCo and the TRA Party Representative agree otherwise, the Expert shall not have any material relationship with PubCo or the TRA Party Representative or other actual or potential conflict of interest. If PubCo and the TRA Party Representative are unable to agree on an Expert within fifteen (15) calendar days of receipt by the respondent(s) of written notice of a Reconciliation Dispute, then the Expert shall be appointed by the International Chamber of Commerce Centre for Expertise (the “</w:t>
      </w:r>
      <w:r>
        <w:rPr>
          <w:rFonts w:ascii="Times New Roman" w:hAnsi="Times New Roman"/>
          <w:b/>
          <w:sz w:val="20"/>
          <w:u w:val="single"/>
        </w:rPr>
        <w:t>ICC</w:t>
      </w:r>
      <w:r>
        <w:rPr>
          <w:rFonts w:ascii="Times New Roman" w:hAnsi="Times New Roman"/>
          <w:sz w:val="20"/>
        </w:rPr>
        <w:t xml:space="preserve">”) in accordance with the criteria set forth above in this </w:t>
      </w:r>
      <w:r>
        <w:rPr>
          <w:rFonts w:ascii="Times New Roman" w:hAnsi="Times New Roman"/>
          <w:sz w:val="20"/>
          <w:u w:val="single"/>
        </w:rPr>
        <w:t>Section 7.9</w:t>
      </w:r>
      <w:r>
        <w:rPr>
          <w:rFonts w:ascii="Times New Roman" w:hAnsi="Times New Roman"/>
          <w:sz w:val="20"/>
        </w:rPr>
        <w:t xml:space="preserve">. The Expert shall resolve any matter relating to any TRA Party’s Attribute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PubCo, subject to adjustment or amendment upon resolution. The costs and expenses relating to the engagement (and, if applicable, the selection by the ICC) of such Expert or amending any Tax Return shall be borne by PubCo except as provided in the next sentence. PubCo and the TRA Party Representative shall bear their own costs and expenses of such proceeding, unless (i) the Expert adopts the TRA Party Representative’s position, in which case PubCo shall reimburse the TRA Party Representative for any reasonable out-of-pocket costs and expenses in such proceeding, or (ii) the Expert adopts PubCo’s position, in which case the TRA Party Representative shall reimburse PubCo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PubCo, the TRA Party Representative and each of the TRA Parties and may be entered and enforced in any court having jurisdiction. </w:t>
      </w:r>
    </w:p>
    <w:p>
      <w:pPr>
        <w:pStyle w:val="TextBody"/>
        <w:bidi w:val="0"/>
        <w:spacing w:before="240" w:after="0"/>
        <w:jc w:val="left"/>
        <w:rPr>
          <w:rFonts w:ascii="Times New Roman" w:hAnsi="Times New Roman"/>
          <w:sz w:val="20"/>
        </w:rPr>
      </w:pPr>
      <w:r>
        <w:rPr>
          <w:rFonts w:ascii="Times New Roman" w:hAnsi="Times New Roman"/>
          <w:sz w:val="20"/>
        </w:rPr>
        <w:t>SECTION </w:t>
      </w:r>
      <w:r>
        <w:rPr>
          <w:rFonts w:ascii="Times New Roman" w:hAnsi="Times New Roman"/>
          <w:b/>
          <w:sz w:val="20"/>
        </w:rPr>
        <w:t>7.10</w:t>
      </w:r>
      <w:r>
        <w:rPr>
          <w:rFonts w:ascii="Times New Roman" w:hAnsi="Times New Roman"/>
          <w:sz w:val="20"/>
        </w:rPr>
        <w:t xml:space="preserve"> </w:t>
      </w:r>
      <w:r>
        <w:rPr>
          <w:rFonts w:ascii="Times New Roman" w:hAnsi="Times New Roman"/>
          <w:b/>
          <w:sz w:val="20"/>
          <w:u w:val="single"/>
        </w:rPr>
        <w:t>Withholding</w:t>
      </w:r>
      <w:r>
        <w:rPr>
          <w:rFonts w:ascii="Times New Roman" w:hAnsi="Times New Roman"/>
          <w:sz w:val="20"/>
        </w:rPr>
        <w:t xml:space="preserve">. PubCo shall be entitled to deduct and withhold from any payment payable pursuant to this Agreement such amounts as PubCo is required to deduct and withhold with respect to the making of such payment under the Code or any provision of state, local or foreign Tax law; </w:t>
      </w:r>
      <w:r>
        <w:rPr>
          <w:rFonts w:ascii="Times New Roman" w:hAnsi="Times New Roman"/>
          <w:sz w:val="20"/>
          <w:u w:val="single"/>
        </w:rPr>
        <w:t>provided</w:t>
      </w:r>
      <w:r>
        <w:rPr>
          <w:rFonts w:ascii="Times New Roman" w:hAnsi="Times New Roman"/>
          <w:sz w:val="20"/>
        </w:rPr>
        <w:t xml:space="preserve">, that PubCo shall have first notified the TRA Party Representative of its intent to deduct or withhold, and PubCo and the TRA Party Representative shall have discussed in good faith whether such Taxes can be mitigated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permitted under applicable law. To the extent that amounts are so withheld and paid over to the appropriate Taxing Authority by PubCo, such withheld amounts shall be treated for all purposes of this Agreement as having been paid to the Person in respect of whom such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 Each TRA Party shall promptly provide PubCo, OpCo or any other applicable withholding agent with any applicable Tax forms and certifications (including IRS Form W-9 or the applicable version of IRS Form W-8) reasonably requested, in connection with determining whether any such deductions and withholdings are required under the Code or any provision of U.S. state, local or foreign Tax law.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7.11 </w:t>
      </w:r>
      <w:r>
        <w:rPr>
          <w:rFonts w:ascii="Times New Roman" w:hAnsi="Times New Roman"/>
          <w:b/>
          <w:sz w:val="20"/>
          <w:u w:val="single"/>
        </w:rPr>
        <w:t>Admission of PubCo into a Consolidated Group; Transfers of Corporate Assets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PubCo is or becomes a member of an affiliated, consolidated, combined or unitary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 PubCo agrees that, except as otherwise required by applicable law or agreed in writing by the TRA Party Representative, PubCo, the Blockers, and GP NewCo shall file a consolidated income Tax Return pursuant to Sections 1501 et seq. of the Code. </w:t>
      </w:r>
    </w:p>
    <w:p>
      <w:pPr>
        <w:pStyle w:val="TextBody"/>
        <w:bidi w:val="0"/>
        <w:spacing w:before="240" w:after="0"/>
        <w:jc w:val="left"/>
        <w:rPr>
          <w:rFonts w:ascii="Times New Roman" w:hAnsi="Times New Roman"/>
          <w:sz w:val="20"/>
        </w:rPr>
      </w:pPr>
      <w:r>
        <w:rPr>
          <w:rFonts w:ascii="Times New Roman" w:hAnsi="Times New Roman"/>
          <w:sz w:val="20"/>
        </w:rPr>
        <w:t>(b) If any PubCo Group Member (or, without duplication, any member of a group described in Section 7.11(a) or entity that is controlled by any such member) or Opco (or any entity in which it directly or indirectly owns an interest) transfers (or is treated as transferring for U.S. federal income Tax purposes) any Reference Asset to a transferee that is treated as a corporation for U.S. federal income Tax purposes (other than a member of a U.S. federal consolidated group described in Section 7.11(a)), such entity shall be treated as having disposed of such Reference Asset in a fully taxable transaction on the date of such transfer. The consideration deemed to be received by such entity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If any PubCo Group Member (or, without duplication, any member of a group described in Section 7.11(a) or entity that is controlled by any such member) transfers (or is treated as transferring for U.S. federal income Tax purposes) any Unit (other than to a member of a U.S. federal consolidated group described in Section 7.11(a)), then OpCo shall be treated as having disposed of the portion of any Reference Asset that is indirectly transferred by such PubCo Group Member (or other applicable Person) (</w:t>
      </w:r>
      <w:r>
        <w:rPr>
          <w:rFonts w:ascii="Times New Roman" w:hAnsi="Times New Roman"/>
          <w:i/>
          <w:sz w:val="20"/>
        </w:rPr>
        <w:t>i.e.</w:t>
      </w:r>
      <w:r>
        <w:rPr>
          <w:rFonts w:ascii="Times New Roman" w:hAnsi="Times New Roman"/>
          <w:sz w:val="20"/>
        </w:rPr>
        <w:t xml:space="preserve">, taking into account the Units transferred) in a fully taxable transaction in which all income, gain or loss is allocated to the PubCo Group Member (or the other applicable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any member of a group described in Section 7.11(a) (including any PubCo Group Member) that owns any Unit or Reference Asset (or is treated as owning any Unit or Reference Asset for U.S. federal income Tax purposes) deconsolidates from the group (or PubCo deconsolidates from the group), then PubCo shall cause such member (or the parent of the group in a case where PubCo deconsolidates from the group) to assume the primary obligation to make payments hereunder with respect to the applicable Tax Attributes associated with any Reference Asset that such member or such parent directly or indirectly owns and any other Tax Attributes that such member or such parent is entitled to utilize, in each case, in a manner consistent with the terms of this Agreement as the member or parent (or, in each case, one of its Affiliates) actually realizes Tax benefits. In the event of any assumption described in the foregoing sentence, PubCo shall remain secondarily liable to make payments hereunder in respect of such Tax Attributes and shall remain responsible for all obligations hereunder with respect to any Tax Attributes that PubCo (or any member of a group described in Section 7.11(a) or entity that is controlled by any such member) remains entitled to utilize (including with respect to any Reference Assets directly or indirectly retained by PubCo). For the avoidance of doubt, the intent of this Section 7.11(c) is to cause the Person that is entitled to utilize any applicable Tax Attributes to be obligated to make payments under this Agreement with respect to the benefits from such Tax Attributes.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w:t>
      </w:r>
      <w:r>
        <w:rPr>
          <w:rFonts w:ascii="Times New Roman" w:hAnsi="Times New Roman"/>
          <w:b/>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TRA Party and the TRA Party Representative, and each of their assignees, acknowledge and agree that the Confidential Information (as defined herein) is confidential and such Person shall keep and retain in the strictest confidence and not disclose, use, divulge, publish or otherwise reveal, directly or indirectly through another Person, to any Person, any non-public information acquired pursuant to this Agreement, of PubCo and its Affiliates and successors, concerning OpCo and its Affiliates and successors or the members of OpCo (such information, “</w:t>
      </w:r>
      <w:r>
        <w:rPr>
          <w:rFonts w:ascii="Times New Roman" w:hAnsi="Times New Roman"/>
          <w:b/>
          <w:sz w:val="20"/>
        </w:rPr>
        <w:t>Confidential Information</w:t>
      </w:r>
      <w:r>
        <w:rPr>
          <w:rFonts w:ascii="Times New Roman" w:hAnsi="Times New Roman"/>
          <w:sz w:val="20"/>
        </w:rPr>
        <w:t xml:space="preserve">”). Confidential Information does not include information that: (i) is rightfully in the possession of the TRA Party or the TRA Party Representative at the time of disclosure by or on behalf of PubCo, (ii) has been made publicly available by PubCo or any of its Affiliates, becomes public knowledge (except as a result of an act of the TRA Party or the TRA Party Representative in violation of this Agreement) or is generally known to the business community, (iii) is disclosed to the TRA Party or TRA Party Representative or their respective representatives by a third party not, to the knowledge of such TRA Party or the TRA Party Representative, in violation of any obligation of confidentiality owed to PubCo or its Affiliates with respect to such information or (iv) is independently developed by such TRA Party or the TRA Party Representative or their respective representatives without use of or reference to the Confidential Information. Each TRA Party and the TRA Party Representative may disclose Confidential Information (A) to the extent necessary for the TRA Party or its direct or indirect owners to prepare and file its Tax Returns, to respond to any inquiries regarding the same from any Taxing Authority or to prosecute or defend any action, proceeding or audit by any Taxing Authority with respect to such returns, (B) to its Affiliates and its and their respective employees, directors, counsel and advisors on a confidential basis; provided that, such TRA Party or the TRA Party Representative will remain liable with respect to any breach of this Section 7.12 by any of its respective Affiliates and its and their respective employees, directors, counsel and advisors, (C) as may be required in the course of performing a TRA Party’s or the TRA Party Representative’s obligations, or monitoring or enforcing such party’s rights, under this Agreement or in performing duties as necessary for PubCo or its Affiliates, (D) as part of a TRA Party’s or the TRA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Representative’s normal reporting, rating or review procedure (including normal credit rating and pricing process), or in connection with a TRA Party’s or the TRA Party Representative’s or their respective Affiliates’ normal fund raising, financing, marketing, informational or reporting activities, or to a TRA Party’s or the TRA Party Representative’s (or any of their respective Affiliates’) or their respective direct or indirect owners’ or Affiliates’, auditors, accountants, employees, attorneys or other agents, (E) to any bona fide prospective assignee of a TRA Party’s rights under this Agreement, or prospective merger or other business combination partner of a TRA Party, provided that (i) such assignee or merger partner will be informed by such TRA Party of the confidential nature of such information and shall agree in writing to be bound by the provisions of this Section 7.12 and (ii) each such TRA Party will remain liable for breaches of this Section 7.12 by any such Person (as if such Persons were party to this Agreement for purposes of Section 7.12), (F) as is required to be disclosed by order of a court of competent jurisdiction, administrative body or governmental body, or by subpoena, summons or legal process, or by law, rule or regulation; provided, that such TRA Party or the TRA Party Representative (I) shall give PubCo notice thereof as promptly as practicable (to the extent legally permitted), (II) shall use commercially reasonable efforts to assist PubCo in resisting or otherwise responding to such legal process at PubCo’s sole cost and expense and (III) shall limit such disclosures of Confidential Information to those actually required by such a lawful and valid legal process (and the applicable TRA Party or the TRA Party Representative, as the case may be, shall be entitled to rely on the advice of its counsel for determining what is actually required), (G) to the extent reasonably required in connection with any litigation against or involving PubCo and such TRA Party or the TRA Party Representative or (H) pursuant to the last sentence of Section 6.3. Notwithstanding anything to the contrary herein, the TRA Party Representative, each TRA Party and each of its assignees (and each employee, representative or other agent of the TRA Party Representative, the TRA Party or its assignees, as applicable) may disclose to any and all Persons, without limitation of any kind, the Tax treatment and Tax structure of any PubCo Group Member, OpCo and their Affiliates, and any of their transactions, and all materials of any kind (including opinions or other Tax analyses) that are provided to the TRA Party Representative or the TRA Party relating to such Tax treatment and Tax structure. </w:t>
      </w:r>
    </w:p>
    <w:p>
      <w:pPr>
        <w:pStyle w:val="TextBody"/>
        <w:bidi w:val="0"/>
        <w:spacing w:before="240" w:after="0"/>
        <w:jc w:val="left"/>
        <w:rPr>
          <w:rFonts w:ascii="Times New Roman" w:hAnsi="Times New Roman"/>
          <w:sz w:val="20"/>
        </w:rPr>
      </w:pPr>
      <w:r>
        <w:rPr>
          <w:rFonts w:ascii="Times New Roman" w:hAnsi="Times New Roman"/>
          <w:sz w:val="20"/>
        </w:rPr>
        <w:t xml:space="preserve">(b) If a TRA Party or the TRA Party Representative or an assignee commits a breach, or threatens to commit a breach, of any of the provisions of this Section 7.12, PubCo shall have the right and remedy to have the provisions of this Section 7.12 specifically enforced by injunctive relief or otherwise by any court of competent jurisdiction without the need to secure or post any bond or other security, it being acknowledged and agreed that any such breach or threatened breach shall cause irreparable injury to PubCo or any of its Subsidiaries or the TRA Parties and the accounts and funds managed by PubCo and that money damages alone shall not provide an adequate remedy to such Persons. Such rights and remedies shall be in addition to, and not in lieu of, any other rights and remedies available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w:t>
      </w:r>
      <w:r>
        <w:rPr>
          <w:rFonts w:ascii="Times New Roman" w:hAnsi="Times New Roman"/>
          <w:b/>
          <w:sz w:val="20"/>
          <w:u w:val="single"/>
        </w:rPr>
        <w:t>Change in Law</w:t>
      </w:r>
      <w:r>
        <w:rPr>
          <w:rFonts w:ascii="Times New Roman" w:hAnsi="Times New Roman"/>
          <w:sz w:val="20"/>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(other than by reason of the application of Section 751(a) of the Code to such Exchange) rather than capital gain (or otherwise be taxed at ordinary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rates) for U.S.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and PubCo as it relates to such TRA Party,</w:t>
      </w:r>
      <w:r>
        <w:rPr>
          <w:rFonts w:ascii="Times New Roman" w:hAnsi="Times New Roman"/>
          <w:sz w:val="20"/>
          <w:u w:val="single"/>
        </w:rPr>
        <w:t xml:space="preserve"> provided</w:t>
      </w:r>
      <w:r>
        <w:rPr>
          <w:rFonts w:ascii="Times New Roman" w:hAnsi="Times New Roman"/>
          <w:sz w:val="20"/>
        </w:rPr>
        <w:t xml:space="preserve">, that such amendment shall not result in an increase in payments under this Agreement at any time as compared to the amounts and times of payments that would have been due in the absence of such amendment.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w:t>
      </w:r>
      <w:r>
        <w:rPr>
          <w:rFonts w:ascii="Times New Roman" w:hAnsi="Times New Roman"/>
          <w:b/>
          <w:sz w:val="20"/>
          <w:u w:val="single"/>
        </w:rPr>
        <w:t>TRA Party Representative</w:t>
      </w:r>
      <w:r>
        <w:rPr>
          <w:rFonts w:ascii="Times New Roman" w:hAnsi="Times New Roman"/>
          <w:sz w:val="20"/>
        </w:rPr>
        <w:t xml:space="preserve">. By executing this Agreement, each of the TRA Parties shall be deemed to have irrevocably constituted the TRA Party Representative as his, her or its agent and attorney in fact with full power of substitution to act from and after the date hereof and to do any and all things and execute any and all documents on behalf of such TRA Parties which may be necessary, convenient or appropriate to facilitate any matters under this Agreement, including but not limited to: (a) execution of the documents and certificates required pursuant to this Agreement; (b) except to the extent specifically provided in this Agreement, receipt and forwarding of notices and communications pursuant to this Agreement; (c) administration of the provisions of this Agreement; (d) any and all consents, waivers, amendments or modifications deemed by the TRA Party Representative to be necessary or appropriate under this Agreement and the execution or delivery of any documents that may be necessary or appropriate in connection therewith; (e) amending this Agreement or any of the instruments to be delivered to PubCo pursuant to this Agreement; (f) taking actions the TRA Party Representative is expressly authorized to take pursuant to the other provisions of this Agreement; and (g) negotiating and compromising, on behalf of such TRA Parties, any dispute that may arise under, and exercising or refraining from exercising any remedies available under, this Agreement or any other agreement contemplated hereby and executing, on behalf of such TRA Parties, any settlement agreement, release or other document with respect to such dispute or remedy. In connection therewith, the TRA Party Representative shall be entitled to engage attorneys, accountants, agents or consultants on behalf of such TRA Parties in connection with this Agreement or any other agreement contemplated hereby and pay any fees related thereto on behalf of such TRA Parties. The TRA Party Representative may be replaced at any time by approval of two-thirds of the TRA Parties (which two-thirds shall be determined based on the percentages of the TRA Parties’ IPO Basis Percentage), with such replacement being effective seven (7) days after written notice of such vote is delivered to PubCo; provided that, the aforementioned two-thirds approval threshold shall be reduced to one-half of the TRA Parties (which one-half shall be determined based on the percentage of the TRA Parties’ IPO Basis Percentage) in the event that the TRA Party Representative has resigned, ceased to legally exist, or died. </w:t>
      </w:r>
    </w:p>
    <w:p>
      <w:pPr>
        <w:pStyle w:val="TextBody"/>
        <w:bidi w:val="0"/>
        <w:spacing w:before="240" w:after="0"/>
        <w:jc w:val="left"/>
        <w:rPr>
          <w:rFonts w:ascii="Times New Roman" w:hAnsi="Times New Roman"/>
          <w:sz w:val="20"/>
        </w:rPr>
      </w:pPr>
      <w:r>
        <w:rPr>
          <w:rFonts w:ascii="Times New Roman" w:hAnsi="Times New Roman"/>
          <w:sz w:val="20"/>
        </w:rPr>
        <w:t>All reasonable, documented out-of-pocket costs and expenses incurred by the TRA Party Representative in its capacity as such shall be promptly reimbursed by PubCo upon invoice and reasonable support therefor by the TRA Party Representative to PubCo. To the fullest extent permitted by law, none of the TRA Party Representative, any of its Affiliates, or any of the TRA Party Representative’s or Affiliate’s directors, officers, employees or other agents (each a “</w:t>
      </w:r>
      <w:r>
        <w:rPr>
          <w:rFonts w:ascii="Times New Roman" w:hAnsi="Times New Roman"/>
          <w:b/>
          <w:sz w:val="20"/>
          <w:u w:val="single"/>
        </w:rPr>
        <w:t>Covered Person</w:t>
      </w:r>
      <w:r>
        <w:rPr>
          <w:rFonts w:ascii="Times New Roman" w:hAnsi="Times New Roman"/>
          <w:sz w:val="20"/>
        </w:rPr>
        <w:t xml:space="preserve">”) shall be liable, responsible or accountable in damages or otherwise to any TRA Party, OpCo or any PubCo Group Member for damages arising from any action taken or omitted to be taken by the TRA Party Representative or any other Covered Person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OpCo or any PubCo Group Member in connection with this Agreement, except in the case of any action or omission which constitutes, with respect to such Covered Person, willful misconduct or fraud. Each of the Covered Persons may consult with legal counsel, accountants, and other experts selected by it, and any act or omission suffered or taken by it on behalf of the TRA Parties or in furtherance of the interests of the TRA Parties in good faith in reliance upon and in accordance with the advice of such counsel, accountants, or other experts shall create a rebuttable presumption of the good faith and due care of such Covered Person with respect to such act or omission;</w:t>
      </w:r>
      <w:r>
        <w:rPr>
          <w:rFonts w:ascii="Times New Roman" w:hAnsi="Times New Roman"/>
          <w:sz w:val="20"/>
          <w:u w:val="single"/>
        </w:rPr>
        <w:t xml:space="preserve"> provided</w:t>
      </w:r>
      <w:r>
        <w:rPr>
          <w:rFonts w:ascii="Times New Roman" w:hAnsi="Times New Roman"/>
          <w:sz w:val="20"/>
        </w:rPr>
        <w:t xml:space="preserve">, that such counsel, accountants, or other experts were selected with reasonable care. Each of the Covered Persons may rely in good faith upon, and shall have no liability to OpCo, any PubCo Group Member or the TRA Parties for acting or refraining from acting upon, any resolution, certificate, statement, instrument, opinion, report, notice, request, consent, order, bond, debenture, or other paper or document reasonably believed by it to be genuine and to have been signed or presented by the proper party or parties. The PubCo Group Members may rely in good faith upon, and shall have no liability to OpCo or the TRA Parties for acting or refraining from acting in reliance upon, any action, inaction, decision, resolution, certificate, statement, correspondence, instrument, opinion, report, notice, request, and consent by the TRA Party Representative.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7.15</w:t>
      </w:r>
      <w:r>
        <w:rPr>
          <w:rFonts w:ascii="Times New Roman" w:hAnsi="Times New Roman"/>
          <w:sz w:val="20"/>
        </w:rPr>
        <w:t xml:space="preserve"> </w:t>
      </w:r>
      <w:r>
        <w:rPr>
          <w:rFonts w:ascii="Times New Roman" w:hAnsi="Times New Roman"/>
          <w:b/>
          <w:sz w:val="20"/>
          <w:u w:val="single"/>
        </w:rPr>
        <w:t>Board Determinations</w:t>
      </w:r>
      <w:r>
        <w:rPr>
          <w:rFonts w:ascii="Times New Roman" w:hAnsi="Times New Roman"/>
          <w:sz w:val="20"/>
        </w:rPr>
        <w:t xml:space="preserve">. All determinations required to be made by the Board under this Agreement shall be made pursuant to the rules and policies of PubCo and in accordance with Delaware law, the applicable rules under the Stock Exchange (as defined in the OpCo Agreement) and other applicable laws.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is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PubCo, OpCo, the TRA Party Representative, and each TRA Party have duly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b/>
                <w:u w:val="single"/>
              </w:rPr>
              <w:t>PUBCO</w:t>
            </w:r>
            <w:r>
              <w:rPr>
                <w:u w:val="single"/>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INC.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Name:Chad Plotkin</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b/>
                <w:u w:val="single"/>
              </w:rPr>
              <w:t>OPCO</w:t>
            </w:r>
            <w:r>
              <w:rPr>
                <w:u w:val="single"/>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HOLDINGS,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Name:Chad Plotkin</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Tax Receivable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0"/>
              <w:jc w:val="left"/>
              <w:rPr>
                <w:rFonts w:ascii="Times New Roman" w:hAnsi="Times New Roman"/>
                <w:b/>
                <w:sz w:val="20"/>
                <w:u w:val="single"/>
              </w:rPr>
            </w:pPr>
            <w:r>
              <w:rPr>
                <w:rFonts w:ascii="Times New Roman" w:hAnsi="Times New Roman"/>
                <w:b/>
                <w:sz w:val="20"/>
                <w:u w:val="single"/>
              </w:rPr>
              <w:t>TRA PARTY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ASP MANAGER CORP.</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Eric L. Schondorf</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Eric L. Schondorf</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TRA PARTIES: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GSO ESOF II AIV-2 LP</w:t>
            </w:r>
          </w:p>
        </w:tc>
      </w:tr>
      <w:tr>
        <w:trPr/>
        <w:tc>
          <w:tcPr>
            <w:tcW w:w="4082" w:type="dxa"/>
            <w:gridSpan w:val="3"/>
            <w:tcBorders/>
          </w:tcPr>
          <w:p>
            <w:pPr>
              <w:pStyle w:val="TableContents"/>
              <w:bidi w:val="0"/>
              <w:spacing w:before="0" w:after="283"/>
              <w:jc w:val="left"/>
              <w:rPr/>
            </w:pPr>
            <w:r>
              <w:rPr/>
              <w:t>By: GSO Energy Select Opportunities Associates II LP,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Marisa Beeney</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GSO ENERGY PARTNERS-E AIV-2 LP</w:t>
            </w:r>
          </w:p>
        </w:tc>
      </w:tr>
      <w:tr>
        <w:trPr/>
        <w:tc>
          <w:tcPr>
            <w:tcW w:w="4082" w:type="dxa"/>
            <w:gridSpan w:val="3"/>
            <w:tcBorders/>
          </w:tcPr>
          <w:p>
            <w:pPr>
              <w:pStyle w:val="TableContents"/>
              <w:bidi w:val="0"/>
              <w:spacing w:before="0" w:after="283"/>
              <w:jc w:val="left"/>
              <w:rPr/>
            </w:pPr>
            <w:r>
              <w:rPr/>
              <w:t>By: GSO Energy Partners-E Associates LLC,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Marisa Beeney</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GSO ENERGY PARTNERS-D AIV-1 LP</w:t>
            </w:r>
          </w:p>
        </w:tc>
      </w:tr>
      <w:tr>
        <w:trPr/>
        <w:tc>
          <w:tcPr>
            <w:tcW w:w="4082" w:type="dxa"/>
            <w:gridSpan w:val="3"/>
            <w:tcBorders/>
          </w:tcPr>
          <w:p>
            <w:pPr>
              <w:pStyle w:val="TableContents"/>
              <w:bidi w:val="0"/>
              <w:spacing w:before="0" w:after="283"/>
              <w:jc w:val="left"/>
              <w:rPr/>
            </w:pPr>
            <w:r>
              <w:rPr/>
              <w:t>By: GSO Energy Partners D-Associates LLC,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Marisa Beeney</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Tax Receivable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ASP SOLV AGGREGATOR LP</w:t>
            </w:r>
          </w:p>
        </w:tc>
      </w:tr>
      <w:tr>
        <w:trPr/>
        <w:tc>
          <w:tcPr>
            <w:tcW w:w="4082" w:type="dxa"/>
            <w:gridSpan w:val="3"/>
            <w:tcBorders/>
          </w:tcPr>
          <w:p>
            <w:pPr>
              <w:pStyle w:val="TableContents"/>
              <w:bidi w:val="0"/>
              <w:spacing w:before="0" w:after="283"/>
              <w:jc w:val="left"/>
              <w:rPr/>
            </w:pPr>
            <w:r>
              <w:rPr/>
              <w:t>By: ASP MANAGER CORP.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ASP ENDEAVOR INVESTCO LP</w:t>
            </w:r>
          </w:p>
        </w:tc>
      </w:tr>
      <w:tr>
        <w:trPr/>
        <w:tc>
          <w:tcPr>
            <w:tcW w:w="4082" w:type="dxa"/>
            <w:gridSpan w:val="3"/>
            <w:tcBorders/>
          </w:tcPr>
          <w:p>
            <w:pPr>
              <w:pStyle w:val="TableContents"/>
              <w:bidi w:val="0"/>
              <w:spacing w:before="0" w:after="283"/>
              <w:jc w:val="left"/>
              <w:rPr/>
            </w:pPr>
            <w:r>
              <w:rPr/>
              <w:t>By: ASP MANAGER CORP.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MANAGEMENT HOLDINGS LP</w:t>
            </w:r>
          </w:p>
        </w:tc>
      </w:tr>
      <w:tr>
        <w:trPr/>
        <w:tc>
          <w:tcPr>
            <w:tcW w:w="4082" w:type="dxa"/>
            <w:gridSpan w:val="3"/>
            <w:tcBorders/>
          </w:tcPr>
          <w:p>
            <w:pPr>
              <w:pStyle w:val="TableContents"/>
              <w:bidi w:val="0"/>
              <w:spacing w:before="0" w:after="283"/>
              <w:jc w:val="left"/>
              <w:rPr/>
            </w:pPr>
            <w:r>
              <w:rPr/>
              <w:t>By: ASP MANAGER CORP.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ASP VIII SOLV HOLDINGS LP</w:t>
            </w:r>
          </w:p>
        </w:tc>
      </w:tr>
      <w:tr>
        <w:trPr/>
        <w:tc>
          <w:tcPr>
            <w:tcW w:w="4082" w:type="dxa"/>
            <w:gridSpan w:val="3"/>
            <w:tcBorders/>
          </w:tcPr>
          <w:p>
            <w:pPr>
              <w:pStyle w:val="TableContents"/>
              <w:bidi w:val="0"/>
              <w:spacing w:before="0" w:after="283"/>
              <w:jc w:val="left"/>
              <w:rPr/>
            </w:pPr>
            <w:r>
              <w:rPr/>
              <w:t>By: ASP MANAGER CORP.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ASP VIII CSE HOLDINGS LP</w:t>
            </w:r>
          </w:p>
        </w:tc>
      </w:tr>
      <w:tr>
        <w:trPr/>
        <w:tc>
          <w:tcPr>
            <w:tcW w:w="4082" w:type="dxa"/>
            <w:gridSpan w:val="3"/>
            <w:tcBorders/>
          </w:tcPr>
          <w:p>
            <w:pPr>
              <w:pStyle w:val="TableContents"/>
              <w:bidi w:val="0"/>
              <w:spacing w:before="0" w:after="283"/>
              <w:jc w:val="left"/>
              <w:rPr/>
            </w:pPr>
            <w:r>
              <w:rPr/>
              <w:t>By: ASP MANAGER CORP.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Eric L. Schondorf</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Tax Receivable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6"/>
        <w:gridCol w:w="60"/>
        <w:gridCol w:w="3376"/>
      </w:tblGrid>
      <w:tr>
        <w:trPr/>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ASP VIII ALTERNATIVE INVESTMENTS SOLSTICE, L.P.</w:t>
            </w:r>
          </w:p>
        </w:tc>
      </w:tr>
      <w:tr>
        <w:trPr/>
        <w:tc>
          <w:tcPr>
            <w:tcW w:w="4082" w:type="dxa"/>
            <w:gridSpan w:val="3"/>
            <w:tcBorders/>
          </w:tcPr>
          <w:p>
            <w:pPr>
              <w:pStyle w:val="TableContents"/>
              <w:bidi w:val="0"/>
              <w:spacing w:before="0" w:after="283"/>
              <w:jc w:val="left"/>
              <w:rPr/>
            </w:pPr>
            <w:r>
              <w:rPr/>
              <w:t>By: AMERICAN SECURITIES ASSOCIATES VIII, LLC</w:t>
            </w:r>
          </w:p>
        </w:tc>
      </w:tr>
      <w:tr>
        <w:trPr>
          <w:trHeight w:val="240" w:hRule="atLeast"/>
        </w:trPr>
        <w:tc>
          <w:tcPr>
            <w:tcW w:w="646" w:type="dxa"/>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6" w:type="dxa"/>
            <w:tcBorders>
              <w:bottom w:val="single" w:sz="2" w:space="0" w:color="000000"/>
            </w:tcBorders>
            <w:tcMar>
              <w:bottom w:w="28" w:type="dxa"/>
            </w:tcMar>
          </w:tcPr>
          <w:p>
            <w:pPr>
              <w:pStyle w:val="TableContents"/>
              <w:bidi w:val="0"/>
              <w:spacing w:before="0" w:after="283"/>
              <w:jc w:val="left"/>
              <w:rPr/>
            </w:pPr>
            <w:r>
              <w:rPr/>
              <w:t>/s/ Michael G. Fisch</w:t>
            </w:r>
          </w:p>
        </w:tc>
      </w:tr>
      <w:tr>
        <w:trPr/>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Name: Michael G. Fisch</w:t>
            </w:r>
          </w:p>
        </w:tc>
      </w:tr>
      <w:tr>
        <w:trPr/>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AMERICAN SECURITIES ASSOCIATES VIII, LLC</w:t>
            </w:r>
          </w:p>
        </w:tc>
      </w:tr>
      <w:tr>
        <w:trPr>
          <w:trHeight w:val="240" w:hRule="atLeast"/>
        </w:trPr>
        <w:tc>
          <w:tcPr>
            <w:tcW w:w="646" w:type="dxa"/>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6" w:type="dxa"/>
            <w:tcBorders>
              <w:bottom w:val="single" w:sz="2" w:space="0" w:color="000000"/>
            </w:tcBorders>
            <w:tcMar>
              <w:bottom w:w="28" w:type="dxa"/>
            </w:tcMar>
          </w:tcPr>
          <w:p>
            <w:pPr>
              <w:pStyle w:val="TableContents"/>
              <w:bidi w:val="0"/>
              <w:spacing w:before="0" w:after="283"/>
              <w:jc w:val="left"/>
              <w:rPr/>
            </w:pPr>
            <w:r>
              <w:rPr/>
              <w:t>/s/ Michael G. Fisch</w:t>
            </w:r>
          </w:p>
        </w:tc>
      </w:tr>
      <w:tr>
        <w:trPr/>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Name: Michael G. Fisch</w:t>
            </w:r>
          </w:p>
        </w:tc>
      </w:tr>
      <w:tr>
        <w:trPr/>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ROSALIND S. ABRAM REVOCABLE TRUST</w:t>
            </w:r>
          </w:p>
        </w:tc>
      </w:tr>
      <w:tr>
        <w:trPr>
          <w:trHeight w:val="240" w:hRule="atLeast"/>
        </w:trPr>
        <w:tc>
          <w:tcPr>
            <w:tcW w:w="646" w:type="dxa"/>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6" w:type="dxa"/>
            <w:tcBorders>
              <w:bottom w:val="single" w:sz="2" w:space="0" w:color="000000"/>
            </w:tcBorders>
            <w:tcMar>
              <w:bottom w:w="28" w:type="dxa"/>
            </w:tcMar>
          </w:tcPr>
          <w:p>
            <w:pPr>
              <w:pStyle w:val="TableContents"/>
              <w:bidi w:val="0"/>
              <w:spacing w:before="0" w:after="283"/>
              <w:jc w:val="left"/>
              <w:rPr/>
            </w:pPr>
            <w:r>
              <w:rPr/>
              <w:t>/s/ J. Adam Abram</w:t>
            </w:r>
          </w:p>
        </w:tc>
      </w:tr>
      <w:tr>
        <w:trPr/>
        <w:tc>
          <w:tcPr>
            <w:tcW w:w="64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J. Adam Abram</w:t>
            </w:r>
          </w:p>
        </w:tc>
      </w:tr>
      <w:tr>
        <w:trPr/>
        <w:tc>
          <w:tcPr>
            <w:tcW w:w="64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6" w:type="dxa"/>
            <w:tcBorders/>
          </w:tcPr>
          <w:p>
            <w:pPr>
              <w:pStyle w:val="TableContents"/>
              <w:bidi w:val="0"/>
              <w:spacing w:before="0" w:after="283"/>
              <w:jc w:val="left"/>
              <w:rPr/>
            </w:pPr>
            <w:r>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JACKSON FAMILY IRREVOCABLE TRUST</w:t>
            </w:r>
          </w:p>
        </w:tc>
      </w:tr>
      <w:tr>
        <w:trPr>
          <w:trHeight w:val="240" w:hRule="atLeast"/>
        </w:trPr>
        <w:tc>
          <w:tcPr>
            <w:tcW w:w="646" w:type="dxa"/>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6" w:type="dxa"/>
            <w:tcBorders>
              <w:bottom w:val="single" w:sz="2" w:space="0" w:color="000000"/>
            </w:tcBorders>
            <w:tcMar>
              <w:bottom w:w="28" w:type="dxa"/>
            </w:tcMar>
          </w:tcPr>
          <w:p>
            <w:pPr>
              <w:pStyle w:val="TableContents"/>
              <w:bidi w:val="0"/>
              <w:spacing w:before="0" w:after="283"/>
              <w:jc w:val="left"/>
              <w:rPr/>
            </w:pPr>
            <w:r>
              <w:rPr/>
              <w:t>/s/ Kathleen P. Jackson</w:t>
            </w:r>
          </w:p>
        </w:tc>
      </w:tr>
      <w:tr>
        <w:trPr/>
        <w:tc>
          <w:tcPr>
            <w:tcW w:w="64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Kathleen P. Jackson</w:t>
            </w:r>
          </w:p>
        </w:tc>
      </w:tr>
      <w:tr>
        <w:trPr/>
        <w:tc>
          <w:tcPr>
            <w:tcW w:w="64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6" w:type="dxa"/>
            <w:tcBorders/>
            <w:vAlign w:val="bottom"/>
          </w:tcPr>
          <w:p>
            <w:pPr>
              <w:pStyle w:val="TableContents"/>
              <w:bidi w:val="0"/>
              <w:spacing w:before="0" w:after="283"/>
              <w:jc w:val="left"/>
              <w:rPr/>
            </w:pPr>
            <w:r>
              <w:rPr/>
              <w:t>Trustee</w:t>
            </w:r>
          </w:p>
        </w:tc>
      </w:tr>
    </w:tbl>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Steven Lerner</w:t>
            </w:r>
          </w:p>
        </w:tc>
      </w:tr>
      <w:tr>
        <w:trPr/>
        <w:tc>
          <w:tcPr>
            <w:tcW w:w="4082" w:type="dxa"/>
            <w:tcBorders/>
          </w:tcPr>
          <w:p>
            <w:pPr>
              <w:pStyle w:val="TableContents"/>
              <w:bidi w:val="0"/>
              <w:spacing w:before="0" w:after="283"/>
              <w:jc w:val="left"/>
              <w:rPr/>
            </w:pPr>
            <w:r>
              <w:rPr/>
              <w:t>Steven Lerner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William Jackson</w:t>
            </w:r>
          </w:p>
        </w:tc>
      </w:tr>
      <w:tr>
        <w:trPr/>
        <w:tc>
          <w:tcPr>
            <w:tcW w:w="4082" w:type="dxa"/>
            <w:tcBorders/>
          </w:tcPr>
          <w:p>
            <w:pPr>
              <w:pStyle w:val="TableContents"/>
              <w:bidi w:val="0"/>
              <w:spacing w:before="0" w:after="283"/>
              <w:jc w:val="left"/>
              <w:rPr/>
            </w:pPr>
            <w:r>
              <w:rPr/>
              <w:t>William Jackson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 Adam Abram</w:t>
            </w:r>
          </w:p>
        </w:tc>
      </w:tr>
      <w:tr>
        <w:trPr/>
        <w:tc>
          <w:tcPr>
            <w:tcW w:w="4082" w:type="dxa"/>
            <w:tcBorders/>
          </w:tcPr>
          <w:p>
            <w:pPr>
              <w:pStyle w:val="TableContents"/>
              <w:bidi w:val="0"/>
              <w:spacing w:before="0" w:after="283"/>
              <w:jc w:val="left"/>
              <w:rPr/>
            </w:pPr>
            <w:r>
              <w:rPr/>
              <w:t>J. Adam Abram</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Tax Receivable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Nancy Stefanowicz</w:t>
            </w:r>
          </w:p>
        </w:tc>
      </w:tr>
      <w:tr>
        <w:trPr/>
        <w:tc>
          <w:tcPr>
            <w:tcW w:w="4082" w:type="dxa"/>
            <w:tcBorders/>
          </w:tcPr>
          <w:p>
            <w:pPr>
              <w:pStyle w:val="TableContents"/>
              <w:bidi w:val="0"/>
              <w:spacing w:before="0" w:after="283"/>
              <w:jc w:val="left"/>
              <w:rPr/>
            </w:pPr>
            <w:r>
              <w:rPr/>
              <w:t>Nancy Stefanowicz</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Laura Stern</w:t>
            </w:r>
          </w:p>
        </w:tc>
      </w:tr>
      <w:tr>
        <w:trPr/>
        <w:tc>
          <w:tcPr>
            <w:tcW w:w="4082" w:type="dxa"/>
            <w:tcBorders/>
          </w:tcPr>
          <w:p>
            <w:pPr>
              <w:pStyle w:val="TableContents"/>
              <w:bidi w:val="0"/>
              <w:spacing w:before="0" w:after="283"/>
              <w:jc w:val="left"/>
              <w:rPr/>
            </w:pPr>
            <w:r>
              <w:rPr/>
              <w:t>Laura Stern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Daniel McQuade</w:t>
            </w:r>
          </w:p>
        </w:tc>
      </w:tr>
      <w:tr>
        <w:trPr/>
        <w:tc>
          <w:tcPr>
            <w:tcW w:w="4082" w:type="dxa"/>
            <w:tcBorders/>
          </w:tcPr>
          <w:p>
            <w:pPr>
              <w:pStyle w:val="TableContents"/>
              <w:bidi w:val="0"/>
              <w:spacing w:before="0" w:after="283"/>
              <w:jc w:val="left"/>
              <w:rPr/>
            </w:pPr>
            <w:r>
              <w:rPr/>
              <w:t>Daniel McQuade</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Tax Receivable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Joinder </w:t>
      </w:r>
    </w:p>
    <w:p>
      <w:pPr>
        <w:pStyle w:val="TextBody"/>
        <w:bidi w:val="0"/>
        <w:spacing w:before="240" w:after="0"/>
        <w:jc w:val="left"/>
        <w:rPr>
          <w:rFonts w:ascii="Times New Roman" w:hAnsi="Times New Roman"/>
          <w:sz w:val="20"/>
        </w:rPr>
      </w:pPr>
      <w:r>
        <w:rPr>
          <w:rFonts w:ascii="Times New Roman" w:hAnsi="Times New Roman"/>
          <w:sz w:val="20"/>
        </w:rPr>
        <w:t>This JOINDER (this “</w:t>
      </w:r>
      <w:r>
        <w:rPr>
          <w:rFonts w:ascii="Times New Roman" w:hAnsi="Times New Roman"/>
          <w:sz w:val="20"/>
          <w:u w:val="single"/>
        </w:rPr>
        <w:t>Joinder</w:t>
      </w:r>
      <w:r>
        <w:rPr>
          <w:rFonts w:ascii="Times New Roman" w:hAnsi="Times New Roman"/>
          <w:sz w:val="20"/>
        </w:rPr>
        <w:t>”) to the Tax Receivable Agreement (as defined below) is by and among SOLV Energy, Inc., a Delaware corporation (including any successor corporation, “</w:t>
      </w:r>
      <w:r>
        <w:rPr>
          <w:rFonts w:ascii="Times New Roman" w:hAnsi="Times New Roman"/>
          <w:sz w:val="20"/>
          <w:u w:val="single"/>
        </w:rPr>
        <w:t>PubCo</w:t>
      </w:r>
      <w:r>
        <w:rPr>
          <w:rFonts w:ascii="Times New Roman" w:hAnsi="Times New Roman"/>
          <w:sz w:val="20"/>
        </w:rPr>
        <w:t>”), SOLV Energy Holdings, LLC, a Delaware limited liability company (“</w:t>
      </w:r>
      <w:r>
        <w:rPr>
          <w:rFonts w:ascii="Times New Roman" w:hAnsi="Times New Roman"/>
          <w:sz w:val="20"/>
          <w:u w:val="single"/>
        </w:rPr>
        <w:t>OpCo</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Transferor</w:t>
      </w:r>
      <w:r>
        <w:rPr>
          <w:rFonts w:ascii="Times New Roman" w:hAnsi="Times New Roman"/>
          <w:sz w:val="20"/>
        </w:rPr>
        <w:t xml:space="preserve">”) and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Permitted Transferee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on , </w:t>
      </w:r>
      <w:r>
        <w:rPr>
          <w:rFonts w:ascii="Times New Roman" w:hAnsi="Times New Roman"/>
          <w:sz w:val="20"/>
          <w:u w:val="single"/>
        </w:rPr>
        <w:t>    </w:t>
      </w:r>
      <w:r>
        <w:rPr>
          <w:rFonts w:ascii="Times New Roman" w:hAnsi="Times New Roman"/>
          <w:sz w:val="20"/>
        </w:rPr>
        <w:t xml:space="preserve"> Permitted Transferee shall acquire from Transferor the rights to receive payments that may become due and payable under the Tax Receivable Agreement (as defined below) that are described on Schedule 1 hereto (such rights, the “</w:t>
      </w:r>
      <w:r>
        <w:rPr>
          <w:rFonts w:ascii="Times New Roman" w:hAnsi="Times New Roman"/>
          <w:sz w:val="20"/>
          <w:u w:val="single"/>
        </w:rPr>
        <w:t>Acquired Interests</w:t>
      </w:r>
      <w:r>
        <w:rPr>
          <w:rFonts w:ascii="Times New Roman" w:hAnsi="Times New Roman"/>
          <w:sz w:val="20"/>
        </w:rPr>
        <w:t>” and such acquisition, the “</w:t>
      </w:r>
      <w:r>
        <w:rPr>
          <w:rFonts w:ascii="Times New Roman" w:hAnsi="Times New Roman"/>
          <w:sz w:val="20"/>
          <w:u w:val="single"/>
        </w:rPr>
        <w:t>Acquisition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Transferor, in connection with the Acquisition, has required Permitted Transferee to execute and deliver this Joinder pursuant to Section 7.6(a) of the Tax Receivable Agreement, dated as of February 10, 2026, among PubCo, OpCo, the TRA Holder Representative, and the TRA Parties (as defined therein) (the “</w:t>
      </w:r>
      <w:r>
        <w:rPr>
          <w:rFonts w:ascii="Times New Roman" w:hAnsi="Times New Roman"/>
          <w:sz w:val="20"/>
          <w:u w:val="single"/>
        </w:rPr>
        <w:t>Tax Receivable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covenants and agreements set forth herein, and intending to be legally bound hereby,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To the extent capitalized words used in this Joinder are not defined in this Joinder, such words shall have the respective meanings set forth in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Acquisition</w:t>
      </w:r>
      <w:r>
        <w:rPr>
          <w:rFonts w:ascii="Times New Roman" w:hAnsi="Times New Roman"/>
          <w:sz w:val="20"/>
        </w:rPr>
        <w:t xml:space="preserve">. For good and valuable consideration, the sufficiency of which is hereby acknowledged by the Transferor and the Permitted Transferee, the Transferor hereby transfers and assigns absolutely to the Permitted Transferee all of the Acquired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Joinder</w:t>
      </w:r>
      <w:r>
        <w:rPr>
          <w:rFonts w:ascii="Times New Roman" w:hAnsi="Times New Roman"/>
          <w:sz w:val="20"/>
        </w:rPr>
        <w:t xml:space="preserve">. Permitted Transferee hereby acknowledges and agrees (i) that it has received and read the Tax Receivable Agreement, (ii) that the Permitted Transferee is acquiring the Acquired Interests in accordance with and subject to the terms and conditions of the Tax Receivable Agreement and (iii) to become a “TRA Party” (as defined in the Tax Receivable Agreement) for all purposes of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w:t>
      </w:r>
      <w:r>
        <w:rPr>
          <w:rFonts w:ascii="Times New Roman" w:hAnsi="Times New Roman"/>
          <w:sz w:val="20"/>
        </w:rPr>
        <w:t xml:space="preserve">. Any notice, request, consent, claim, demand, approval, waiver or other communication hereunder to Permitted Transferee shall be delivered or sent to Permitted Transferee at the address set forth on the signature page hereto in accordance with Section 7.1 of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Joinder shall be governed by and construed in accordance with the law of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Joinder has been duly executed and delivered by the parties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80"/>
        <w:gridCol w:w="116"/>
        <w:gridCol w:w="2386"/>
      </w:tblGrid>
      <w:tr>
        <w:trPr/>
        <w:tc>
          <w:tcPr>
            <w:tcW w:w="158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INC.</w:t>
            </w:r>
          </w:p>
        </w:tc>
      </w:tr>
      <w:tr>
        <w:trPr>
          <w:trHeight w:val="240" w:hRule="atLeast"/>
        </w:trPr>
        <w:tc>
          <w:tcPr>
            <w:tcW w:w="1580" w:type="dxa"/>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386" w:type="dxa"/>
            <w:tcBorders>
              <w:bottom w:val="single" w:sz="2" w:space="0" w:color="000000"/>
            </w:tcBorders>
            <w:tcMar>
              <w:bottom w:w="28" w:type="dxa"/>
            </w:tcMar>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HOLDINGS, LLC</w:t>
            </w:r>
          </w:p>
        </w:tc>
      </w:tr>
      <w:tr>
        <w:trPr>
          <w:trHeight w:val="240" w:hRule="atLeast"/>
        </w:trPr>
        <w:tc>
          <w:tcPr>
            <w:tcW w:w="1580" w:type="dxa"/>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386" w:type="dxa"/>
            <w:tcBorders>
              <w:bottom w:val="single" w:sz="2" w:space="0" w:color="000000"/>
            </w:tcBorders>
            <w:tcMar>
              <w:bottom w:w="28" w:type="dxa"/>
            </w:tcMar>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[TRANSFEROR]</w:t>
            </w:r>
          </w:p>
        </w:tc>
      </w:tr>
      <w:tr>
        <w:trPr>
          <w:trHeight w:val="240" w:hRule="atLeast"/>
        </w:trPr>
        <w:tc>
          <w:tcPr>
            <w:tcW w:w="1580" w:type="dxa"/>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386" w:type="dxa"/>
            <w:tcBorders>
              <w:bottom w:val="single" w:sz="2" w:space="0" w:color="000000"/>
            </w:tcBorders>
            <w:tcMar>
              <w:bottom w:w="28" w:type="dxa"/>
            </w:tcMar>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[PERMITTED TRANSFEREE]</w:t>
            </w:r>
          </w:p>
        </w:tc>
      </w:tr>
      <w:tr>
        <w:trPr>
          <w:trHeight w:val="240" w:hRule="atLeast"/>
        </w:trPr>
        <w:tc>
          <w:tcPr>
            <w:tcW w:w="1580" w:type="dxa"/>
            <w:tcBorders/>
            <w:vAlign w:val="center"/>
          </w:tcPr>
          <w:p>
            <w:pPr>
              <w:pStyle w:val="TableContents"/>
              <w:bidi w:val="0"/>
              <w:spacing w:before="0" w:after="283"/>
              <w:jc w:val="left"/>
              <w:rPr>
                <w:sz w:val="4"/>
                <w:szCs w:val="4"/>
              </w:rPr>
            </w:pPr>
            <w:r>
              <w:rPr>
                <w:sz w:val="4"/>
                <w:szCs w:val="4"/>
              </w:rPr>
            </w:r>
          </w:p>
        </w:tc>
        <w:tc>
          <w:tcPr>
            <w:tcW w:w="2502"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2386" w:type="dxa"/>
            <w:tcBorders>
              <w:bottom w:val="single" w:sz="2" w:space="0" w:color="000000"/>
            </w:tcBorders>
            <w:tcMar>
              <w:bottom w:w="28" w:type="dxa"/>
            </w:tcMar>
          </w:tcPr>
          <w:p>
            <w:pPr>
              <w:pStyle w:val="TableContents"/>
              <w:bidi w:val="0"/>
              <w:spacing w:before="0" w:after="283"/>
              <w:jc w:val="left"/>
              <w:rPr/>
            </w:pPr>
            <w:r>
              <w:rPr/>
              <w:t> </w:t>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16"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center"/>
        <w:rPr>
          <w:rFonts w:ascii="Times New Roman" w:hAnsi="Times New Roman"/>
          <w:b/>
          <w:sz w:val="20"/>
        </w:rPr>
      </w:pPr>
      <w:r>
        <w:rPr>
          <w:rFonts w:ascii="Times New Roman" w:hAnsi="Times New Roman"/>
          <w:b/>
          <w:sz w:val="20"/>
        </w:rPr>
        <w:t xml:space="preserve">(To Form of Joinder) </w:t>
      </w:r>
    </w:p>
    <w:p>
      <w:pPr>
        <w:pStyle w:val="TextBody"/>
        <w:bidi w:val="0"/>
        <w:spacing w:before="240" w:after="0"/>
        <w:jc w:val="center"/>
        <w:rPr>
          <w:rFonts w:ascii="Times New Roman" w:hAnsi="Times New Roman"/>
          <w:i/>
          <w:sz w:val="20"/>
        </w:rPr>
      </w:pPr>
      <w:r>
        <w:rPr>
          <w:rFonts w:ascii="Times New Roman" w:hAnsi="Times New Roman"/>
          <w:i/>
          <w:sz w:val="20"/>
        </w:rPr>
        <w:t xml:space="preserve">[Description of Acquired Interests to be Inserted at Time of Assignment] </w:t>
      </w:r>
    </w:p>
    <w:p>
      <w:pPr>
        <w:pStyle w:val="TextBody"/>
        <w:bidi w:val="0"/>
        <w:spacing w:before="0" w:after="0"/>
        <w:jc w:val="right"/>
        <w:rPr>
          <w:rFonts w:ascii="Times New Roman" w:hAnsi="Times New Roman"/>
          <w:b/>
          <w:sz w:val="20"/>
        </w:rPr>
      </w:pPr>
      <w:bookmarkStart w:id="6" w:name="d189834dex103.htm"/>
      <w:bookmarkStart w:id="7" w:name="ksd189834dex103"/>
      <w:bookmarkEnd w:id="6"/>
      <w:bookmarkEnd w:id="7"/>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SOLV ENERGY,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
        <w:gridCol w:w="86"/>
        <w:gridCol w:w="1790"/>
        <w:gridCol w:w="141"/>
        <w:gridCol w:w="7352"/>
        <w:gridCol w:w="141"/>
        <w:gridCol w:w="96"/>
        <w:gridCol w:w="419"/>
        <w:gridCol w:w="65"/>
      </w:tblGrid>
      <w:tr>
        <w:trPr/>
        <w:tc>
          <w:tcPr>
            <w:tcW w:w="11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35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1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84" w:type="dxa"/>
            <w:gridSpan w:val="5"/>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5"/>
            <w:tcBorders/>
          </w:tcPr>
          <w:p>
            <w:pPr>
              <w:pStyle w:val="TableContents"/>
              <w:bidi w:val="0"/>
              <w:spacing w:before="0" w:after="283"/>
              <w:jc w:val="left"/>
              <w:rPr/>
            </w:pPr>
            <w:r>
              <w:rPr/>
              <w:t>ARTICLE I DEFINITIONS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115" w:type="dxa"/>
            <w:tcBorders/>
            <w:vAlign w:val="center"/>
          </w:tcPr>
          <w:p>
            <w:pPr>
              <w:pStyle w:val="TableContents"/>
              <w:bidi w:val="0"/>
              <w:spacing w:before="0" w:after="283"/>
              <w:jc w:val="left"/>
              <w:rPr>
                <w:sz w:val="4"/>
                <w:szCs w:val="4"/>
              </w:rPr>
            </w:pPr>
            <w:r>
              <w:rPr>
                <w:sz w:val="4"/>
                <w:szCs w:val="4"/>
              </w:rPr>
            </w:r>
          </w:p>
        </w:tc>
        <w:tc>
          <w:tcPr>
            <w:tcW w:w="1876" w:type="dxa"/>
            <w:gridSpan w:val="2"/>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1.01.</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Definitions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9484" w:type="dxa"/>
            <w:gridSpan w:val="5"/>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5"/>
            <w:tcBorders/>
          </w:tcPr>
          <w:p>
            <w:pPr>
              <w:pStyle w:val="TableContents"/>
              <w:bidi w:val="0"/>
              <w:spacing w:before="0" w:after="283"/>
              <w:jc w:val="left"/>
              <w:rPr/>
            </w:pPr>
            <w:r>
              <w:rPr/>
              <w:t>ARTICLE II REGISTRATION RIGHTS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115" w:type="dxa"/>
            <w:tcBorders/>
            <w:vAlign w:val="center"/>
          </w:tcPr>
          <w:p>
            <w:pPr>
              <w:pStyle w:val="TableContents"/>
              <w:bidi w:val="0"/>
              <w:spacing w:before="0" w:after="283"/>
              <w:jc w:val="left"/>
              <w:rPr>
                <w:sz w:val="4"/>
                <w:szCs w:val="4"/>
              </w:rPr>
            </w:pPr>
            <w:r>
              <w:rPr>
                <w:sz w:val="4"/>
                <w:szCs w:val="4"/>
              </w:rPr>
            </w:r>
          </w:p>
        </w:tc>
        <w:tc>
          <w:tcPr>
            <w:tcW w:w="1876" w:type="dxa"/>
            <w:gridSpan w:val="2"/>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2.01.</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Demand Registration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2.02.</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Shelf Registration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2.03.</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Piggyback Registration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2.04.</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Black-out Periods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2.05.</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Registration Procedures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2.06.</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Underwritten Offerings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2.07.</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No Inconsistent Agreements; Additional Rights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2.08.</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Registration Expenses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2.09.</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Indemnification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2.10.</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Rules 144 and 144A and Regulation 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2.11.</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Limitation on Registrations and Underwritten Offerings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2.12.</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Clear Market</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2.13.</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In-Kind Distributions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2.14.</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Margin Loan and Pledge Transactions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2.15.</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Limitations on Subsequent Registration Rights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2.16.</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Termination of Registration Rights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rHeight w:val="120" w:hRule="atLeast"/>
        </w:trPr>
        <w:tc>
          <w:tcPr>
            <w:tcW w:w="9484" w:type="dxa"/>
            <w:gridSpan w:val="5"/>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5"/>
            <w:tcBorders/>
          </w:tcPr>
          <w:p>
            <w:pPr>
              <w:pStyle w:val="TableContents"/>
              <w:bidi w:val="0"/>
              <w:spacing w:before="0" w:after="283"/>
              <w:jc w:val="left"/>
              <w:rPr/>
            </w:pPr>
            <w:r>
              <w:rPr/>
              <w:t>ARTICLE III TRANSFERS AND INFORMATION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rHeight w:val="120" w:hRule="atLeast"/>
        </w:trPr>
        <w:tc>
          <w:tcPr>
            <w:tcW w:w="115" w:type="dxa"/>
            <w:tcBorders/>
            <w:vAlign w:val="center"/>
          </w:tcPr>
          <w:p>
            <w:pPr>
              <w:pStyle w:val="TableContents"/>
              <w:bidi w:val="0"/>
              <w:spacing w:before="0" w:after="283"/>
              <w:jc w:val="left"/>
              <w:rPr>
                <w:sz w:val="4"/>
                <w:szCs w:val="4"/>
              </w:rPr>
            </w:pPr>
            <w:r>
              <w:rPr>
                <w:sz w:val="4"/>
                <w:szCs w:val="4"/>
              </w:rPr>
            </w:r>
          </w:p>
        </w:tc>
        <w:tc>
          <w:tcPr>
            <w:tcW w:w="1876" w:type="dxa"/>
            <w:gridSpan w:val="2"/>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3.01.</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Additional Parties; Joinder</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3.02.</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Transfer of Registrable Securities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3.03.</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MNPI Provisions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rHeight w:val="120" w:hRule="atLeast"/>
        </w:trPr>
        <w:tc>
          <w:tcPr>
            <w:tcW w:w="9484" w:type="dxa"/>
            <w:gridSpan w:val="5"/>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5"/>
            <w:tcBorders/>
          </w:tcPr>
          <w:p>
            <w:pPr>
              <w:pStyle w:val="TableContents"/>
              <w:bidi w:val="0"/>
              <w:spacing w:before="0" w:after="283"/>
              <w:jc w:val="left"/>
              <w:rPr/>
            </w:pPr>
            <w:r>
              <w:rPr/>
              <w:t>ARTICLE IV MISCELLANEOUS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rHeight w:val="120" w:hRule="atLeast"/>
        </w:trPr>
        <w:tc>
          <w:tcPr>
            <w:tcW w:w="115" w:type="dxa"/>
            <w:tcBorders/>
            <w:vAlign w:val="center"/>
          </w:tcPr>
          <w:p>
            <w:pPr>
              <w:pStyle w:val="TableContents"/>
              <w:bidi w:val="0"/>
              <w:spacing w:before="0" w:after="283"/>
              <w:jc w:val="left"/>
              <w:rPr>
                <w:sz w:val="4"/>
                <w:szCs w:val="4"/>
              </w:rPr>
            </w:pPr>
            <w:r>
              <w:rPr>
                <w:sz w:val="4"/>
                <w:szCs w:val="4"/>
              </w:rPr>
            </w:r>
          </w:p>
        </w:tc>
        <w:tc>
          <w:tcPr>
            <w:tcW w:w="1876" w:type="dxa"/>
            <w:gridSpan w:val="2"/>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15" w:type="dxa"/>
            <w:tcBorders/>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t>SECTION 4.01.</w:t>
            </w:r>
          </w:p>
        </w:tc>
        <w:tc>
          <w:tcPr>
            <w:tcW w:w="141" w:type="dxa"/>
            <w:tcBorders/>
            <w:vAlign w:val="bottom"/>
          </w:tcPr>
          <w:p>
            <w:pPr>
              <w:pStyle w:val="TableContents"/>
              <w:bidi w:val="0"/>
              <w:spacing w:before="0" w:after="283"/>
              <w:jc w:val="left"/>
              <w:rPr/>
            </w:pPr>
            <w:r>
              <w:rPr/>
              <w:t>  </w:t>
            </w:r>
          </w:p>
        </w:tc>
        <w:tc>
          <w:tcPr>
            <w:tcW w:w="7352" w:type="dxa"/>
            <w:tcBorders/>
            <w:vAlign w:val="bottom"/>
          </w:tcPr>
          <w:p>
            <w:pPr>
              <w:pStyle w:val="TableContents"/>
              <w:bidi w:val="0"/>
              <w:spacing w:before="0" w:after="283"/>
              <w:jc w:val="left"/>
              <w:rPr/>
            </w:pPr>
            <w:r>
              <w:rPr/>
              <w:t>General Provisions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as of February 10, 2026 by and among SOLV Energy, Inc., a Delaware Company (the “</w:t>
      </w:r>
      <w:r>
        <w:rPr>
          <w:rFonts w:ascii="Times New Roman" w:hAnsi="Times New Roman"/>
          <w:sz w:val="20"/>
          <w:u w:val="single"/>
        </w:rPr>
        <w:t>Company</w:t>
      </w:r>
      <w:r>
        <w:rPr>
          <w:rFonts w:ascii="Times New Roman" w:hAnsi="Times New Roman"/>
          <w:sz w:val="20"/>
        </w:rPr>
        <w:t>”), and each of the Persons listed on the signature pages hereto as of the date hereof (such Persons, each, a “</w:t>
      </w:r>
      <w:r>
        <w:rPr>
          <w:rFonts w:ascii="Times New Roman" w:hAnsi="Times New Roman"/>
          <w:sz w:val="20"/>
          <w:u w:val="single"/>
        </w:rPr>
        <w:t>Holder</w:t>
      </w:r>
      <w:r>
        <w:rPr>
          <w:rFonts w:ascii="Times New Roman" w:hAnsi="Times New Roman"/>
          <w:sz w:val="20"/>
        </w:rPr>
        <w:t>”, and collectively, the “</w:t>
      </w:r>
      <w:r>
        <w:rPr>
          <w:rFonts w:ascii="Times New Roman" w:hAnsi="Times New Roman"/>
          <w:sz w:val="20"/>
          <w:u w:val="single"/>
        </w:rPr>
        <w:t>Holders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the Company has, concurrently with entry into this Agreement, consummated the offer and sale of its shares of Class A common stock, par value $0.0001 per share (the “</w:t>
      </w:r>
      <w:r>
        <w:rPr>
          <w:rFonts w:ascii="Times New Roman" w:hAnsi="Times New Roman"/>
          <w:sz w:val="20"/>
          <w:u w:val="single"/>
        </w:rPr>
        <w:t>Class A Common Stock</w:t>
      </w:r>
      <w:r>
        <w:rPr>
          <w:rFonts w:ascii="Times New Roman" w:hAnsi="Times New Roman"/>
          <w:sz w:val="20"/>
        </w:rPr>
        <w:t>”) to the public in an underwritten initial public offering (the “</w:t>
      </w:r>
      <w:r>
        <w:rPr>
          <w:rFonts w:ascii="Times New Roman" w:hAnsi="Times New Roman"/>
          <w:sz w:val="20"/>
          <w:u w:val="single"/>
        </w:rPr>
        <w:t>IPO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connection with the consummation of the IPO, (i) the Company, SOLV Energy Holdings LLC, a Delaware limited liability company (“</w:t>
      </w:r>
      <w:r>
        <w:rPr>
          <w:rFonts w:ascii="Times New Roman" w:hAnsi="Times New Roman"/>
          <w:sz w:val="20"/>
          <w:u w:val="single"/>
        </w:rPr>
        <w:t>Opco LLC</w:t>
      </w:r>
      <w:r>
        <w:rPr>
          <w:rFonts w:ascii="Times New Roman" w:hAnsi="Times New Roman"/>
          <w:sz w:val="20"/>
        </w:rPr>
        <w:t>”), the Initial Holders and certain other parties have entered into that certain Amended and Restated Limited Liability Company Agreement of Opco LLC (such agreement, as it may be amended, restated, amended and restated, supplemented or otherwise modified from time to time, the “</w:t>
      </w:r>
      <w:r>
        <w:rPr>
          <w:rFonts w:ascii="Times New Roman" w:hAnsi="Times New Roman"/>
          <w:sz w:val="20"/>
          <w:u w:val="single"/>
        </w:rPr>
        <w:t>LLC Agreement</w:t>
      </w:r>
      <w:r>
        <w:rPr>
          <w:rFonts w:ascii="Times New Roman" w:hAnsi="Times New Roman"/>
          <w:sz w:val="20"/>
        </w:rPr>
        <w:t>”), (ii) each Initial Holder was issued Common Units (as defined in the LLC Agreement, the “</w:t>
      </w:r>
      <w:r>
        <w:rPr>
          <w:rFonts w:ascii="Times New Roman" w:hAnsi="Times New Roman"/>
          <w:sz w:val="20"/>
          <w:u w:val="single"/>
        </w:rPr>
        <w:t>Common Units</w:t>
      </w:r>
      <w:r>
        <w:rPr>
          <w:rFonts w:ascii="Times New Roman" w:hAnsi="Times New Roman"/>
          <w:sz w:val="20"/>
        </w:rPr>
        <w:t xml:space="preserve">”) of Opco LLC and (iii) each Common Unit is redeemable for, at the Company’s option, shares of Class A Common Stock or cash on the terms set forth in the LLC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IPO and the transactions described above, the Company has agreed to grant to the Holders (as defined below) certain rights with respect to the registration of the Registrable Securities (as defined below)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are hereby acknowledged, the parties to this Agreement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purposes of this Agreement, the following terms shall have the meanings specified in this </w:t>
      </w:r>
      <w:r>
        <w:rPr>
          <w:rFonts w:ascii="Times New Roman" w:hAnsi="Times New Roman"/>
          <w:sz w:val="20"/>
          <w:u w:val="single"/>
        </w:rPr>
        <w:t>Section 1.01</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Acquired Common</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Holder</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and shall be deemed to include each such Person’s Affiliates, immediate family members, heirs, successors and assigns who may succeed to such Person as a Holder hereunder.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Adverse Disclosure</w:t>
      </w:r>
      <w:r>
        <w:rPr>
          <w:rFonts w:ascii="Times New Roman" w:hAnsi="Times New Roman"/>
          <w:sz w:val="20"/>
        </w:rPr>
        <w:t xml:space="preserve">” means public disclosure of material non-public information which, in the Board’s judgment, after consultation with outside legal counsel to the Company, (i) would be required to be made in any Registration Statement filed with the SEC by the Company so that such Registration Statement would not contain any untrue statement of material fact or omit to state a material fact required to be stated therein or necessary to make the statements therein not materially misleading; (ii) would not be required to be made at such time but for the filing, effectiveness or continued use of such Registration Statement; and (iii) the Company has a bona fide business purpose for not disclosing publicly at such time.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of any Person means any other Person controlled by, controlling or under common control with such Person; </w:t>
      </w:r>
      <w:r>
        <w:rPr>
          <w:rFonts w:ascii="Times New Roman" w:hAnsi="Times New Roman"/>
          <w:sz w:val="20"/>
          <w:u w:val="single"/>
        </w:rPr>
        <w:t>provided</w:t>
      </w:r>
      <w:r>
        <w:rPr>
          <w:rFonts w:ascii="Times New Roman" w:hAnsi="Times New Roman"/>
          <w:sz w:val="20"/>
        </w:rPr>
        <w:t xml:space="preserve"> that the Company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 </w:t>
      </w:r>
    </w:p>
    <w:p>
      <w:pPr>
        <w:pStyle w:val="TextBody"/>
        <w:bidi w:val="0"/>
        <w:spacing w:before="240" w:after="0"/>
        <w:jc w:val="left"/>
        <w:rPr/>
      </w:pPr>
      <w:r>
        <w:rPr/>
        <w:t>“</w:t>
      </w:r>
      <w:r>
        <w:rPr>
          <w:rFonts w:ascii="Times New Roman" w:hAnsi="Times New Roman"/>
          <w:sz w:val="20"/>
          <w:u w:val="single"/>
        </w:rPr>
        <w:t>Affiliate Transferee</w:t>
      </w:r>
      <w:r>
        <w:rPr>
          <w:rFonts w:ascii="Times New Roman" w:hAnsi="Times New Roman"/>
          <w:sz w:val="20"/>
        </w:rPr>
        <w:t xml:space="preserve">” means, with respect to any Person, any Transferee that is an Affiliate of such Person. </w:t>
      </w:r>
    </w:p>
    <w:p>
      <w:pPr>
        <w:pStyle w:val="TextBody"/>
        <w:bidi w:val="0"/>
        <w:spacing w:before="240" w:after="0"/>
        <w:jc w:val="left"/>
        <w:rPr/>
      </w:pPr>
      <w:r>
        <w:rPr/>
        <w:t>“</w:t>
      </w:r>
      <w:r>
        <w:rPr>
          <w:rFonts w:ascii="Times New Roman" w:hAnsi="Times New Roman"/>
          <w:sz w:val="20"/>
          <w:u w:val="single"/>
        </w:rPr>
        <w:t>Automatic Shelf Registration Statement</w:t>
      </w:r>
      <w:r>
        <w:rPr>
          <w:rFonts w:ascii="Times New Roman" w:hAnsi="Times New Roman"/>
          <w:sz w:val="20"/>
        </w:rPr>
        <w:t xml:space="preserve">” shall have the meaning set forth in Rule 405.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of the year on which national banking institutions in New York are open to the public for conducting business and are not required or authorized to close. </w:t>
      </w:r>
    </w:p>
    <w:p>
      <w:pPr>
        <w:pStyle w:val="TextBody"/>
        <w:bidi w:val="0"/>
        <w:spacing w:before="240" w:after="0"/>
        <w:jc w:val="left"/>
        <w:rPr/>
      </w:pPr>
      <w:r>
        <w:rPr/>
        <w:t>“</w:t>
      </w:r>
      <w:r>
        <w:rPr>
          <w:rFonts w:ascii="Times New Roman" w:hAnsi="Times New Roman"/>
          <w:sz w:val="20"/>
          <w:u w:val="single"/>
        </w:rPr>
        <w:t>Charitable Gifting Event</w:t>
      </w:r>
      <w:r>
        <w:rPr>
          <w:rFonts w:ascii="Times New Roman" w:hAnsi="Times New Roman"/>
          <w:sz w:val="20"/>
        </w:rPr>
        <w:t xml:space="preserve">” means any transfer by a Holder, or any subsequent transfer by such Holder’s members, partners, or other employees, in connection with a bona fide gift to any Charitable Organization made on the date of, but prior to, the execution of the underwriting agreement entered into in connection with any Underwritten Offering. </w:t>
      </w:r>
    </w:p>
    <w:p>
      <w:pPr>
        <w:pStyle w:val="TextBody"/>
        <w:bidi w:val="0"/>
        <w:spacing w:before="240" w:after="0"/>
        <w:jc w:val="left"/>
        <w:rPr/>
      </w:pPr>
      <w:r>
        <w:rPr/>
        <w:t>“</w:t>
      </w:r>
      <w:r>
        <w:rPr>
          <w:rFonts w:ascii="Times New Roman" w:hAnsi="Times New Roman"/>
          <w:sz w:val="20"/>
          <w:u w:val="single"/>
        </w:rPr>
        <w:t>Charitable Organization</w:t>
      </w:r>
      <w:r>
        <w:rPr>
          <w:rFonts w:ascii="Times New Roman" w:hAnsi="Times New Roman"/>
          <w:sz w:val="20"/>
        </w:rPr>
        <w:t xml:space="preserve">” means a charitable organization as described by Section 501(c)(3) of the Internal Revenue Code of 1986, as in effect from time to time.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(i) or (</w:t>
      </w:r>
      <w:r>
        <w:rPr>
          <w:rFonts w:ascii="Times New Roman" w:hAnsi="Times New Roman"/>
          <w:sz w:val="20"/>
          <w:u w:val="single"/>
        </w:rPr>
        <w:t>ii</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Class A Common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Class B Common Stock</w:t>
      </w:r>
      <w:r>
        <w:rPr>
          <w:rFonts w:ascii="Times New Roman" w:hAnsi="Times New Roman"/>
          <w:sz w:val="20"/>
        </w:rPr>
        <w:t xml:space="preserve">” means the Company’s Class B common stock, par value $0.0001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Common Units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Company Indemnitee</w:t>
      </w:r>
      <w:r>
        <w:rPr>
          <w:rFonts w:ascii="Times New Roman" w:hAnsi="Times New Roman"/>
          <w:sz w:val="20"/>
        </w:rPr>
        <w:t xml:space="preserve">” has the meaning set forth in </w:t>
      </w:r>
      <w:r>
        <w:rPr>
          <w:rFonts w:ascii="Times New Roman" w:hAnsi="Times New Roman"/>
          <w:sz w:val="20"/>
          <w:u w:val="single"/>
        </w:rPr>
        <w:t>Section 2.09(f)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Public Sale</w:t>
      </w:r>
      <w:r>
        <w:rPr>
          <w:rFonts w:ascii="Times New Roman" w:hAnsi="Times New Roman"/>
          <w:sz w:val="20"/>
        </w:rPr>
        <w:t xml:space="preserve">” means any offering of the Company’s equity securities for its own account or for the account of any other Person(s). </w:t>
      </w:r>
    </w:p>
    <w:p>
      <w:pPr>
        <w:pStyle w:val="TextBody"/>
        <w:bidi w:val="0"/>
        <w:spacing w:before="240" w:after="0"/>
        <w:jc w:val="left"/>
        <w:rPr/>
      </w:pPr>
      <w:r>
        <w:rPr/>
        <w:t>“</w:t>
      </w:r>
      <w:r>
        <w:rPr>
          <w:rFonts w:ascii="Times New Roman" w:hAnsi="Times New Roman"/>
          <w:sz w:val="20"/>
          <w:u w:val="single"/>
        </w:rPr>
        <w:t>Company Shares</w:t>
      </w:r>
      <w:r>
        <w:rPr>
          <w:rFonts w:ascii="Times New Roman" w:hAnsi="Times New Roman"/>
          <w:sz w:val="20"/>
        </w:rPr>
        <w:t xml:space="preserve">” means shares of the Company’s Class A Common Stock, including any such shares issued or issuable upon the redemption or exchange of Common Units pursuant to the LLC Agreement, but excluding (i) any Common Units or other equity interests in Opco LLC or any of its Subsidiaries and (ii) any shares of Class B Common Stock of the Company. </w:t>
      </w:r>
    </w:p>
    <w:p>
      <w:pPr>
        <w:pStyle w:val="TextBody"/>
        <w:bidi w:val="0"/>
        <w:spacing w:before="240" w:after="0"/>
        <w:jc w:val="left"/>
        <w:rPr/>
      </w:pPr>
      <w:r>
        <w:rPr/>
        <w:t>“</w:t>
      </w:r>
      <w:r>
        <w:rPr>
          <w:rFonts w:ascii="Times New Roman" w:hAnsi="Times New Roman"/>
          <w:sz w:val="20"/>
          <w:u w:val="single"/>
        </w:rPr>
        <w:t>Company Share Equivalent</w:t>
      </w:r>
      <w:r>
        <w:rPr>
          <w:rFonts w:ascii="Times New Roman" w:hAnsi="Times New Roman"/>
          <w:sz w:val="20"/>
        </w:rPr>
        <w:t xml:space="preserve">” means securities exercisable, exchangeable or convertible into Company Shares. </w:t>
      </w:r>
    </w:p>
    <w:p>
      <w:pPr>
        <w:pStyle w:val="TextBody"/>
        <w:bidi w:val="0"/>
        <w:spacing w:before="240" w:after="0"/>
        <w:jc w:val="left"/>
        <w:rPr/>
      </w:pPr>
      <w:r>
        <w:rPr/>
        <w:t>“</w:t>
      </w:r>
      <w:r>
        <w:rPr>
          <w:rFonts w:ascii="Times New Roman" w:hAnsi="Times New Roman"/>
          <w:sz w:val="20"/>
          <w:u w:val="single"/>
        </w:rPr>
        <w:t>Demand Company Notice</w:t>
      </w:r>
      <w:r>
        <w:rPr>
          <w:rFonts w:ascii="Times New Roman" w:hAnsi="Times New Roman"/>
          <w:sz w:val="20"/>
        </w:rPr>
        <w:t xml:space="preserve">” has the meaning set forth in </w:t>
      </w:r>
      <w:r>
        <w:rPr>
          <w:rFonts w:ascii="Times New Roman" w:hAnsi="Times New Roman"/>
          <w:sz w:val="20"/>
          <w:u w:val="single"/>
        </w:rPr>
        <w:t>Section 2.01(c)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Demand Notice</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Demand Registration</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Demand Registration Statement</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Demand Suspension</w:t>
      </w:r>
      <w:r>
        <w:rPr>
          <w:rFonts w:ascii="Times New Roman" w:hAnsi="Times New Roman"/>
          <w:sz w:val="20"/>
        </w:rPr>
        <w:t xml:space="preserve">” has the meaning set forth in </w:t>
      </w:r>
      <w:r>
        <w:rPr>
          <w:rFonts w:ascii="Times New Roman" w:hAnsi="Times New Roman"/>
          <w:sz w:val="20"/>
          <w:u w:val="single"/>
        </w:rPr>
        <w:t>Section 2.01(d)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Eligibility Notice</w:t>
      </w:r>
      <w:r>
        <w:rPr>
          <w:rFonts w:ascii="Times New Roman" w:hAnsi="Times New Roman"/>
          <w:sz w:val="20"/>
        </w:rPr>
        <w:t xml:space="preserve">” has the meaning set forth in </w:t>
      </w:r>
      <w:r>
        <w:rPr>
          <w:rFonts w:ascii="Times New Roman" w:hAnsi="Times New Roman"/>
          <w:sz w:val="20"/>
          <w:u w:val="single"/>
        </w:rPr>
        <w:t>Section 2.02(a)(i)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as amended from time to time, or any successor federal law then in force, together with all rules and regulations promulgated thereunder.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Form S-1</w:t>
      </w:r>
      <w:r>
        <w:rPr>
          <w:rFonts w:ascii="Times New Roman" w:hAnsi="Times New Roman"/>
          <w:sz w:val="20"/>
        </w:rPr>
        <w:t xml:space="preserve">” means a registration statement on Form S-1 under the Securities Act, or any comparable or successor form or forms thereto. </w:t>
      </w:r>
    </w:p>
    <w:p>
      <w:pPr>
        <w:pStyle w:val="TextBody"/>
        <w:bidi w:val="0"/>
        <w:spacing w:before="240" w:after="0"/>
        <w:jc w:val="left"/>
        <w:rPr/>
      </w:pPr>
      <w:r>
        <w:rPr/>
        <w:t>“</w:t>
      </w:r>
      <w:r>
        <w:rPr>
          <w:rFonts w:ascii="Times New Roman" w:hAnsi="Times New Roman"/>
          <w:sz w:val="20"/>
          <w:u w:val="single"/>
        </w:rPr>
        <w:t>Form S-3</w:t>
      </w:r>
      <w:r>
        <w:rPr>
          <w:rFonts w:ascii="Times New Roman" w:hAnsi="Times New Roman"/>
          <w:sz w:val="20"/>
        </w:rPr>
        <w:t xml:space="preserve">” means a registration statement on Form S-3 under the Securities Act, or any comparable or successor form or forms thereto. </w:t>
      </w:r>
    </w:p>
    <w:p>
      <w:pPr>
        <w:pStyle w:val="TextBody"/>
        <w:bidi w:val="0"/>
        <w:spacing w:before="240" w:after="0"/>
        <w:jc w:val="left"/>
        <w:rPr/>
      </w:pPr>
      <w:r>
        <w:rPr/>
        <w:t>“</w:t>
      </w:r>
      <w:r>
        <w:rPr>
          <w:rFonts w:ascii="Times New Roman" w:hAnsi="Times New Roman"/>
          <w:sz w:val="20"/>
          <w:u w:val="single"/>
        </w:rPr>
        <w:t>Form S-4</w:t>
      </w:r>
      <w:r>
        <w:rPr>
          <w:rFonts w:ascii="Times New Roman" w:hAnsi="Times New Roman"/>
          <w:sz w:val="20"/>
        </w:rPr>
        <w:t xml:space="preserve">” means a registration statement on Form S-4 under the Securities Act, or any comparable or successor form or forms thereto. </w:t>
      </w:r>
    </w:p>
    <w:p>
      <w:pPr>
        <w:pStyle w:val="TextBody"/>
        <w:bidi w:val="0"/>
        <w:spacing w:before="240" w:after="0"/>
        <w:jc w:val="left"/>
        <w:rPr/>
      </w:pPr>
      <w:r>
        <w:rPr/>
        <w:t>“</w:t>
      </w:r>
      <w:r>
        <w:rPr>
          <w:rFonts w:ascii="Times New Roman" w:hAnsi="Times New Roman"/>
          <w:sz w:val="20"/>
          <w:u w:val="single"/>
        </w:rPr>
        <w:t>Form S-8</w:t>
      </w:r>
      <w:r>
        <w:rPr>
          <w:rFonts w:ascii="Times New Roman" w:hAnsi="Times New Roman"/>
          <w:sz w:val="20"/>
        </w:rPr>
        <w:t xml:space="preserve">” means a registration statement on Form S-8 under the Securities Act, or any comparable or successor form or forms thereto.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any Person that is a party to this Agreement from time to time, as set forth on the signature pages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 Fund</w:t>
      </w:r>
      <w:r>
        <w:rPr>
          <w:rFonts w:ascii="Times New Roman" w:hAnsi="Times New Roman"/>
          <w:sz w:val="20"/>
        </w:rPr>
        <w:t xml:space="preserve">” means, collectively, (x) a private equity or other investment fund that (A) makes investments in multiple portfolio companies and was not formed primarily to invest in the Company or its Subsidiaries or (B) is an alternative investment vehicle for a fund described in clause (A) and (y) any Person directly or indirectly wholly-owned by any private equity or other investment fund (or group of Affiliated private equity or other investment funds) described in clause (x) and/or any general partner or managing member who is an Affiliate thereof.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Issuer Free Writing Prospectus</w:t>
      </w:r>
      <w:r>
        <w:rPr>
          <w:rFonts w:ascii="Times New Roman" w:hAnsi="Times New Roman"/>
          <w:sz w:val="20"/>
        </w:rPr>
        <w:t xml:space="preserve">” means an issuer free writing prospectus, as defined in Rule 433 under the Securities Act, relating to an offer of Registrable Securities. </w:t>
      </w:r>
    </w:p>
    <w:p>
      <w:pPr>
        <w:pStyle w:val="TextBody"/>
        <w:bidi w:val="0"/>
        <w:spacing w:before="240" w:after="0"/>
        <w:jc w:val="left"/>
        <w:rPr/>
      </w:pPr>
      <w:r>
        <w:rPr/>
        <w:t>“</w:t>
      </w:r>
      <w:r>
        <w:rPr>
          <w:rFonts w:ascii="Times New Roman" w:hAnsi="Times New Roman"/>
          <w:sz w:val="20"/>
          <w:u w:val="single"/>
        </w:rPr>
        <w:t>Joinder</w:t>
      </w:r>
      <w:r>
        <w:rPr>
          <w:rFonts w:ascii="Times New Roman" w:hAnsi="Times New Roman"/>
          <w:sz w:val="20"/>
        </w:rPr>
        <w:t xml:space="preserve">” has the meaning set forth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LLC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Long-Form Registration</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Management Elective Redemption Date</w:t>
      </w:r>
      <w:r>
        <w:rPr>
          <w:rFonts w:ascii="Times New Roman" w:hAnsi="Times New Roman"/>
          <w:sz w:val="20"/>
        </w:rPr>
        <w:t xml:space="preserve">” has the meaning set forth in the LLC Agreement. </w:t>
      </w:r>
    </w:p>
    <w:p>
      <w:pPr>
        <w:pStyle w:val="TextBody"/>
        <w:bidi w:val="0"/>
        <w:spacing w:before="240" w:after="0"/>
        <w:jc w:val="left"/>
        <w:rPr/>
      </w:pPr>
      <w:r>
        <w:rPr/>
        <w:t>“</w:t>
      </w:r>
      <w:r>
        <w:rPr>
          <w:rFonts w:ascii="Times New Roman" w:hAnsi="Times New Roman"/>
          <w:sz w:val="20"/>
          <w:u w:val="single"/>
        </w:rPr>
        <w:t>Management Holdings Holder</w:t>
      </w:r>
      <w:r>
        <w:rPr>
          <w:rFonts w:ascii="Times New Roman" w:hAnsi="Times New Roman"/>
          <w:sz w:val="20"/>
        </w:rPr>
        <w:t xml:space="preserve">” shall mean, following the Management Elective Redemption Date, SOLV Energy Management Holdings LP. </w:t>
      </w:r>
    </w:p>
    <w:p>
      <w:pPr>
        <w:pStyle w:val="TextBody"/>
        <w:bidi w:val="0"/>
        <w:spacing w:before="240" w:after="0"/>
        <w:jc w:val="left"/>
        <w:rPr/>
      </w:pPr>
      <w:r>
        <w:rPr/>
        <w:t>“</w:t>
      </w:r>
      <w:r>
        <w:rPr>
          <w:rFonts w:ascii="Times New Roman" w:hAnsi="Times New Roman"/>
          <w:sz w:val="20"/>
          <w:u w:val="single"/>
        </w:rPr>
        <w:t>Marketed Underwritten Shelf Take-Down</w:t>
      </w:r>
      <w:r>
        <w:rPr>
          <w:rFonts w:ascii="Times New Roman" w:hAnsi="Times New Roman"/>
          <w:sz w:val="20"/>
        </w:rPr>
        <w:t xml:space="preserve">” has the meaning set forth in </w:t>
      </w:r>
      <w:r>
        <w:rPr>
          <w:rFonts w:ascii="Times New Roman" w:hAnsi="Times New Roman"/>
          <w:sz w:val="20"/>
          <w:u w:val="single"/>
        </w:rPr>
        <w:t>Section 2.02(e)(iii)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Marketed Underwritten Offering</w:t>
      </w:r>
      <w:r>
        <w:rPr>
          <w:rFonts w:ascii="Times New Roman" w:hAnsi="Times New Roman"/>
          <w:sz w:val="20"/>
        </w:rPr>
        <w:t xml:space="preserve">” means any Underwritten Offering (including a Marketed Underwritten Shelf Take-Down, but, for the avoidance of doubt, not including any Underwritten Block Trade. </w:t>
      </w:r>
    </w:p>
    <w:p>
      <w:pPr>
        <w:pStyle w:val="TextBody"/>
        <w:bidi w:val="0"/>
        <w:spacing w:before="240" w:after="0"/>
        <w:jc w:val="left"/>
        <w:rPr/>
      </w:pPr>
      <w:r>
        <w:rPr/>
        <w:t>“</w:t>
      </w:r>
      <w:r>
        <w:rPr>
          <w:rFonts w:ascii="Times New Roman" w:hAnsi="Times New Roman"/>
          <w:sz w:val="20"/>
          <w:u w:val="single"/>
        </w:rPr>
        <w:t>MNPI</w:t>
      </w:r>
      <w:r>
        <w:rPr>
          <w:rFonts w:ascii="Times New Roman" w:hAnsi="Times New Roman"/>
          <w:sz w:val="20"/>
        </w:rPr>
        <w:t xml:space="preserve">” means material non-public information within the meaning of Regulation FD promulgated under the Exchange Act. </w:t>
      </w:r>
    </w:p>
    <w:p>
      <w:pPr>
        <w:pStyle w:val="TextBody"/>
        <w:bidi w:val="0"/>
        <w:spacing w:before="240" w:after="0"/>
        <w:jc w:val="left"/>
        <w:rPr/>
      </w:pPr>
      <w:r>
        <w:rPr/>
        <w:t>“</w:t>
      </w:r>
      <w:r>
        <w:rPr>
          <w:rFonts w:ascii="Times New Roman" w:hAnsi="Times New Roman"/>
          <w:sz w:val="20"/>
          <w:u w:val="single"/>
        </w:rPr>
        <w:t>Opco LLC</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Opt-Out Request</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Participating Holder</w:t>
      </w:r>
      <w:r>
        <w:rPr>
          <w:rFonts w:ascii="Times New Roman" w:hAnsi="Times New Roman"/>
          <w:sz w:val="20"/>
        </w:rPr>
        <w:t xml:space="preserve">” means, with respect to any Registration, any Holder of Registrable Securities covered by the applicable Registration Statement. </w:t>
      </w:r>
    </w:p>
    <w:p>
      <w:pPr>
        <w:pStyle w:val="TextBody"/>
        <w:bidi w:val="0"/>
        <w:spacing w:before="240" w:after="0"/>
        <w:jc w:val="left"/>
        <w:rPr/>
      </w:pPr>
      <w:r>
        <w:rPr/>
        <w:t>“</w:t>
      </w:r>
      <w:r>
        <w:rPr>
          <w:rFonts w:ascii="Times New Roman" w:hAnsi="Times New Roman"/>
          <w:sz w:val="20"/>
          <w:u w:val="single"/>
        </w:rPr>
        <w:t>Permitted Transferee</w:t>
      </w:r>
      <w:r>
        <w:rPr>
          <w:rFonts w:ascii="Times New Roman" w:hAnsi="Times New Roman"/>
          <w:sz w:val="20"/>
        </w:rPr>
        <w:t xml:space="preserve">” shall have the meaning set forth in the LLC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partnership, a Company, a limited liability company, an association, a joint stock company, a trust, a joint venture, an unincorporated organization and a governmental entity or any department, agency or political subdivision thereof. </w:t>
      </w:r>
    </w:p>
    <w:p>
      <w:pPr>
        <w:pStyle w:val="TextBody"/>
        <w:bidi w:val="0"/>
        <w:spacing w:before="240" w:after="0"/>
        <w:jc w:val="left"/>
        <w:rPr/>
      </w:pPr>
      <w:r>
        <w:rPr/>
        <w:t>“</w:t>
      </w:r>
      <w:r>
        <w:rPr>
          <w:rFonts w:ascii="Times New Roman" w:hAnsi="Times New Roman"/>
          <w:sz w:val="20"/>
          <w:u w:val="single"/>
        </w:rPr>
        <w:t>Policies</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Rata Sponsor Holder Shelf Percentage</w:t>
      </w:r>
      <w:r>
        <w:rPr>
          <w:rFonts w:ascii="Times New Roman" w:hAnsi="Times New Roman"/>
          <w:sz w:val="20"/>
        </w:rPr>
        <w:t xml:space="preserve">” means, as of the date that the Sponsor Holders deliver a Shelf Notice to the Company pursuant to </w:t>
      </w:r>
      <w:r>
        <w:rPr>
          <w:rFonts w:ascii="Times New Roman" w:hAnsi="Times New Roman"/>
          <w:sz w:val="20"/>
          <w:u w:val="single"/>
        </w:rPr>
        <w:t>Section 2.02(a)</w:t>
      </w:r>
      <w:r>
        <w:rPr>
          <w:rFonts w:ascii="Times New Roman" w:hAnsi="Times New Roman"/>
          <w:sz w:val="20"/>
        </w:rPr>
        <w:t xml:space="preserve">, an amount equal to the fraction (expressed as a percentage) determined by dividing (i) the number of Registrable Securities held by the Sponsor Holders (and their respective Affiliates and Permitted Transferees) requested by the Sponsor Holders to be registered on the applicable Shelf Registration Statement as of such date by (ii) the total number of Registrable Securities held as of such date by the Sponsor Holders (and their respective Affiliates and Permitted Transferees). </w:t>
      </w:r>
    </w:p>
    <w:p>
      <w:pPr>
        <w:pStyle w:val="TextBody"/>
        <w:bidi w:val="0"/>
        <w:spacing w:before="240" w:after="0"/>
        <w:jc w:val="left"/>
        <w:rPr/>
      </w:pPr>
      <w:r>
        <w:rPr/>
        <w:t>“</w:t>
      </w:r>
      <w:r>
        <w:rPr>
          <w:rFonts w:ascii="Times New Roman" w:hAnsi="Times New Roman"/>
          <w:sz w:val="20"/>
          <w:u w:val="single"/>
        </w:rPr>
        <w:t>Pro Rata Shelf Percentage</w:t>
      </w:r>
      <w:r>
        <w:rPr>
          <w:rFonts w:ascii="Times New Roman" w:hAnsi="Times New Roman"/>
          <w:sz w:val="20"/>
        </w:rPr>
        <w:t xml:space="preserve">” means, as of any date, with respect to a Holder, a number of Registrable Securities equal to (i) the number of Registrable Securities held by such Holder as of such date multiplied by (ii) the Pro Rata Sponsor Holders Shelf Percentage for the applicable Shelf Registration Statement.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means the prospectus included in any Registration Statement, all amendments and supplements to such prospectus, including post- effective amendments, and all other material incorporated by reference in such prospectus. </w:t>
      </w:r>
    </w:p>
    <w:p>
      <w:pPr>
        <w:pStyle w:val="TextBody"/>
        <w:bidi w:val="0"/>
        <w:spacing w:before="240" w:after="0"/>
        <w:jc w:val="left"/>
        <w:rPr/>
      </w:pPr>
      <w:r>
        <w:rPr/>
        <w:t>“</w:t>
      </w:r>
      <w:r>
        <w:rPr>
          <w:rFonts w:ascii="Times New Roman" w:hAnsi="Times New Roman"/>
          <w:sz w:val="20"/>
          <w:u w:val="single"/>
        </w:rPr>
        <w:t>Public Offering</w:t>
      </w:r>
      <w:r>
        <w:rPr>
          <w:rFonts w:ascii="Times New Roman" w:hAnsi="Times New Roman"/>
          <w:sz w:val="20"/>
        </w:rPr>
        <w:t xml:space="preserve">” means any sale or distribution to the public of Capital Stock of the Company pursuant to an offering registered under the Securities Act, whether by the Company, by Holders and/or by any other holders of the Company’s Capital Stock.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means a registration effected pursuant to a registration statement filed with the SEC (the “</w:t>
      </w:r>
      <w:r>
        <w:rPr>
          <w:rFonts w:ascii="Times New Roman" w:hAnsi="Times New Roman"/>
          <w:sz w:val="20"/>
          <w:u w:val="single"/>
        </w:rPr>
        <w:t>Registration Statement</w:t>
      </w:r>
      <w:r>
        <w:rPr>
          <w:rFonts w:ascii="Times New Roman" w:hAnsi="Times New Roman"/>
          <w:sz w:val="20"/>
        </w:rPr>
        <w:t xml:space="preserve">”) in compliance with the Securities Act.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has the meaning set forth in </w:t>
      </w:r>
      <w:r>
        <w:rPr>
          <w:rFonts w:ascii="Times New Roman" w:hAnsi="Times New Roman"/>
          <w:sz w:val="20"/>
          <w:u w:val="single"/>
        </w:rPr>
        <w:t>Section 2.08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Registrable Securities</w:t>
      </w:r>
      <w:r>
        <w:rPr>
          <w:rFonts w:ascii="Times New Roman" w:hAnsi="Times New Roman"/>
          <w:sz w:val="20"/>
        </w:rPr>
        <w:t xml:space="preserve">” means (i) any Class A Common Stock issued by the Company in a Share Settlement in connection with (x) the redemption by Opco LLC of Common Units owned by any Holders or (y) at the election of the Company, in a direct exchange for Common Units owned by any Holder, in each case in accordance with the terms of the LLC Agreement, (ii) any Capital Stock of the Company or of any Subsidiary of the Company issued or issuable with respect to the securities referred to in clause (i) above by way of dividend, distribution, split or combination of securities, or any recapitalization, merger, consolidation or other reorganization, and (iii) any other Company Shares owned, directly or indirectly, by Holders. As to any particular Registrable Securities owned by any Person, such securities shall cease to be Registrable Securities (a) on the date such securities have been sold or distributed pursuant to a Public Offering, (b) on the date such securities have been sold in compliance with Rule 144 (or any successor rule or other exemption from the registration requirements of the Securities Act), (c) on the date such securities have been repurchased by the Company or a Subsidiary of the Company or otherwise cease to be outstanding, or (d) on the date the Holder which, together with his, her or its Permitted Transferees, beneficially owns less than one percent (1%) of the Capital Stock of the Company that is outstanding at such time or such Holder is able to dispose of all of its Registrable Securities pursuant to Rule 144 in a single transaction, either without regard to, or in compliance with, the volume limitation imposed by Rule 144(e)(1). For purposes of this Agreement, a Person shall be deemed to be a Holder, and the Registrable Securities shall be deemed to be in existence, whenever such Person has the right to acquire,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Registrable Securities (upon conversion or exercise in connection with a transfer of securities or otherwise, but disregarding any restrictions or limitations upon the exercise of such right), whether or not such acquisition has actually been effected, and such Person shall be entitled to exercise the rights of a holder of Registrable Securities hereunder; </w:t>
      </w:r>
      <w:r>
        <w:rPr>
          <w:rFonts w:ascii="Times New Roman" w:hAnsi="Times New Roman"/>
          <w:sz w:val="20"/>
          <w:u w:val="single"/>
        </w:rPr>
        <w:t>provided</w:t>
      </w:r>
      <w:r>
        <w:rPr>
          <w:rFonts w:ascii="Times New Roman" w:hAnsi="Times New Roman"/>
          <w:sz w:val="20"/>
        </w:rPr>
        <w:t xml:space="preserve"> a holder of Registrable Securities may only request that Registrable Securities in the form of Capital Stock of the Company that is registered as a class under Section 12 of the Exchange Act be registered pursuant to this Agreement. For the avoidance of doubt, while Common Units and shares of Class B Common Stock may constitute Registrable Securities, under no circumstances shall the Company be obligated to register Common Units or shares of Class B Common Stock, and only Company Shares issuable upon redemption or exchange of Common Units will be registered.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w:t>
      </w:r>
      <w:r>
        <w:rPr>
          <w:rFonts w:ascii="Times New Roman" w:hAnsi="Times New Roman"/>
          <w:sz w:val="20"/>
          <w:u w:val="single"/>
        </w:rPr>
        <w:t>Rule 405</w:t>
      </w:r>
      <w:r>
        <w:rPr>
          <w:rFonts w:ascii="Times New Roman" w:hAnsi="Times New Roman"/>
          <w:sz w:val="20"/>
        </w:rPr>
        <w:t>” and “</w:t>
      </w:r>
      <w:r>
        <w:rPr>
          <w:rFonts w:ascii="Times New Roman" w:hAnsi="Times New Roman"/>
          <w:sz w:val="20"/>
          <w:u w:val="single"/>
        </w:rPr>
        <w:t>Rule 415</w:t>
      </w:r>
      <w:r>
        <w:rPr>
          <w:rFonts w:ascii="Times New Roman" w:hAnsi="Times New Roman"/>
          <w:sz w:val="20"/>
        </w:rPr>
        <w:t xml:space="preserve">” mean, in each case, such rule promulgated under the Securities Act (or any successor provision) by the SEC, as the same shall be amended from time to time, or any successor rule then in force. </w:t>
      </w:r>
    </w:p>
    <w:p>
      <w:pPr>
        <w:pStyle w:val="TextBody"/>
        <w:bidi w:val="0"/>
        <w:spacing w:before="240" w:after="0"/>
        <w:jc w:val="left"/>
        <w:rPr/>
      </w:pPr>
      <w:r>
        <w:rPr/>
        <w:t>“</w:t>
      </w:r>
      <w:r>
        <w:rPr>
          <w:rFonts w:ascii="Times New Roman" w:hAnsi="Times New Roman"/>
          <w:sz w:val="20"/>
          <w:u w:val="single"/>
        </w:rPr>
        <w:t>S-3 Eligibility Date</w:t>
      </w:r>
      <w:r>
        <w:rPr>
          <w:rFonts w:ascii="Times New Roman" w:hAnsi="Times New Roman"/>
          <w:sz w:val="20"/>
        </w:rPr>
        <w:t xml:space="preserve">” has the meaning set forth in </w:t>
      </w:r>
      <w:r>
        <w:rPr>
          <w:rFonts w:ascii="Times New Roman" w:hAnsi="Times New Roman"/>
          <w:sz w:val="20"/>
          <w:u w:val="single"/>
        </w:rPr>
        <w:t>Section 2.02(a)(i)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S-3 Shelf Notice</w:t>
      </w:r>
      <w:r>
        <w:rPr>
          <w:rFonts w:ascii="Times New Roman" w:hAnsi="Times New Roman"/>
          <w:sz w:val="20"/>
        </w:rPr>
        <w:t xml:space="preserve">” has the meaning set forth in </w:t>
      </w:r>
      <w:r>
        <w:rPr>
          <w:rFonts w:ascii="Times New Roman" w:hAnsi="Times New Roman"/>
          <w:sz w:val="20"/>
          <w:u w:val="single"/>
        </w:rPr>
        <w:t>Section 2.02(a)(i)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as amended from time to time, or any successor federal law then in force, together with all rules and regulations promulgated thereunder.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Selling Stockholder Information</w:t>
      </w:r>
      <w:r>
        <w:rPr>
          <w:rFonts w:ascii="Times New Roman" w:hAnsi="Times New Roman"/>
          <w:sz w:val="20"/>
        </w:rPr>
        <w:t xml:space="preserve">” has the meaning set forth in </w:t>
      </w:r>
      <w:r>
        <w:rPr>
          <w:rFonts w:ascii="Times New Roman" w:hAnsi="Times New Roman"/>
          <w:sz w:val="20"/>
          <w:u w:val="single"/>
        </w:rPr>
        <w:t>Section 2.09(a)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Share Settlement</w:t>
      </w:r>
      <w:r>
        <w:rPr>
          <w:rFonts w:ascii="Times New Roman" w:hAnsi="Times New Roman"/>
          <w:sz w:val="20"/>
        </w:rPr>
        <w:t xml:space="preserve">” shall have the meaning set forth in the LLC Agreement. </w:t>
      </w:r>
    </w:p>
    <w:p>
      <w:pPr>
        <w:pStyle w:val="TextBody"/>
        <w:bidi w:val="0"/>
        <w:spacing w:before="240" w:after="0"/>
        <w:jc w:val="left"/>
        <w:rPr/>
      </w:pPr>
      <w:r>
        <w:rPr/>
        <w:t>“</w:t>
      </w:r>
      <w:r>
        <w:rPr>
          <w:rFonts w:ascii="Times New Roman" w:hAnsi="Times New Roman"/>
          <w:sz w:val="20"/>
          <w:u w:val="single"/>
        </w:rPr>
        <w:t>Shelf Holder</w:t>
      </w:r>
      <w:r>
        <w:rPr>
          <w:rFonts w:ascii="Times New Roman" w:hAnsi="Times New Roman"/>
          <w:sz w:val="20"/>
        </w:rPr>
        <w:t xml:space="preserve">” has the meaning set forth in </w:t>
      </w:r>
      <w:r>
        <w:rPr>
          <w:rFonts w:ascii="Times New Roman" w:hAnsi="Times New Roman"/>
          <w:sz w:val="20"/>
          <w:u w:val="single"/>
        </w:rPr>
        <w:t>Section 2.02(c)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Notice</w:t>
      </w:r>
      <w:r>
        <w:rPr>
          <w:rFonts w:ascii="Times New Roman" w:hAnsi="Times New Roman"/>
          <w:sz w:val="20"/>
        </w:rPr>
        <w:t xml:space="preserve">” has the meaning set forth in </w:t>
      </w:r>
      <w:r>
        <w:rPr>
          <w:rFonts w:ascii="Times New Roman" w:hAnsi="Times New Roman"/>
          <w:sz w:val="20"/>
          <w:u w:val="single"/>
        </w:rPr>
        <w:t>Section 2.02(a)(ii)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Period</w:t>
      </w:r>
      <w:r>
        <w:rPr>
          <w:rFonts w:ascii="Times New Roman" w:hAnsi="Times New Roman"/>
          <w:sz w:val="20"/>
        </w:rPr>
        <w:t xml:space="preserve">” has the meaning set forth in </w:t>
      </w:r>
      <w:r>
        <w:rPr>
          <w:rFonts w:ascii="Times New Roman" w:hAnsi="Times New Roman"/>
          <w:sz w:val="20"/>
          <w:u w:val="single"/>
        </w:rPr>
        <w:t>Section 2.02(a)(ii)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Shelf Registration Statement</w:t>
      </w:r>
      <w:r>
        <w:rPr>
          <w:rFonts w:ascii="Times New Roman" w:hAnsi="Times New Roman"/>
          <w:sz w:val="20"/>
        </w:rPr>
        <w:t xml:space="preserve">” means a Registration Statement of the Company filed with the SEC on either (i) Form S-3 (or any successor or similar short-form registration statement) or (ii) if the Company is not permitted to file a Registration Statement on Form S-3, a Registration Statement on Form S-1 (or any successor or similar registration statement), in each case, for an offering to be made on a delayed or continuous basis pursuant to Rule 415 under the Securities Act (or any similar rule that may be adopted by the SEC) covering all or any portion of the Registrable Securities, as applicable. </w:t>
      </w:r>
    </w:p>
    <w:p>
      <w:pPr>
        <w:pStyle w:val="TextBody"/>
        <w:bidi w:val="0"/>
        <w:spacing w:before="240" w:after="0"/>
        <w:jc w:val="left"/>
        <w:rPr/>
      </w:pPr>
      <w:r>
        <w:rPr/>
        <w:t>“</w:t>
      </w:r>
      <w:r>
        <w:rPr>
          <w:rFonts w:ascii="Times New Roman" w:hAnsi="Times New Roman"/>
          <w:sz w:val="20"/>
          <w:u w:val="single"/>
        </w:rPr>
        <w:t>Shelf Suspension</w:t>
      </w:r>
      <w:r>
        <w:rPr>
          <w:rFonts w:ascii="Times New Roman" w:hAnsi="Times New Roman"/>
          <w:sz w:val="20"/>
        </w:rPr>
        <w:t xml:space="preserve">” has the meaning set forth in </w:t>
      </w:r>
      <w:r>
        <w:rPr>
          <w:rFonts w:ascii="Times New Roman" w:hAnsi="Times New Roman"/>
          <w:sz w:val="20"/>
          <w:u w:val="single"/>
        </w:rPr>
        <w:t>Section 2.02(d)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Shelf Take-Down</w:t>
      </w:r>
      <w:r>
        <w:rPr>
          <w:rFonts w:ascii="Times New Roman" w:hAnsi="Times New Roman"/>
          <w:sz w:val="20"/>
        </w:rPr>
        <w:t xml:space="preserve">” means any offering or sale of Registrable Securities initiated by the Sponsor Holders pursuant to a Shelf Registration Statement. </w:t>
      </w:r>
    </w:p>
    <w:p>
      <w:pPr>
        <w:pStyle w:val="TextBody"/>
        <w:bidi w:val="0"/>
        <w:spacing w:before="240" w:after="0"/>
        <w:jc w:val="left"/>
        <w:rPr/>
      </w:pPr>
      <w:r>
        <w:rPr/>
        <w:t>“</w:t>
      </w:r>
      <w:r>
        <w:rPr>
          <w:rFonts w:ascii="Times New Roman" w:hAnsi="Times New Roman"/>
          <w:sz w:val="20"/>
          <w:u w:val="single"/>
        </w:rPr>
        <w:t>Short-Form Registration</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Registration</w:t>
      </w:r>
      <w:r>
        <w:rPr>
          <w:rFonts w:ascii="Times New Roman" w:hAnsi="Times New Roman"/>
          <w:sz w:val="20"/>
        </w:rPr>
        <w:t xml:space="preserve">” has the meaning set forth in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SOLV Energy Management Holdings LP</w:t>
      </w:r>
      <w:r>
        <w:rPr>
          <w:rFonts w:ascii="Times New Roman" w:hAnsi="Times New Roman"/>
          <w:sz w:val="20"/>
        </w:rPr>
        <w:t xml:space="preserve">” shall mean SOLV Energy Management Holdings LP, a Delaware limited partnership. Prior to the Management Elective Redemption Date, SOLV Energy Management Holdings LP shall be a Sponsor Holder. Following the Management Elective Redemption Date, SOLV Energy Management Holdings LP shall be the Management Holdings Holder. </w:t>
      </w:r>
    </w:p>
    <w:p>
      <w:pPr>
        <w:pStyle w:val="TextBody"/>
        <w:bidi w:val="0"/>
        <w:spacing w:before="240" w:after="0"/>
        <w:jc w:val="left"/>
        <w:rPr/>
      </w:pPr>
      <w:r>
        <w:rPr/>
        <w:t>“</w:t>
      </w:r>
      <w:r>
        <w:rPr>
          <w:rFonts w:ascii="Times New Roman" w:hAnsi="Times New Roman"/>
          <w:sz w:val="20"/>
          <w:u w:val="single"/>
        </w:rPr>
        <w:t>Sponsor Holders</w:t>
      </w:r>
      <w:r>
        <w:rPr>
          <w:rFonts w:ascii="Times New Roman" w:hAnsi="Times New Roman"/>
          <w:sz w:val="20"/>
        </w:rPr>
        <w:t xml:space="preserve">” means the entities set forth on Schedule I hereto and any of their respective Affiliates, any of their Permitted Transferees, Affiliate Transferees and any Affiliate Transferee of any of the foregoing; </w:t>
      </w:r>
      <w:r>
        <w:rPr>
          <w:rFonts w:ascii="Times New Roman" w:hAnsi="Times New Roman"/>
          <w:sz w:val="20"/>
          <w:u w:val="single"/>
        </w:rPr>
        <w:t>provided</w:t>
      </w:r>
      <w:r>
        <w:rPr>
          <w:rFonts w:ascii="Times New Roman" w:hAnsi="Times New Roman"/>
          <w:sz w:val="20"/>
        </w:rPr>
        <w:t xml:space="preserve">, however, that with respect to the SOLV Energy Management Holdings LP, such entity will cease to be a Sponsor Holder upon the Management Elective Redemption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the Company,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Company,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Company or (y) the Company or one of its Subsidiaries is the managing member, sole manager or general partner of such Person. </w:t>
      </w:r>
    </w:p>
    <w:p>
      <w:pPr>
        <w:pStyle w:val="TextBody"/>
        <w:bidi w:val="0"/>
        <w:spacing w:before="240" w:after="0"/>
        <w:jc w:val="left"/>
        <w:rPr/>
      </w:pPr>
      <w:r>
        <w:rPr/>
        <w:t>“</w:t>
      </w:r>
      <w:r>
        <w:rPr>
          <w:rFonts w:ascii="Times New Roman" w:hAnsi="Times New Roman"/>
          <w:sz w:val="20"/>
          <w:u w:val="single"/>
        </w:rPr>
        <w:t>Transferee</w:t>
      </w:r>
      <w:r>
        <w:rPr>
          <w:rFonts w:ascii="Times New Roman" w:hAnsi="Times New Roman"/>
          <w:sz w:val="20"/>
        </w:rPr>
        <w:t xml:space="preserve">” means any Person to whom any Holder directly or indirectly transfers Registrable Securities in accordance with the terms hereof. </w:t>
      </w:r>
    </w:p>
    <w:p>
      <w:pPr>
        <w:pStyle w:val="TextBody"/>
        <w:bidi w:val="0"/>
        <w:spacing w:before="240" w:after="0"/>
        <w:jc w:val="left"/>
        <w:rPr/>
      </w:pPr>
      <w:r>
        <w:rPr/>
        <w:t>“</w:t>
      </w:r>
      <w:r>
        <w:rPr>
          <w:rFonts w:ascii="Times New Roman" w:hAnsi="Times New Roman"/>
          <w:sz w:val="20"/>
          <w:u w:val="single"/>
        </w:rPr>
        <w:t>Underwritten Block Trade</w:t>
      </w:r>
      <w:r>
        <w:rPr>
          <w:rFonts w:ascii="Times New Roman" w:hAnsi="Times New Roman"/>
          <w:sz w:val="20"/>
        </w:rPr>
        <w:t xml:space="preserve">” means an offering and/or sale of Registrable Securities by one or more of the Holders on a block trade or underwritten basis (whether firm commitment or otherwise) without substantial marketing efforts prior to pricing, including, without limitation, a same day trade, overnight trade or similar transaction.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Registration in which securities of the Company are sold to an underwriter or underwriters on a firm commitment basis for reoffering to the public, including an Underwritten Shelf Take-Down and an Underwritten Block Trade. </w:t>
      </w:r>
    </w:p>
    <w:p>
      <w:pPr>
        <w:pStyle w:val="TextBody"/>
        <w:bidi w:val="0"/>
        <w:spacing w:before="240" w:after="0"/>
        <w:jc w:val="left"/>
        <w:rPr/>
      </w:pPr>
      <w:r>
        <w:rPr/>
        <w:t>“</w:t>
      </w:r>
      <w:r>
        <w:rPr>
          <w:rFonts w:ascii="Times New Roman" w:hAnsi="Times New Roman"/>
          <w:sz w:val="20"/>
          <w:u w:val="single"/>
        </w:rPr>
        <w:t>Underwritten Shelf Take-Down</w:t>
      </w:r>
      <w:r>
        <w:rPr>
          <w:rFonts w:ascii="Times New Roman" w:hAnsi="Times New Roman"/>
          <w:sz w:val="20"/>
        </w:rPr>
        <w:t xml:space="preserve">” has the meaning assigned to such term in </w:t>
      </w:r>
      <w:r>
        <w:rPr>
          <w:rFonts w:ascii="Times New Roman" w:hAnsi="Times New Roman"/>
          <w:sz w:val="20"/>
          <w:u w:val="single"/>
        </w:rPr>
        <w:t>Section 2.02(e)(iii)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Underwritten Shelf Take-Down Notice</w:t>
      </w:r>
      <w:r>
        <w:rPr>
          <w:rFonts w:ascii="Times New Roman" w:hAnsi="Times New Roman"/>
          <w:sz w:val="20"/>
        </w:rPr>
        <w:t xml:space="preserve">” has the meaning assigned to such term in </w:t>
      </w:r>
      <w:r>
        <w:rPr>
          <w:rFonts w:ascii="Times New Roman" w:hAnsi="Times New Roman"/>
          <w:sz w:val="20"/>
          <w:u w:val="single"/>
        </w:rPr>
        <w:t>Section 2.02(e)(ii)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WKSI</w:t>
      </w:r>
      <w:r>
        <w:rPr>
          <w:rFonts w:ascii="Times New Roman" w:hAnsi="Times New Roman"/>
          <w:sz w:val="20"/>
        </w:rPr>
        <w:t xml:space="preserve">” means a “well-known seasoned issuer” as defined under Rule 405.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Demand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Demand by Sponsor Holders</w:t>
      </w:r>
      <w:r>
        <w:rPr>
          <w:rFonts w:ascii="Times New Roman" w:hAnsi="Times New Roman"/>
          <w:sz w:val="20"/>
        </w:rPr>
        <w:t xml:space="preserve">. Following the IPO, at any time, any Sponsor Holder may make a written request, in each case, subject to </w:t>
      </w:r>
      <w:r>
        <w:rPr>
          <w:rFonts w:ascii="Times New Roman" w:hAnsi="Times New Roman"/>
          <w:sz w:val="20"/>
          <w:u w:val="single"/>
        </w:rPr>
        <w:t>Section 2.11</w:t>
      </w:r>
      <w:r>
        <w:rPr>
          <w:rFonts w:ascii="Times New Roman" w:hAnsi="Times New Roman"/>
          <w:sz w:val="20"/>
        </w:rPr>
        <w:t xml:space="preserve"> (a “</w:t>
      </w:r>
      <w:r>
        <w:rPr>
          <w:rFonts w:ascii="Times New Roman" w:hAnsi="Times New Roman"/>
          <w:sz w:val="20"/>
          <w:u w:val="single"/>
        </w:rPr>
        <w:t>Demand Notice</w:t>
      </w:r>
      <w:r>
        <w:rPr>
          <w:rFonts w:ascii="Times New Roman" w:hAnsi="Times New Roman"/>
          <w:sz w:val="20"/>
        </w:rPr>
        <w:t>”) to the Company for Registration of all or part of the Registrable Securities held by the Sponsor Holders (i) on Form S-1 (a “</w:t>
      </w:r>
      <w:r>
        <w:rPr>
          <w:rFonts w:ascii="Times New Roman" w:hAnsi="Times New Roman"/>
          <w:sz w:val="20"/>
          <w:u w:val="single"/>
        </w:rPr>
        <w:t>Long-Form Registration</w:t>
      </w:r>
      <w:r>
        <w:rPr>
          <w:rFonts w:ascii="Times New Roman" w:hAnsi="Times New Roman"/>
          <w:sz w:val="20"/>
        </w:rPr>
        <w:t>”), provided that the Sponsor Holders shall be limited to a total of three (3) such requests (or an unlimited number if the Sponsor Holder delivers a Demand Notice more than twelve calendar months following the IPO, but the Company is not eligible to Register on Form S-3 at the time of the delivery of the Demand Notice), or (ii) on Form S-3 (a “</w:t>
      </w:r>
      <w:r>
        <w:rPr>
          <w:rFonts w:ascii="Times New Roman" w:hAnsi="Times New Roman"/>
          <w:sz w:val="20"/>
          <w:u w:val="single"/>
        </w:rPr>
        <w:t>Short Form Registration</w:t>
      </w:r>
      <w:r>
        <w:rPr>
          <w:rFonts w:ascii="Times New Roman" w:hAnsi="Times New Roman"/>
          <w:sz w:val="20"/>
        </w:rPr>
        <w:t>”) if the Company qualifies to use such short form (any such requested Long-Form Registration or Short-Form Registration, a “</w:t>
      </w:r>
      <w:r>
        <w:rPr>
          <w:rFonts w:ascii="Times New Roman" w:hAnsi="Times New Roman"/>
          <w:sz w:val="20"/>
          <w:u w:val="single"/>
        </w:rPr>
        <w:t>Demand Registration</w:t>
      </w:r>
      <w:r>
        <w:rPr>
          <w:rFonts w:ascii="Times New Roman" w:hAnsi="Times New Roman"/>
          <w:sz w:val="20"/>
        </w:rPr>
        <w:t xml:space="preserve">”). Each Demand Notice shall specify the aggregate amount of Registrable Securities of the Sponsor Holders to be registered and the intended methods of disposition thereof. Subject to </w:t>
      </w:r>
      <w:r>
        <w:rPr>
          <w:rFonts w:ascii="Times New Roman" w:hAnsi="Times New Roman"/>
          <w:sz w:val="20"/>
          <w:u w:val="single"/>
        </w:rPr>
        <w:t>Section 2.11</w:t>
      </w:r>
      <w:r>
        <w:rPr>
          <w:rFonts w:ascii="Times New Roman" w:hAnsi="Times New Roman"/>
          <w:sz w:val="20"/>
        </w:rPr>
        <w:t>, after delivery of such Demand Notice, the Company (x) shall file promptly (and in any event, within (i) ninety (90) days in the case of a request for a Long-Form Registration or (ii) thirty (30) days in the case of a request for a Short-Form Registration, in each case following delivery of such Demand Notice) with the SEC a Registration Statement (which the Company shall designate as an automatically effective Registration Statement if the Company qualifies at such time to file such a Registration Statement) relating to such Demand Registration (a “</w:t>
      </w:r>
      <w:r>
        <w:rPr>
          <w:rFonts w:ascii="Times New Roman" w:hAnsi="Times New Roman"/>
          <w:sz w:val="20"/>
          <w:u w:val="single"/>
        </w:rPr>
        <w:t>Demand Registration Statement</w:t>
      </w:r>
      <w:r>
        <w:rPr>
          <w:rFonts w:ascii="Times New Roman" w:hAnsi="Times New Roman"/>
          <w:sz w:val="20"/>
        </w:rPr>
        <w:t xml:space="preserve">”), and (y) shall use its reasonable best efforts to cause such Demand Registration Statement to promptly be declared effective under (x) the Securities Act (if such Registration Statement is not automatically effective) and (y) the “Blue Sky” laws of such jurisdictions as any Participating Holder or any underwriter, if any, reasonably requests.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Demand Withdrawal</w:t>
      </w:r>
      <w:r>
        <w:rPr>
          <w:rFonts w:ascii="Times New Roman" w:hAnsi="Times New Roman"/>
          <w:sz w:val="20"/>
        </w:rPr>
        <w:t xml:space="preserve">. The Sponsor Holders may withdraw their Registrable Securities from a Demand Registration at any time prior to the effectiveness of the applicable Demand Registration Statement. Upon delivery of a notice by the Sponsor Holders to such effect, the Company shall cease all efforts to secure effectiveness of the applicable Demand Registration Statement. For the avoidance of doubt, the Sponsor Holders shall not have any liability or obligation to any other Holder following their determination to terminate, withdraw, and/or delay any Demand Registration initiated by them under this </w:t>
      </w:r>
      <w:r>
        <w:rPr>
          <w:rFonts w:ascii="Times New Roman" w:hAnsi="Times New Roman"/>
          <w:sz w:val="20"/>
          <w:u w:val="single"/>
        </w:rPr>
        <w:t>Section 2.01</w:t>
      </w:r>
      <w:r>
        <w:rPr>
          <w:rFonts w:ascii="Times New Roman" w:hAnsi="Times New Roman"/>
          <w:sz w:val="20"/>
        </w:rPr>
        <w:t xml:space="preserve">. Any withdrawal of a Demand Registration shall count as a Demand Registration for purposes of calculating the number of demands initiated by the Sponsor Holders unless the Company is reimbursed for its pro rata portion of the Registration Expenses incurred in such Demand Registration through the time of such withdrawal.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Demand Company Notice</w:t>
      </w:r>
      <w:r>
        <w:rPr>
          <w:rFonts w:ascii="Times New Roman" w:hAnsi="Times New Roman"/>
          <w:sz w:val="20"/>
        </w:rPr>
        <w:t xml:space="preserve">. Subject to </w:t>
      </w:r>
      <w:r>
        <w:rPr>
          <w:rFonts w:ascii="Times New Roman" w:hAnsi="Times New Roman"/>
          <w:sz w:val="20"/>
          <w:u w:val="single"/>
        </w:rPr>
        <w:t>Section 2.11,</w:t>
      </w:r>
      <w:r>
        <w:rPr>
          <w:rFonts w:ascii="Times New Roman" w:hAnsi="Times New Roman"/>
          <w:sz w:val="20"/>
        </w:rPr>
        <w:t xml:space="preserve"> promptly upon delivery of any Demand Notice (but in no event (i) more than two (2) Business Days following delivery of such Demand Notice or (ii) less than fifteen (15) Business Days prior to the anticipated filing date of such Demand Registration Statement ), the Company shall deliver a written notice (a “</w:t>
      </w:r>
      <w:r>
        <w:rPr>
          <w:rFonts w:ascii="Times New Roman" w:hAnsi="Times New Roman"/>
          <w:sz w:val="20"/>
          <w:u w:val="single"/>
        </w:rPr>
        <w:t>Demand Company Notice</w:t>
      </w:r>
      <w:r>
        <w:rPr>
          <w:rFonts w:ascii="Times New Roman" w:hAnsi="Times New Roman"/>
          <w:sz w:val="20"/>
        </w:rPr>
        <w:t xml:space="preserve">”) of any such Registration request to all Holders (other than the Sponsor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exercising demand rights pursuant to</w:t>
      </w:r>
      <w:r>
        <w:rPr>
          <w:rFonts w:ascii="Times New Roman" w:hAnsi="Times New Roman"/>
          <w:sz w:val="20"/>
          <w:u w:val="single"/>
        </w:rPr>
        <w:t> Section 2.01(a)</w:t>
      </w:r>
      <w:r>
        <w:rPr>
          <w:rFonts w:ascii="Times New Roman" w:hAnsi="Times New Roman"/>
          <w:sz w:val="20"/>
        </w:rPr>
        <w:t xml:space="preserve">), and the Company shall include in such Demand Registration all such Registrable Securities of such Holders which the Company has received written requests for inclusion therein within fifteen (15) days after the date that such Demand Company Notice has been delivered. All requests made pursuant to this </w:t>
      </w:r>
      <w:r>
        <w:rPr>
          <w:rFonts w:ascii="Times New Roman" w:hAnsi="Times New Roman"/>
          <w:sz w:val="20"/>
          <w:u w:val="single"/>
        </w:rPr>
        <w:t>Section 2.01(c)</w:t>
      </w:r>
      <w:r>
        <w:rPr>
          <w:rFonts w:ascii="Times New Roman" w:hAnsi="Times New Roman"/>
          <w:sz w:val="20"/>
        </w:rPr>
        <w:t xml:space="preserve"> shall specify the aggregate amount of Registrable Securities of such Holder to be registered. For the avoidance of doubt, the Management Holdings Holder following the Management Elective Redemption Date shall not be entitled to receive notice pursuant to this Section 2.01(c) nor participate in any Demand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Filing; Suspension of Registration</w:t>
      </w:r>
      <w:r>
        <w:rPr>
          <w:rFonts w:ascii="Times New Roman" w:hAnsi="Times New Roman"/>
          <w:sz w:val="20"/>
        </w:rPr>
        <w:t>. If the Company shall furnish to the Participating Holders a certificate signed by the Chief Executive Officer or equivalent senior executive officer of the Company stating that the filing, effectiveness, or continued use of a Demand Registration Statement would require the Company to make an Adverse Disclosure, then the Company may delay the filing (but not the preparation of) or initial effectiveness of, or suspend use of, the Demand Registration Statement (a “</w:t>
      </w:r>
      <w:r>
        <w:rPr>
          <w:rFonts w:ascii="Times New Roman" w:hAnsi="Times New Roman"/>
          <w:sz w:val="20"/>
          <w:u w:val="single"/>
        </w:rPr>
        <w:t>Demand Suspension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unless otherwise approved in writing by the Sponsor Holders exercising demand rights pursuant to Section 2.01(a), shall not be permitted to exercise a Demand Suspension or Shelf Suspension more than once, or for more than sixty (60) days, in each case, during any twelve (12) month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 Demand Suspension, such Demand Suspension shall terminate at such earlier time as the Company would no longer be required to make any Adverse Disclosure. Each Participating Holder shall keep confidential the fact that a Demand Suspension is in effect, the certificate referred to above and its contents unless and until otherwise notified by the Company, except (A) for disclosure to such Participating Holder’s employees, agents, and professional advisers who reasonably need to know such information for purposes of assisting the Participating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Participating Holder, was not subject to an obligation or duty of confidentiality to the Company and its Subsidiaries, (D) as required by law, rule, or regulation, (E) for disclosures to potential limited partners or investors of a Participating Holder who have agreed to keep such information confidential, and (F) for disclosures to potential transferees of a Holder’s Registrable Securities who have agreed to keep such information confidential. In the case of a Demand Suspension, the Participating Holders agree to suspend use of the applicable Prospectus and any Issuer Free Writing Prospectus in connection with any sale or purchase of, or offer to sell or purchase, Registrable Securities, upon delivery of the notice referred to above. The Company shall immediately notify the Participating Holders upon the termination of any Demand Suspension, and (i) in the case of a Demand Registration Statement that has not been declared effective, shall promptly thereafter file the Demand Registration Statement and use its reasonable best efforts to have such Demand Registration Statement declared effective under the Securities Act and (ii) in the case of an effective Demand Registration Statement, shall amend or supplement the Prospectus and any Issuer Free Writing Prospectus, if necessary, so it does not contain any untrue statement of a material fact or omit to state a material fact required to be stated therein or necessary to make the statements therein not misleading and furnish to the Participating Holders such numbers of copies of the Prospectus and any Issuer Free Writing Prospectus as so amended or supplemented as the Participating Holders may reasonably request. The Company agrees, if necessary,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or make amendments to the Demand Registration Statement if required by the registration form used by the Company for the applicable Registration or by the instructions applicable to such registration form or by the Securities Act, or as may reasonably be requested by the Sponsor Holders exercising demand rights pursuant to Section 2.01(a).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Underwritten Offering</w:t>
      </w:r>
      <w:r>
        <w:rPr>
          <w:rFonts w:ascii="Times New Roman" w:hAnsi="Times New Roman"/>
          <w:sz w:val="20"/>
        </w:rPr>
        <w:t>. If the Sponsor Holders exercising demand rights pursuant to</w:t>
      </w:r>
      <w:r>
        <w:rPr>
          <w:rFonts w:ascii="Times New Roman" w:hAnsi="Times New Roman"/>
          <w:sz w:val="20"/>
          <w:u w:val="single"/>
        </w:rPr>
        <w:t> Section 2.01(a)</w:t>
      </w:r>
      <w:r>
        <w:rPr>
          <w:rFonts w:ascii="Times New Roman" w:hAnsi="Times New Roman"/>
          <w:sz w:val="20"/>
        </w:rPr>
        <w:t xml:space="preserve"> so request, an offering of Registrable Securities pursuant to a Demand Registration shall be in the form of an Underwritten Offering, and such Sponsor Holders shall have the right to select the managing underwriter or underwriters to administer the offering. If such Sponsor Holders intend to sell the Registrable Securities covered by their demand by means of an Underwritten Offering, such Sponsor Holders shall so advise the Company as part of its Demand Notice, and the Company shall include such information in the Demand Company Notice.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Priority of Securities Registered Pursuant to Demand Registrations</w:t>
      </w:r>
      <w:r>
        <w:rPr>
          <w:rFonts w:ascii="Times New Roman" w:hAnsi="Times New Roman"/>
          <w:sz w:val="20"/>
        </w:rPr>
        <w:t>. If the managing underwriter or underwriters of a proposed Underwritten Offering of the Registrable Securities included in a Demand Registration advise the Board of Directors in writing (with a copy provided to the Sponsor Holders requesting participation in such Demand Registration) that, in its or their opinion, the number of securities requested to be included in such Demand Registration exceeds the number which can be sold in such offering without being likely to have a significant adverse effect on the price, timing, or distribution of the securities offered or the market for the securities offered, the securities to be included in such Demand Registration (i)</w:t>
      </w:r>
      <w:r>
        <w:rPr>
          <w:rFonts w:ascii="Times New Roman" w:hAnsi="Times New Roman"/>
          <w:sz w:val="20"/>
          <w:u w:val="single"/>
        </w:rPr>
        <w:t> first</w:t>
      </w:r>
      <w:r>
        <w:rPr>
          <w:rFonts w:ascii="Times New Roman" w:hAnsi="Times New Roman"/>
          <w:sz w:val="20"/>
        </w:rPr>
        <w:t xml:space="preserve">, shall be allocated </w:t>
      </w:r>
      <w:r>
        <w:rPr>
          <w:rFonts w:ascii="Times New Roman" w:hAnsi="Times New Roman"/>
          <w:sz w:val="20"/>
          <w:u w:val="single"/>
        </w:rPr>
        <w:t>pro rata</w:t>
      </w:r>
      <w:r>
        <w:rPr>
          <w:rFonts w:ascii="Times New Roman" w:hAnsi="Times New Roman"/>
          <w:sz w:val="20"/>
        </w:rPr>
        <w:t xml:space="preserve"> among the Sponsor Holders that have requested to participate in such Demand Registration based on the relative number of Registrable Securities then held by each such Sponsor Holder (</w:t>
      </w:r>
      <w:r>
        <w:rPr>
          <w:rFonts w:ascii="Times New Roman" w:hAnsi="Times New Roman"/>
          <w:sz w:val="20"/>
          <w:u w:val="single"/>
        </w:rPr>
        <w:t>provided</w:t>
      </w:r>
      <w:r>
        <w:rPr>
          <w:rFonts w:ascii="Times New Roman" w:hAnsi="Times New Roman"/>
          <w:sz w:val="20"/>
        </w:rPr>
        <w:t>, that any securities thereby allocated to a Sponsor Holder that exceed such Sponsor Holder’s request shall be reallocated among the remaining requesting Sponsor Holders in like manner), (ii)</w:t>
      </w:r>
      <w:r>
        <w:rPr>
          <w:rFonts w:ascii="Times New Roman" w:hAnsi="Times New Roman"/>
          <w:sz w:val="20"/>
          <w:u w:val="single"/>
        </w:rPr>
        <w:t> second</w:t>
      </w:r>
      <w:r>
        <w:rPr>
          <w:rFonts w:ascii="Times New Roman" w:hAnsi="Times New Roman"/>
          <w:sz w:val="20"/>
        </w:rPr>
        <w:t xml:space="preserve">, and only if all the securities referred to in clause (i) have been included in such Demand Registration, shall be allocated </w:t>
      </w:r>
      <w:r>
        <w:rPr>
          <w:rFonts w:ascii="Times New Roman" w:hAnsi="Times New Roman"/>
          <w:sz w:val="20"/>
          <w:u w:val="single"/>
        </w:rPr>
        <w:t>pro rata</w:t>
      </w:r>
      <w:r>
        <w:rPr>
          <w:rFonts w:ascii="Times New Roman" w:hAnsi="Times New Roman"/>
          <w:sz w:val="20"/>
        </w:rPr>
        <w:t xml:space="preserve"> among the Holders (excluding the Sponsor Holders, as applicable) that have requested to participate in such Demand Registration based on the relative number of Registrable Securities then held by each such Holder (</w:t>
      </w:r>
      <w:r>
        <w:rPr>
          <w:rFonts w:ascii="Times New Roman" w:hAnsi="Times New Roman"/>
          <w:sz w:val="20"/>
          <w:u w:val="single"/>
        </w:rPr>
        <w:t>provided</w:t>
      </w:r>
      <w:r>
        <w:rPr>
          <w:rFonts w:ascii="Times New Roman" w:hAnsi="Times New Roman"/>
          <w:sz w:val="20"/>
        </w:rPr>
        <w:t>, that any securities thereby allocated to a Holder that exceed such Holder’s request shall be reallocated among the remaining requesting Holders in like manner), (iii)</w:t>
      </w:r>
      <w:r>
        <w:rPr>
          <w:rFonts w:ascii="Times New Roman" w:hAnsi="Times New Roman"/>
          <w:sz w:val="20"/>
          <w:u w:val="single"/>
        </w:rPr>
        <w:t> third</w:t>
      </w:r>
      <w:r>
        <w:rPr>
          <w:rFonts w:ascii="Times New Roman" w:hAnsi="Times New Roman"/>
          <w:sz w:val="20"/>
        </w:rPr>
        <w:t>, and only if all the securities referred to in clause (ii) have been included in such Demand Registration, the number of securities that the Company proposes to include in such Demand Registration that, in the opinion of the managing underwriter or underwriters, can be sold without having such adverse effect, and (iv)</w:t>
      </w:r>
      <w:r>
        <w:rPr>
          <w:rFonts w:ascii="Times New Roman" w:hAnsi="Times New Roman"/>
          <w:sz w:val="20"/>
          <w:u w:val="single"/>
        </w:rPr>
        <w:t> fourth</w:t>
      </w:r>
      <w:r>
        <w:rPr>
          <w:rFonts w:ascii="Times New Roman" w:hAnsi="Times New Roman"/>
          <w:sz w:val="20"/>
        </w:rPr>
        <w:t xml:space="preserve">, and only if all of the securities referred to in clause (iii) have been included in such Demand Registration, any other securities eligible for inclusion in such Demand Registration that, in the opinion of the managing underwriter or underwriters, can be sold without having such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Filing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Following the IPO, the Company shall use its reasonable best efforts to qualify for Registration on Form S-3 for secondary sales. At least ten (10) days prior to the date on which the Company anticipates becoming eligible to Register on Form S-3 (the “</w:t>
      </w:r>
      <w:r>
        <w:rPr>
          <w:rFonts w:ascii="Times New Roman" w:hAnsi="Times New Roman"/>
          <w:sz w:val="20"/>
          <w:u w:val="single"/>
        </w:rPr>
        <w:t>S-3 Eligibility Date</w:t>
      </w:r>
      <w:r>
        <w:rPr>
          <w:rFonts w:ascii="Times New Roman" w:hAnsi="Times New Roman"/>
          <w:sz w:val="20"/>
        </w:rPr>
        <w:t xml:space="preserve">”), the Company shall notify, in writing, the Sponsor Holders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eligibility and its intention to file and maintain a Shelf Registration Statement on Form S-3 covering the Registrable Securities held by the Sponsor Holders (the “</w:t>
      </w:r>
      <w:r>
        <w:rPr>
          <w:rFonts w:ascii="Times New Roman" w:hAnsi="Times New Roman"/>
          <w:sz w:val="20"/>
          <w:u w:val="single"/>
        </w:rPr>
        <w:t>Eligibility Notice</w:t>
      </w:r>
      <w:r>
        <w:rPr>
          <w:rFonts w:ascii="Times New Roman" w:hAnsi="Times New Roman"/>
          <w:sz w:val="20"/>
        </w:rPr>
        <w:t>”). Promptly following receipt of such Eligibility Notice (but in no event more than five (5) days after receipt of such Eligibility Notice), the Sponsor Holders shall deliver a written notice to the Company, which notice shall specify the aggregate amount of Registrable Securities held by the Sponsor Holders to be covered by such Shelf Registration Statement and the intended methods of distribution thereof (the “</w:t>
      </w:r>
      <w:r>
        <w:rPr>
          <w:rFonts w:ascii="Times New Roman" w:hAnsi="Times New Roman"/>
          <w:sz w:val="20"/>
          <w:u w:val="single"/>
        </w:rPr>
        <w:t>S-3 Shelf Notice</w:t>
      </w:r>
      <w:r>
        <w:rPr>
          <w:rFonts w:ascii="Times New Roman" w:hAnsi="Times New Roman"/>
          <w:sz w:val="20"/>
        </w:rPr>
        <w:t xml:space="preserve">”). Following delivery of the S-3 Shelf Notice, the Company (x) shall file promptly (any, in any event, within the earlier of (i) thirty (30) days of receipt of the S-3 Shelf Notice and (ii) forty (40) days after delivery of the Eligibility Notice) with the SEC such Shelf Registration Statement (which shall be an Automatic Shelf Registration Statement if the Company qualifies at such time to file such a Shelf Registration Statement) relating to the offer and sale of all Registrable Securities requested for inclusion therein by the Sponsor Holders and, to the extent requested under </w:t>
      </w:r>
      <w:r>
        <w:rPr>
          <w:rFonts w:ascii="Times New Roman" w:hAnsi="Times New Roman"/>
          <w:sz w:val="20"/>
          <w:u w:val="single"/>
        </w:rPr>
        <w:t>Section 2.02(c)</w:t>
      </w:r>
      <w:r>
        <w:rPr>
          <w:rFonts w:ascii="Times New Roman" w:hAnsi="Times New Roman"/>
          <w:sz w:val="20"/>
        </w:rPr>
        <w:t xml:space="preserve">, the other Holders from time to time in accordance with the methods of distribution elected by such Holders (to the extent permitted in this </w:t>
      </w:r>
      <w:r>
        <w:rPr>
          <w:rFonts w:ascii="Times New Roman" w:hAnsi="Times New Roman"/>
          <w:sz w:val="20"/>
          <w:u w:val="single"/>
        </w:rPr>
        <w:t>Section 2.02</w:t>
      </w:r>
      <w:r>
        <w:rPr>
          <w:rFonts w:ascii="Times New Roman" w:hAnsi="Times New Roman"/>
          <w:sz w:val="20"/>
        </w:rPr>
        <w:t xml:space="preserve">) and set forth in the Shelf Registration Statement and (y) shall use its reasonable best efforts to cause such Shelf Registration Statement to be promptly declared effective under the Securities Act (including upon the filing thereof if the Company qualifies to file an Automatic Shelf Registration Statement);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Sponsor Holder reasonably believes that the Company will become S-3 eligible and delivers an S-3 Shelf Notice following the IPO but prior to the S-3 Eligibility Date, the Company shall not be obligated to file (but shall be obligated to prepare) such Shelf Registration Statement on Form S-3. If the Company then qualifies as a WKSI, then if requested by the Sponsor Holders holding a majority of the Registrable Securities then held by the Sponsor Holders, the Shelf Registration Statement shall include an unspecified amount of Registrable Securities to be sold by unspecified Holders.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right to deliver a Shelf Notice in the manner contemplated by the first proviso below, at any time following the end of the twelfth calendar month following the IPO, to the extent that the Company is not eligible to file or maintain a Shelf Registration Statement on Form S-3 as contemplated by </w:t>
      </w:r>
      <w:r>
        <w:rPr>
          <w:rFonts w:ascii="Times New Roman" w:hAnsi="Times New Roman"/>
          <w:sz w:val="20"/>
          <w:u w:val="single"/>
        </w:rPr>
        <w:t>Section 2.02(a)(i)</w:t>
      </w:r>
      <w:r>
        <w:rPr>
          <w:rFonts w:ascii="Times New Roman" w:hAnsi="Times New Roman"/>
          <w:sz w:val="20"/>
        </w:rPr>
        <w:t xml:space="preserve">, the Sponsor Holders may, subject to </w:t>
      </w:r>
      <w:r>
        <w:rPr>
          <w:rFonts w:ascii="Times New Roman" w:hAnsi="Times New Roman"/>
          <w:sz w:val="20"/>
          <w:u w:val="single"/>
        </w:rPr>
        <w:t>Section 2.11,</w:t>
      </w:r>
      <w:r>
        <w:rPr>
          <w:rFonts w:ascii="Times New Roman" w:hAnsi="Times New Roman"/>
          <w:sz w:val="20"/>
        </w:rPr>
        <w:t xml:space="preserve"> make a written request to the Company to file a Shelf Registration Statement on Form S-1 (a “</w:t>
      </w:r>
      <w:r>
        <w:rPr>
          <w:rFonts w:ascii="Times New Roman" w:hAnsi="Times New Roman"/>
          <w:sz w:val="20"/>
          <w:u w:val="single"/>
        </w:rPr>
        <w:t>Shelf Notice</w:t>
      </w:r>
      <w:r>
        <w:rPr>
          <w:rFonts w:ascii="Times New Roman" w:hAnsi="Times New Roman"/>
          <w:sz w:val="20"/>
        </w:rPr>
        <w:t xml:space="preserve">”), which Shelf Notice shall specify the aggregate amount of Registrable Securities of the Sponsor Holders to be registered therein and the intended methods of distribution thereof. Following the delivery of a Shelf Notice, the Company (x) shall file promptly with the SEC such Shelf Registration Statement relating to the offer and sale of all Registrable Securities requested for inclusion therein by the Sponsor Holders and, to the extent requested under </w:t>
      </w:r>
      <w:r>
        <w:rPr>
          <w:rFonts w:ascii="Times New Roman" w:hAnsi="Times New Roman"/>
          <w:sz w:val="20"/>
          <w:u w:val="single"/>
        </w:rPr>
        <w:t>Section 2.02(c)</w:t>
      </w:r>
      <w:r>
        <w:rPr>
          <w:rFonts w:ascii="Times New Roman" w:hAnsi="Times New Roman"/>
          <w:sz w:val="20"/>
        </w:rPr>
        <w:t xml:space="preserve">, the other Holders from time to time in accordance with the methods of distribution elected by such Holders (to the extent permitted in this </w:t>
      </w:r>
      <w:r>
        <w:rPr>
          <w:rFonts w:ascii="Times New Roman" w:hAnsi="Times New Roman"/>
          <w:sz w:val="20"/>
          <w:u w:val="single"/>
        </w:rPr>
        <w:t>Section 2.02</w:t>
      </w:r>
      <w:r>
        <w:rPr>
          <w:rFonts w:ascii="Times New Roman" w:hAnsi="Times New Roman"/>
          <w:sz w:val="20"/>
        </w:rPr>
        <w:t>) and set forth in the Shelf Registration Statement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Shelf Notice is delivered prior to the end of the twelfth calendar month following the IPO, the Company shall not be obligated to file (but shall be obligated to prepare) such Shelf Registration Statement prior to the end of the twelfth calendar month following the IPO) and (y) shall use its reasonable best efforts to cause such Shelf Registration Statement to be promptly declared effective under the Securities Act. If, on the date of any such request (or, in the event of a request that is delivered prior to the end of the twelfth calendar month following the IPO, on the first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thirteenth calendar month following the IPO), the Company does not qualify to file a Shelf Registration Statement under the Securities Act, the provisions of this </w:t>
      </w:r>
      <w:r>
        <w:rPr>
          <w:rFonts w:ascii="Times New Roman" w:hAnsi="Times New Roman"/>
          <w:sz w:val="20"/>
          <w:u w:val="single"/>
        </w:rPr>
        <w:t>Section 2.02</w:t>
      </w:r>
      <w:r>
        <w:rPr>
          <w:rFonts w:ascii="Times New Roman" w:hAnsi="Times New Roman"/>
          <w:sz w:val="20"/>
        </w:rPr>
        <w:t xml:space="preserve"> shall not apply, and the provisions of </w:t>
      </w:r>
      <w:r>
        <w:rPr>
          <w:rFonts w:ascii="Times New Roman" w:hAnsi="Times New Roman"/>
          <w:sz w:val="20"/>
          <w:u w:val="single"/>
        </w:rPr>
        <w:t>Section 2.01</w:t>
      </w:r>
      <w:r>
        <w:rPr>
          <w:rFonts w:ascii="Times New Roman" w:hAnsi="Times New Roman"/>
          <w:sz w:val="20"/>
        </w:rPr>
        <w:t xml:space="preserve"> shall apply instead; </w:t>
      </w:r>
      <w:r>
        <w:rPr>
          <w:rFonts w:ascii="Times New Roman" w:hAnsi="Times New Roman"/>
          <w:sz w:val="20"/>
          <w:u w:val="single"/>
        </w:rPr>
        <w:t>provided</w:t>
      </w:r>
      <w:r>
        <w:rPr>
          <w:rFonts w:ascii="Times New Roman" w:hAnsi="Times New Roman"/>
          <w:sz w:val="20"/>
        </w:rPr>
        <w:t xml:space="preserve"> that the limitations on the number of Demand Registrations for the Sponsor Holders shall not apply.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Continued Effectiveness</w:t>
      </w:r>
      <w:r>
        <w:rPr>
          <w:rFonts w:ascii="Times New Roman" w:hAnsi="Times New Roman"/>
          <w:sz w:val="20"/>
        </w:rPr>
        <w:t xml:space="preserve">. The Company shall use its reasonable best efforts to keep any Shelf Registration Statement filed pursuant to this </w:t>
      </w:r>
      <w:r>
        <w:rPr>
          <w:rFonts w:ascii="Times New Roman" w:hAnsi="Times New Roman"/>
          <w:sz w:val="20"/>
          <w:u w:val="single"/>
        </w:rPr>
        <w:t>Section 2.02(a)</w:t>
      </w:r>
      <w:r>
        <w:rPr>
          <w:rFonts w:ascii="Times New Roman" w:hAnsi="Times New Roman"/>
          <w:sz w:val="20"/>
        </w:rPr>
        <w:t xml:space="preserve"> hereof, including any replacement or additional Shelf Registration Statement, continuously effective under the Securities Act in order to permit the Prospectus forming a part thereof to be usable by the Shelf Holders until the earlier of (i) the date as of which all Registrable Securities registered by such Shelf Registration Statement have been sold or cease to be Registrable Securities or (ii) such shorter period as the Sponsor Holders with respect to such Shelf Registration shall agree in writing (such period of effectiveness, the “</w:t>
      </w:r>
      <w:r>
        <w:rPr>
          <w:rFonts w:ascii="Times New Roman" w:hAnsi="Times New Roman"/>
          <w:sz w:val="20"/>
          <w:u w:val="single"/>
        </w:rPr>
        <w:t>Shelf Period</w:t>
      </w:r>
      <w:r>
        <w:rPr>
          <w:rFonts w:ascii="Times New Roman" w:hAnsi="Times New Roman"/>
          <w:sz w:val="20"/>
        </w:rPr>
        <w:t xml:space="preserve">”). Subject to </w:t>
      </w:r>
      <w:r>
        <w:rPr>
          <w:rFonts w:ascii="Times New Roman" w:hAnsi="Times New Roman"/>
          <w:sz w:val="20"/>
          <w:u w:val="single"/>
        </w:rPr>
        <w:t>Section 2.02(d)</w:t>
      </w:r>
      <w:r>
        <w:rPr>
          <w:rFonts w:ascii="Times New Roman" w:hAnsi="Times New Roman"/>
          <w:sz w:val="20"/>
        </w:rPr>
        <w:t xml:space="preserve">, the Company shall not be deemed to have used its reasonable best efforts to keep the Shelf Registration Statement effective during the Shelf Period if the Company voluntarily takes any action or omits to take any action that would result in Shelf Holders not being able to offer and sell any Registrable Securities pursuant to such Shelf Registration Statement during the Shelf Period, unless such action or omission is (x) a Shelf Suspension permitted pursuant to </w:t>
      </w:r>
      <w:r>
        <w:rPr>
          <w:rFonts w:ascii="Times New Roman" w:hAnsi="Times New Roman"/>
          <w:sz w:val="20"/>
          <w:u w:val="single"/>
        </w:rPr>
        <w:t>Section 2.02(d)</w:t>
      </w:r>
      <w:r>
        <w:rPr>
          <w:rFonts w:ascii="Times New Roman" w:hAnsi="Times New Roman"/>
          <w:sz w:val="20"/>
        </w:rPr>
        <w:t xml:space="preserve"> or (y) required by applicable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Notices</w:t>
      </w:r>
      <w:r>
        <w:rPr>
          <w:rFonts w:ascii="Times New Roman" w:hAnsi="Times New Roman"/>
          <w:sz w:val="20"/>
        </w:rPr>
        <w:t xml:space="preserve">. Promptly after delivery of the S-3 Shelf Notice pursuant to </w:t>
      </w:r>
      <w:r>
        <w:rPr>
          <w:rFonts w:ascii="Times New Roman" w:hAnsi="Times New Roman"/>
          <w:sz w:val="20"/>
          <w:u w:val="single"/>
        </w:rPr>
        <w:t>Section 2.02(a)</w:t>
      </w:r>
      <w:r>
        <w:rPr>
          <w:rFonts w:ascii="Times New Roman" w:hAnsi="Times New Roman"/>
          <w:sz w:val="20"/>
        </w:rPr>
        <w:t xml:space="preserve"> (but in no event more than two (2) Business Days after delivery of the S-3 Shelf Notice or the Shelf Notice, as applicable), the Company shall deliver a written notice of the S-3 Shelf Notice or the Shelf Notice, as applicable, to all Holders other than the Sponsor Holders (which notice shall specify the Pro Rata Sponsor Holders Shelf Percentage applicable to such Shelf Registration) and the Company shall include in such Shelf Registration all such Registrable Securities of such Holders which the Company has received written requests for inclusion therein within two (2) Business Days after such written notice is delivered to such Holders (each such Holder delivering such a request, together with the Sponsor Holders that have requested inclusion, a “</w:t>
      </w:r>
      <w:r>
        <w:rPr>
          <w:rFonts w:ascii="Times New Roman" w:hAnsi="Times New Roman"/>
          <w:sz w:val="20"/>
          <w:u w:val="single"/>
        </w:rPr>
        <w:t>Shelf Holder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not include in such Shelf Registration Registrable Securities of any Holder (other than the Sponsor Holders) in an amount in excess of such Holder’s Pro Rata Shelf Percentage. If the Company is permitted by applicable law, rule, or regulation to add selling stockholders to a Shelf Registration Statement without filing a post-effective amendment, a Holder may request the inclusion of an amount of such Holder’s Registrable Securities not to exceed, in the case of a Holder that is not an Sponsor Holder, such Holder’s Pro Rata Shelf Percentage in such Shelf Registration Statement at any time or from time to time after the filing of a Shelf Registration Statement, and the Company shall add such Registrable Securities to the Shelf Registration Statement as promptly as reasonably practicable, and such Holder shall be deemed a Shelf Holder.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Filing; Suspension of Registration</w:t>
      </w:r>
      <w:r>
        <w:rPr>
          <w:rFonts w:ascii="Times New Roman" w:hAnsi="Times New Roman"/>
          <w:sz w:val="20"/>
        </w:rPr>
        <w:t xml:space="preserve">. If the Company shall furnish to the Shelf Holders a certificate signed by the Chief Executive Officer or equivalent senior executive officer of the Company stating that the filing, effectiveness, or continued use of a Shelf Registration Statement filed pursuant to </w:t>
      </w:r>
      <w:r>
        <w:rPr>
          <w:rFonts w:ascii="Times New Roman" w:hAnsi="Times New Roman"/>
          <w:sz w:val="20"/>
          <w:u w:val="single"/>
        </w:rPr>
        <w:t>Section 2.02(a)</w:t>
      </w:r>
      <w:r>
        <w:rPr>
          <w:rFonts w:ascii="Times New Roman" w:hAnsi="Times New Roman"/>
          <w:sz w:val="20"/>
        </w:rPr>
        <w:t xml:space="preserve"> would require the Company to make an Adverse Disclosure, then the Company may delay the filing (but not the preparation of) or initial effectiveness of, or suspend use of the Shelf Registration Statement (a “</w:t>
      </w:r>
      <w:r>
        <w:rPr>
          <w:rFonts w:ascii="Times New Roman" w:hAnsi="Times New Roman"/>
          <w:sz w:val="20"/>
          <w:u w:val="single"/>
        </w:rPr>
        <w:t>Shelf Suspension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unless otherwise approved in writing by the Sponsor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shall not be permitted to exercise aggregate Demand Suspensions and Shelf Suspensions more than once, or for more than sixty (60) days, in each case, during any 12-month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 Shelf Suspension, such Shelf Suspension shall terminate at such earlier time as the Company would no longer be required to make any Adverse Disclosure. Each Shelf Holder shall keep confidential the fact that a Shelf Suspension is in effect, the certificate referred to above and its contents unless and until otherwise notified by the Company, except (A) for disclosure to such Shelf Holder’s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Shelf Holder, was not subject to an obligation or duty of confidentiality to the Company and its Subsidiaries, (D) as required by law, rule, or regulation, (E) for disclosures to potential limited partners or investors of a Participating Holder who have agreed to keep such information confidential, and (F) for disclosures to potential transferees of a Holder’s Registrable Securities who have agreed to keep such information confidential. In the case of a Shelf Suspension, the Holders agree to suspend use of the applicable Prospectus and any Issuer Free Writing Prospectus in connection with any sale or purchase of, or offer to sell or purchase, Registrable Securities, upon delivery of the notice referred to above. The Company shall immediately notify the Shelf Holders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 (ii) in the case of an effective Shelf Registration Statement, shall (x) amend or supplement the Prospectus and any Issuer Free Writing Prospectus, if necessary, so it does not contain any untrue statement of a material fact or omit to state a material fact required to be stated therein or necessary to make the statements therein not misleading and furnish to the Shelf Holders such numbers of copies of the Prospectus and any Issuer Free Writing Prospectus as so amended or supplemented as the Shelf Holders may reasonably request and (y) if applicable, cause any post-effective amendment to the Shelf Registration Statement to become effective. The Company agrees, if necessary, to supplement or make amendments to the Shelf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the Sponsor Holders.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Shelf Take-Downs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Generally</w:t>
      </w:r>
      <w:r>
        <w:rPr>
          <w:rFonts w:ascii="Times New Roman" w:hAnsi="Times New Roman"/>
          <w:sz w:val="20"/>
        </w:rPr>
        <w:t>. An offering or sale of Registrable Securities pursuant to a Shelf Registration Statement (each, a “</w:t>
      </w:r>
      <w:r>
        <w:rPr>
          <w:rFonts w:ascii="Times New Roman" w:hAnsi="Times New Roman"/>
          <w:sz w:val="20"/>
          <w:u w:val="single"/>
        </w:rPr>
        <w:t>Shelf Take-Down</w:t>
      </w:r>
      <w:r>
        <w:rPr>
          <w:rFonts w:ascii="Times New Roman" w:hAnsi="Times New Roman"/>
          <w:sz w:val="20"/>
        </w:rPr>
        <w:t xml:space="preserve">”) may be initiated only by a Sponsor Holder. Except as set forth in </w:t>
      </w:r>
      <w:r>
        <w:rPr>
          <w:rFonts w:ascii="Times New Roman" w:hAnsi="Times New Roman"/>
          <w:sz w:val="20"/>
          <w:u w:val="single"/>
        </w:rPr>
        <w:t>Section 2.02(e)(iii)</w:t>
      </w:r>
      <w:r>
        <w:rPr>
          <w:rFonts w:ascii="Times New Roman" w:hAnsi="Times New Roman"/>
          <w:sz w:val="20"/>
        </w:rPr>
        <w:t xml:space="preserve"> with respect to Marketed Underwritten Shelf Take-Downs, the Company shall not be required to permit the offer and sale of Registrable Securities by other Shelf Holders (other than the Management Holdings Holder following the Management Elective Redemption Date) in connection with any such Shelf Take-Down initiated by the Sponsor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2.11</w:t>
      </w:r>
      <w:r>
        <w:rPr>
          <w:rFonts w:ascii="Times New Roman" w:hAnsi="Times New Roman"/>
          <w:sz w:val="20"/>
        </w:rPr>
        <w:t>, if a Sponsor Holder elects by written request to the Company, a Shelf Take-Down shall be in the form of an Underwritten Offering (an “</w:t>
      </w:r>
      <w:r>
        <w:rPr>
          <w:rFonts w:ascii="Times New Roman" w:hAnsi="Times New Roman"/>
          <w:sz w:val="20"/>
          <w:u w:val="single"/>
        </w:rPr>
        <w:t>Underwritten Shelf Take-Down Notice</w:t>
      </w:r>
      <w:r>
        <w:rPr>
          <w:rFonts w:ascii="Times New Roman" w:hAnsi="Times New Roman"/>
          <w:sz w:val="20"/>
        </w:rPr>
        <w:t xml:space="preserve">”) and the Company shall amend or supplement the Shelf Registration Statement for such purpose as soon as practicable. The Sponsor Holder exercising demand rights under this </w:t>
      </w:r>
      <w:r>
        <w:rPr>
          <w:rFonts w:ascii="Times New Roman" w:hAnsi="Times New Roman"/>
          <w:sz w:val="20"/>
          <w:u w:val="single"/>
        </w:rPr>
        <w:t>Section 2.02(e))</w:t>
      </w:r>
      <w:r>
        <w:rPr>
          <w:rFonts w:ascii="Times New Roman" w:hAnsi="Times New Roman"/>
          <w:sz w:val="20"/>
        </w:rPr>
        <w:t xml:space="preserve"> shall have the right to select the managing underwriter or underwriters to administer such offering. </w:t>
      </w:r>
    </w:p>
    <w:p>
      <w:pPr>
        <w:pStyle w:val="TextBody"/>
        <w:bidi w:val="0"/>
        <w:spacing w:before="120" w:after="0"/>
        <w:jc w:val="left"/>
        <w:rPr>
          <w:rFonts w:ascii="Times New Roman" w:hAnsi="Times New Roman"/>
          <w:sz w:val="20"/>
        </w:rPr>
      </w:pPr>
      <w:r>
        <w:rPr>
          <w:rFonts w:ascii="Times New Roman" w:hAnsi="Times New Roman"/>
          <w:sz w:val="20"/>
        </w:rPr>
        <w:t>(iii) If the plan of distribution set forth in any Underwritten Shelf Take-Down Notice includes a customary “road show” (including an “electronic road show”) or other marketing effort, which may be conducted confidentially, by the Company and the underwriters (a “</w:t>
      </w:r>
      <w:r>
        <w:rPr>
          <w:rFonts w:ascii="Times New Roman" w:hAnsi="Times New Roman"/>
          <w:sz w:val="20"/>
          <w:u w:val="single"/>
        </w:rPr>
        <w:t>Marketed Underwritten Shelf Take-Down</w:t>
      </w:r>
      <w:r>
        <w:rPr>
          <w:rFonts w:ascii="Times New Roman" w:hAnsi="Times New Roman"/>
          <w:sz w:val="20"/>
        </w:rPr>
        <w:t>” which, for the avoidance of doubt, shall not include an Underwritten Block Trade), promptly upon delivery of such Underwritten Shelf Take-Down Notice (but in no event more than three (3) Business Days thereafter), the Company shall promptly deliver a written notice (a “</w:t>
      </w:r>
      <w:r>
        <w:rPr>
          <w:rFonts w:ascii="Times New Roman" w:hAnsi="Times New Roman"/>
          <w:sz w:val="20"/>
          <w:u w:val="single"/>
        </w:rPr>
        <w:t>Marketed Underwritten Shelf Take-Down Notice</w:t>
      </w:r>
      <w:r>
        <w:rPr>
          <w:rFonts w:ascii="Times New Roman" w:hAnsi="Times New Roman"/>
          <w:sz w:val="20"/>
        </w:rPr>
        <w:t xml:space="preserve">”) of such Marketed Underwritten Shelf Take-Down to all Shelf Holders (for avoidance of doubt, including, following the Management Elective Redemption Date, the Management Holdings Holder, but other than the Sponsor Holders exercising demand rights pursuant to </w:t>
      </w:r>
      <w:r>
        <w:rPr>
          <w:rFonts w:ascii="Times New Roman" w:hAnsi="Times New Roman"/>
          <w:sz w:val="20"/>
          <w:u w:val="single"/>
        </w:rPr>
        <w:t>Section 2.02(e)</w:t>
      </w:r>
      <w:r>
        <w:rPr>
          <w:rFonts w:ascii="Times New Roman" w:hAnsi="Times New Roman"/>
          <w:sz w:val="20"/>
        </w:rPr>
        <w:t xml:space="preserve">), and the Company shall include in such Marketed Underwritten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within three (3) Business Days after the date that such Marketed Underwritten Shelf Take-Down Notice has been delivered. </w:t>
      </w:r>
    </w:p>
    <w:p>
      <w:pPr>
        <w:pStyle w:val="TextBody"/>
        <w:bidi w:val="0"/>
        <w:spacing w:before="120" w:after="0"/>
        <w:jc w:val="left"/>
        <w:rPr>
          <w:rFonts w:ascii="Times New Roman" w:hAnsi="Times New Roman"/>
          <w:sz w:val="20"/>
        </w:rPr>
      </w:pPr>
      <w:r>
        <w:rPr>
          <w:rFonts w:ascii="Times New Roman" w:hAnsi="Times New Roman"/>
          <w:sz w:val="20"/>
        </w:rPr>
        <w:t>(iv) If the plan of distribution set forth in any Underwritten Shelf Take-Down Notice includes an Underwritten Offering to be conducted as an Underwritten Block Trade, promptly upon delivery of such Underwritten Shelf Take-Down Notice (but in no event more than twelve (12) hours thereafter), the Company shall promptly deliver a written notice (a “</w:t>
      </w:r>
      <w:r>
        <w:rPr>
          <w:rFonts w:ascii="Times New Roman" w:hAnsi="Times New Roman"/>
          <w:sz w:val="20"/>
          <w:u w:val="single"/>
        </w:rPr>
        <w:t>Block Trade Shelf Take-Down Notice</w:t>
      </w:r>
      <w:r>
        <w:rPr>
          <w:rFonts w:ascii="Times New Roman" w:hAnsi="Times New Roman"/>
          <w:sz w:val="20"/>
        </w:rPr>
        <w:t xml:space="preserve">”) of such Underwritten Shelf Take-Down to each other Sponsor Holder and, following the Management Elective Redemption Date, the Management Holdings Holder and the Company shall include in such Underwritten Shelf Take-Down all such Registrable Securities of such Sponsor Holders and the Management Holdings Holder, as applicable, that are Registered on such Shelf Registration Statement for which the Company has received written requests, which requests must specify the aggregate amount of such Registrable Securities of such Holder to be offered and sold pursuant to such Underwritten Block Trades, for inclusion therein within twenty-four (24) hours after the date that such Block Trade Shelf Take-Down Notice has been delivered. </w:t>
      </w:r>
    </w:p>
    <w:p>
      <w:pPr>
        <w:pStyle w:val="TextBody"/>
        <w:bidi w:val="0"/>
        <w:spacing w:before="120" w:after="0"/>
        <w:jc w:val="left"/>
        <w:rPr>
          <w:rFonts w:ascii="Times New Roman" w:hAnsi="Times New Roman"/>
          <w:sz w:val="20"/>
        </w:rPr>
      </w:pPr>
      <w:r>
        <w:rPr>
          <w:rFonts w:ascii="Times New Roman" w:hAnsi="Times New Roman"/>
          <w:sz w:val="20"/>
        </w:rPr>
        <w:t xml:space="preserve">(v) If the managing underwriter or underwriters of a proposed Shelf Take-Down effectuated as an Underwritten Offering of the Registrable Securities included in a Shelf Take-Down advise the Board of Directors in writing (with a copy provided to the Sponsor Holders requesting participation in such Shelf Take-Down) that, in its or their opinion, the number of securities requested to be included in such Shelf Take-Down exceeds the number which can be sold in such offering without being likely to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significant adverse effect on the price, timing, or distribution of the securities offered or the market for the securities offered, the securities to be included in such Shelf Take-Down (i) first, shall be allocated pro rata among the Holders that have requested to participate in such Shelf Take-Down based on the relative number of Registrable Securities then held by each such Holder (provided, that any securities thereby allocated to a Holder that exceed such Holder’s request shall be reallocated among the remaining requesting Holders in like manner), (ii) second, and only if all the securities referred to in clause (i) have been included in such Shelf Take-Down, the number of securities that the Company proposes to include in such Shelf Take-Down that, in the opinion of the managing underwriter or underwriters, can be sold without having such adverse effect, and (iii) third, and only if all of the securities referred to in clause (ii) have been included in such Shelf Take-Down, any other securities eligible for inclusion in such Shelf Take-Down that, in the opinion of the managing underwriter or underwriters, can be sold without having such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Participation</w:t>
      </w:r>
      <w:r>
        <w:rPr>
          <w:rFonts w:ascii="Times New Roman" w:hAnsi="Times New Roman"/>
          <w:sz w:val="20"/>
        </w:rPr>
        <w:t xml:space="preserve">. If the Company at any time proposes to file a Registration Statement with respect to any Company Public Sale (other than (i) a Registration Statement proposed to be filed in connection with the IPO in which none of the Holders nor any of their respective Affiliates participate, (ii) a Registration under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2.02</w:t>
      </w:r>
      <w:r>
        <w:rPr>
          <w:rFonts w:ascii="Times New Roman" w:hAnsi="Times New Roman"/>
          <w:sz w:val="20"/>
        </w:rPr>
        <w:t xml:space="preserve">, it being understood that this clause (ii) does not limit the rights of Holders to make written requests pursuant to </w:t>
      </w:r>
      <w:r>
        <w:rPr>
          <w:rFonts w:ascii="Times New Roman" w:hAnsi="Times New Roman"/>
          <w:sz w:val="20"/>
          <w:u w:val="single"/>
        </w:rPr>
        <w:t>Sections 2.01</w:t>
      </w:r>
      <w:r>
        <w:rPr>
          <w:rFonts w:ascii="Times New Roman" w:hAnsi="Times New Roman"/>
          <w:sz w:val="20"/>
        </w:rPr>
        <w:t xml:space="preserve"> or </w:t>
      </w:r>
      <w:r>
        <w:rPr>
          <w:rFonts w:ascii="Times New Roman" w:hAnsi="Times New Roman"/>
          <w:sz w:val="20"/>
          <w:u w:val="single"/>
        </w:rPr>
        <w:t>2.02</w:t>
      </w:r>
      <w:r>
        <w:rPr>
          <w:rFonts w:ascii="Times New Roman" w:hAnsi="Times New Roman"/>
          <w:sz w:val="20"/>
        </w:rPr>
        <w:t xml:space="preserve"> or otherwise limit the applicability thereof, (iii) a Registration Statement on Form S-4 or Form S-8, (iv) a registration of securities solely relating to an offering and sale to employees, directors, or consultants of the Company or its Subsidiaries pursuant to any employee stock plan or other employee benefit plan arrangement, (v) a registration not otherwise covered by clause (iii) above pursuant to which the Company is offering to exchange its own securities for other securities, (vi) a Registration Statement relating solely to dividend reinvestment or similar plans or (vii) a Shelf Registration Statement pursuant to which only the initial purchasers and subsequent transferees of debt securities of the Company or any of its Subsidiaries that are convertible or exchangeable for Company Shares and that are initially issued pursuant to Rule 144A and/or Regulation S (or any successor provisions) of the Securities Act may resell such notes and sell the Company Shares into which such notes may be converted or exchanged), then, (A) as soon as practicable (but in no event less than thirty (30) Business Days prior to the proposed date of filing of such Registration Statement), the Company shall give written notice of such proposed filing to the Sponsor Holders, and such notice shall offer each Sponsor Holder the opportunity to Register under such Registration Statement such number of Registrable Securities as such Sponsor Holder may request in writing delivered to the Company within ten (10) Business Days of delivery of such written notice by the Company, and (B) subject to </w:t>
      </w:r>
      <w:r>
        <w:rPr>
          <w:rFonts w:ascii="Times New Roman" w:hAnsi="Times New Roman"/>
          <w:sz w:val="20"/>
          <w:u w:val="single"/>
        </w:rPr>
        <w:t>Section 2.03(c)</w:t>
      </w:r>
      <w:r>
        <w:rPr>
          <w:rFonts w:ascii="Times New Roman" w:hAnsi="Times New Roman"/>
          <w:sz w:val="20"/>
        </w:rPr>
        <w:t xml:space="preserve">, as soon as practicable after the expiration of such ten (10)-Business Day period (but in no event less than fifteen (15) Business Days prior to the proposed date of filing of such Registration Statement), the Company shall give written notice of such proposed filing to the Holders, and such notice shall offer each such Holder the opportunity to Register under such Registration Statement such number of Registrable Securities as such Holder may request in writing within fifteen (15) days of delivery of such written notice by the Company. Subject to </w:t>
      </w:r>
      <w:r>
        <w:rPr>
          <w:rFonts w:ascii="Times New Roman" w:hAnsi="Times New Roman"/>
          <w:sz w:val="20"/>
          <w:u w:val="single"/>
        </w:rPr>
        <w:t>Sections 2.03(b)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the Company shall include in such Registration Statement all such Registrable Securities that are requested by Holders to be included therein in compliance with the immediately foregoing sentence (a “</w:t>
      </w:r>
      <w:r>
        <w:rPr>
          <w:rFonts w:ascii="Times New Roman" w:hAnsi="Times New Roman"/>
          <w:sz w:val="20"/>
          <w:u w:val="single"/>
        </w:rPr>
        <w:t>Piggyback Registration</w:t>
      </w:r>
      <w:r>
        <w:rPr>
          <w:rFonts w:ascii="Times New Roman" w:hAnsi="Times New Roman"/>
          <w:sz w:val="20"/>
        </w:rPr>
        <w:t>”);</w:t>
      </w:r>
      <w:r>
        <w:rPr>
          <w:rFonts w:ascii="Times New Roman" w:hAnsi="Times New Roman"/>
          <w:sz w:val="20"/>
          <w:u w:val="single"/>
        </w:rPr>
        <w:t> provided</w:t>
      </w:r>
      <w:r>
        <w:rPr>
          <w:rFonts w:ascii="Times New Roman" w:hAnsi="Times New Roman"/>
          <w:sz w:val="20"/>
        </w:rPr>
        <w:t xml:space="preserve">, that if at any time after giving written notice of its intention to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equity securities and prior to the effective date of the Registration Statement filed in connection with such Piggyback Registration, the Company shall determine for any reason not to Register or to delay Registration of the equity securities covered by such Piggyback Registration, the Company shall give written notice of such determination to each Holder that had requested to Register its, his or her Registrable Securities in such Registration Statement and, thereupon, (1) in the case of a determination not to Register, shall be relieved of its obligation to Register any Registrable Securities in connection with such Registration (but not from its obligation to pay the Registration Expenses in connection therewith, to the extent payable), without prejudice, however, to the rights of the Sponsor Holders to request that such Registration be effected as a Demand Registration under </w:t>
      </w:r>
      <w:r>
        <w:rPr>
          <w:rFonts w:ascii="Times New Roman" w:hAnsi="Times New Roman"/>
          <w:sz w:val="20"/>
          <w:u w:val="single"/>
        </w:rPr>
        <w:t>Section 2.01</w:t>
      </w:r>
      <w:r>
        <w:rPr>
          <w:rFonts w:ascii="Times New Roman" w:hAnsi="Times New Roman"/>
          <w:sz w:val="20"/>
        </w:rPr>
        <w:t xml:space="preserve">, and (2) in the case of a determination to delay Registering, in the absence of a request by the Sponsor Holders to request that such Registration be effected as a Demand Registration under </w:t>
      </w:r>
      <w:r>
        <w:rPr>
          <w:rFonts w:ascii="Times New Roman" w:hAnsi="Times New Roman"/>
          <w:sz w:val="20"/>
          <w:u w:val="single"/>
        </w:rPr>
        <w:t>Section 2.01</w:t>
      </w:r>
      <w:r>
        <w:rPr>
          <w:rFonts w:ascii="Times New Roman" w:hAnsi="Times New Roman"/>
          <w:sz w:val="20"/>
        </w:rPr>
        <w:t xml:space="preserve">, shall be permitted to delay Registering any Registrable Securities, for the same period as the delay in Registering the other equity securities covered by such Piggyback Registration. If the offering pursuant to such Registration Statement is to be underwritten, the Company shall so advise the Holders as a part of the written notice given pursuant this </w:t>
      </w:r>
      <w:r>
        <w:rPr>
          <w:rFonts w:ascii="Times New Roman" w:hAnsi="Times New Roman"/>
          <w:sz w:val="20"/>
          <w:u w:val="single"/>
        </w:rPr>
        <w:t>Section 2.03(a)</w:t>
      </w:r>
      <w:r>
        <w:rPr>
          <w:rFonts w:ascii="Times New Roman" w:hAnsi="Times New Roman"/>
          <w:sz w:val="20"/>
        </w:rPr>
        <w:t xml:space="preserve">, and each Holder making a request for a Piggyback Registration pursuant to this </w:t>
      </w:r>
      <w:r>
        <w:rPr>
          <w:rFonts w:ascii="Times New Roman" w:hAnsi="Times New Roman"/>
          <w:sz w:val="20"/>
          <w:u w:val="single"/>
        </w:rPr>
        <w:t>Section 2.03(a)</w:t>
      </w:r>
      <w:r>
        <w:rPr>
          <w:rFonts w:ascii="Times New Roman" w:hAnsi="Times New Roman"/>
          <w:sz w:val="20"/>
        </w:rPr>
        <w:t xml:space="preserve"> must, and the Company shall make such arrangements with the managing underwriter or underwriters so that each such Holder may, participate in such Underwritten Offering, subject to the conditions of </w:t>
      </w:r>
      <w:r>
        <w:rPr>
          <w:rFonts w:ascii="Times New Roman" w:hAnsi="Times New Roman"/>
          <w:sz w:val="20"/>
          <w:u w:val="single"/>
        </w:rPr>
        <w:t xml:space="preserve">Section 2.03(b) </w:t>
      </w:r>
      <w:r>
        <w:rPr>
          <w:rFonts w:ascii="Times New Roman" w:hAnsi="Times New Roman"/>
          <w:sz w:val="20"/>
        </w:rPr>
        <w:t>and</w:t>
      </w:r>
      <w:r>
        <w:rPr>
          <w:rFonts w:ascii="Times New Roman" w:hAnsi="Times New Roman"/>
          <w:sz w:val="20"/>
          <w:u w:val="single"/>
        </w:rPr>
        <w:t> (c)</w:t>
      </w:r>
      <w:r>
        <w:rPr>
          <w:rFonts w:ascii="Times New Roman" w:hAnsi="Times New Roman"/>
          <w:sz w:val="20"/>
        </w:rPr>
        <w:t xml:space="preserve">. If the offering pursuant to such Registration Statement is to be on any other basis, the Company shall so advise the Holders as part of the written notice given pursuant to this </w:t>
      </w:r>
      <w:r>
        <w:rPr>
          <w:rFonts w:ascii="Times New Roman" w:hAnsi="Times New Roman"/>
          <w:sz w:val="20"/>
          <w:u w:val="single"/>
        </w:rPr>
        <w:t>Section 2.03(a)</w:t>
      </w:r>
      <w:r>
        <w:rPr>
          <w:rFonts w:ascii="Times New Roman" w:hAnsi="Times New Roman"/>
          <w:sz w:val="20"/>
        </w:rPr>
        <w:t xml:space="preserve">, and each Holder making a request for a Piggyback Registration pursuant to this </w:t>
      </w:r>
      <w:r>
        <w:rPr>
          <w:rFonts w:ascii="Times New Roman" w:hAnsi="Times New Roman"/>
          <w:sz w:val="20"/>
          <w:u w:val="single"/>
        </w:rPr>
        <w:t>Section 2.03(a)</w:t>
      </w:r>
      <w:r>
        <w:rPr>
          <w:rFonts w:ascii="Times New Roman" w:hAnsi="Times New Roman"/>
          <w:sz w:val="20"/>
        </w:rPr>
        <w:t xml:space="preserve"> must, and the Company shall make such arrangements so that each such Holder may, participate in such offering on such basis, subject to the conditions of </w:t>
      </w:r>
      <w:r>
        <w:rPr>
          <w:rFonts w:ascii="Times New Roman" w:hAnsi="Times New Roman"/>
          <w:sz w:val="20"/>
          <w:u w:val="single"/>
        </w:rPr>
        <w:t>Section 2.03(b)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Each Holder shall be permitted to withdraw all or part of its Registrable Securities from a Piggyback Registration at any time prior to the effectiveness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Priority of Piggyback Registration</w:t>
      </w:r>
      <w:r>
        <w:rPr>
          <w:rFonts w:ascii="Times New Roman" w:hAnsi="Times New Roman"/>
          <w:sz w:val="20"/>
        </w:rPr>
        <w:t>. If the managing underwriter or underwriters of any proposed Underwritten Offering of Registrable Securities included in a Piggyback Registration informs the Company and the Holders that have requested to participate in such Piggyback Registration in writing that, in its or their opinion, the number of securities which such Holders and any other Persons intend to include in such offering exceeds the number which can be sold in such offering without being likely to have a significant adverse effect on the price, timing, or distribution of the securities offered or the market for the securities offered, then the securities to be included in such Registration shall be (i) </w:t>
      </w:r>
      <w:r>
        <w:rPr>
          <w:rFonts w:ascii="Times New Roman" w:hAnsi="Times New Roman"/>
          <w:sz w:val="20"/>
          <w:u w:val="single"/>
        </w:rPr>
        <w:t>first</w:t>
      </w:r>
      <w:r>
        <w:rPr>
          <w:rFonts w:ascii="Times New Roman" w:hAnsi="Times New Roman"/>
          <w:sz w:val="20"/>
        </w:rPr>
        <w:t xml:space="preserve">, 100% of the securities that the Company or (subject to </w:t>
      </w:r>
      <w:r>
        <w:rPr>
          <w:rFonts w:ascii="Times New Roman" w:hAnsi="Times New Roman"/>
          <w:sz w:val="20"/>
          <w:u w:val="single"/>
        </w:rPr>
        <w:t>Section 2.07</w:t>
      </w:r>
      <w:r>
        <w:rPr>
          <w:rFonts w:ascii="Times New Roman" w:hAnsi="Times New Roman"/>
          <w:sz w:val="20"/>
        </w:rPr>
        <w:t>) any Person (other than a Holder) exercising a contractual right to demand Registration, as the case may be, proposes to sell, (ii) </w:t>
      </w:r>
      <w:r>
        <w:rPr>
          <w:rFonts w:ascii="Times New Roman" w:hAnsi="Times New Roman"/>
          <w:sz w:val="20"/>
          <w:u w:val="single"/>
        </w:rPr>
        <w:t>second</w:t>
      </w:r>
      <w:r>
        <w:rPr>
          <w:rFonts w:ascii="Times New Roman" w:hAnsi="Times New Roman"/>
          <w:sz w:val="20"/>
        </w:rPr>
        <w:t xml:space="preserve">, and only if all the securities referred to in clause (i) have been included, the number of Registrable Securities that, in the opinion of such managing underwriter or underwriters, can be sold without having such adverse effect in such Registration, which such number shall be allocated </w:t>
      </w:r>
      <w:r>
        <w:rPr>
          <w:rFonts w:ascii="Times New Roman" w:hAnsi="Times New Roman"/>
          <w:sz w:val="20"/>
          <w:u w:val="single"/>
        </w:rPr>
        <w:t>pro rata</w:t>
      </w:r>
      <w:r>
        <w:rPr>
          <w:rFonts w:ascii="Times New Roman" w:hAnsi="Times New Roman"/>
          <w:sz w:val="20"/>
        </w:rPr>
        <w:t xml:space="preserve"> among the Sponsor Holders that have requested to participate in such Registration based on the relative number of Registrable Securities then held by each such Sponsor Holder (</w:t>
      </w:r>
      <w:r>
        <w:rPr>
          <w:rFonts w:ascii="Times New Roman" w:hAnsi="Times New Roman"/>
          <w:sz w:val="20"/>
          <w:u w:val="single"/>
        </w:rPr>
        <w:t>provided</w:t>
      </w:r>
      <w:r>
        <w:rPr>
          <w:rFonts w:ascii="Times New Roman" w:hAnsi="Times New Roman"/>
          <w:sz w:val="20"/>
        </w:rPr>
        <w:t>, that any securities thereby allocated to a Sponsor Holder that exceed such Sponsor Holder’s request shall be reallocated among the remaining requesting Sponsor Holders in like manner), (iii) </w:t>
      </w:r>
      <w:r>
        <w:rPr>
          <w:rFonts w:ascii="Times New Roman" w:hAnsi="Times New Roman"/>
          <w:sz w:val="20"/>
          <w:u w:val="single"/>
        </w:rPr>
        <w:t>third</w:t>
      </w:r>
      <w:r>
        <w:rPr>
          <w:rFonts w:ascii="Times New Roman" w:hAnsi="Times New Roman"/>
          <w:sz w:val="20"/>
        </w:rPr>
        <w:t xml:space="preserve">, and only if all the securities referred to in clause (ii) have been included, the number of Registrable Securities that, in the opinion of such managing underwriter or underwriters, can be sold without having such adverse effect in such Registration, which such number shall be allocated </w:t>
      </w:r>
      <w:r>
        <w:rPr>
          <w:rFonts w:ascii="Times New Roman" w:hAnsi="Times New Roman"/>
          <w:sz w:val="20"/>
          <w:u w:val="single"/>
        </w:rPr>
        <w:t>pro rata</w:t>
      </w:r>
      <w:r>
        <w:rPr>
          <w:rFonts w:ascii="Times New Roman" w:hAnsi="Times New Roman"/>
          <w:sz w:val="20"/>
        </w:rPr>
        <w:t xml:space="preserve"> among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Holders (excluding the Sponsor Holders) that have requested to participate in such Registration based on the relative number of Registrable Securities then held by each such Holder (</w:t>
      </w:r>
      <w:r>
        <w:rPr>
          <w:rFonts w:ascii="Times New Roman" w:hAnsi="Times New Roman"/>
          <w:sz w:val="20"/>
          <w:u w:val="single"/>
        </w:rPr>
        <w:t>provided</w:t>
      </w:r>
      <w:r>
        <w:rPr>
          <w:rFonts w:ascii="Times New Roman" w:hAnsi="Times New Roman"/>
          <w:sz w:val="20"/>
        </w:rPr>
        <w:t>, that any securities thereby allocated to a Holder that exceed such Holder’s request shall be reallocated among the remaining requesting Holders in like manner), and (iv)</w:t>
      </w:r>
      <w:r>
        <w:rPr>
          <w:rFonts w:ascii="Times New Roman" w:hAnsi="Times New Roman"/>
          <w:sz w:val="20"/>
          <w:u w:val="single"/>
        </w:rPr>
        <w:t> fourth</w:t>
      </w:r>
      <w:r>
        <w:rPr>
          <w:rFonts w:ascii="Times New Roman" w:hAnsi="Times New Roman"/>
          <w:sz w:val="20"/>
        </w:rPr>
        <w:t xml:space="preserve">, and only if all of the Registrable Securities referred to in clause (iii) have been included in such Registration, any other securities eligible for inclusion in such Registration that, in the opinion of the managing underwriter or underwriters, can be sold without having such adverse effect in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 on Non-Sponsor Holders</w:t>
      </w:r>
      <w:r>
        <w:rPr>
          <w:rFonts w:ascii="Times New Roman" w:hAnsi="Times New Roman"/>
          <w:sz w:val="20"/>
        </w:rPr>
        <w:t xml:space="preserve">. Notwithstanding any provisions contained herein, Holders other than the Sponsor Holders shall not be able to exercise the right to a Piggyback Registration unless at least one Sponsor Holder exercises its rights with respect to such Piggyback Registration.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Effect on Demand Registrations</w:t>
      </w:r>
      <w:r>
        <w:rPr>
          <w:rFonts w:ascii="Times New Roman" w:hAnsi="Times New Roman"/>
          <w:sz w:val="20"/>
        </w:rPr>
        <w:t xml:space="preserve">. No Registration of Registrable Securities effected pursuant to a request under this </w:t>
      </w:r>
      <w:r>
        <w:rPr>
          <w:rFonts w:ascii="Times New Roman" w:hAnsi="Times New Roman"/>
          <w:sz w:val="20"/>
          <w:u w:val="single"/>
        </w:rPr>
        <w:t>Section 2.03</w:t>
      </w:r>
      <w:r>
        <w:rPr>
          <w:rFonts w:ascii="Times New Roman" w:hAnsi="Times New Roman"/>
          <w:sz w:val="20"/>
        </w:rPr>
        <w:t xml:space="preserve"> shall be deemed to have been effected pursuant to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2.02</w:t>
      </w:r>
      <w:r>
        <w:rPr>
          <w:rFonts w:ascii="Times New Roman" w:hAnsi="Times New Roman"/>
          <w:sz w:val="20"/>
        </w:rPr>
        <w:t xml:space="preserve"> or shall relieve the Company of its obligations under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Black-out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Black-out Periods for Holders</w:t>
      </w:r>
      <w:r>
        <w:rPr>
          <w:rFonts w:ascii="Times New Roman" w:hAnsi="Times New Roman"/>
          <w:sz w:val="20"/>
        </w:rPr>
        <w:t>. In the event of a Company Public Sale of the Company’s equity securities in an Underwritten Offering, each of the Holders agrees (to the extent it is a Holder at such time), if requested by the managing underwriter or underwriters in such Underwritten Offering (and, with respect to a Company Public Sale other than the IPO, if and only if the Sponsor Holders also agree to such request),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Company Share Equivalents or any other securities of the Company, (2) enter into any swap or other derivatives transaction that transfers to another, in whole or in part, any of the economic benefits or risks of ownership of Company Shares, Company Share Equivalents or any other securities of the Company, whether any such transaction described in clause (1) or (2) above is to be settled by delivery of Company Shares, Company Share Equivalents, in cash or otherwise, (3) make any demand for or exercise any right or cause to be filed a Registration Statement, including any amendments thereto, with respect to the registration of any Company Shares, or Company Share Equivalents or any other securities of the Company, or (4) publicly disclose the intention to do any of the foregoing without the prior written consent of the Company, in each case, during the period commencing on the date of such offering and ending on the date specified by the underwriters (such period not to exceed hundred or ninety (90) days (in the event of any other Company Public Sale) after the date of the underwriting agreement entered into in connection with such Company Public Sale), to the extent timely notified in writing by the Company or the managing underwriter or underwriters; </w:t>
      </w:r>
      <w:r>
        <w:rPr>
          <w:rFonts w:ascii="Times New Roman" w:hAnsi="Times New Roman"/>
          <w:sz w:val="20"/>
          <w:u w:val="single"/>
        </w:rPr>
        <w:t>provided</w:t>
      </w:r>
      <w:r>
        <w:rPr>
          <w:rFonts w:ascii="Times New Roman" w:hAnsi="Times New Roman"/>
          <w:sz w:val="20"/>
        </w:rPr>
        <w:t xml:space="preserve">, that no Holder shall be subject to any such black-out period of longer duration than that applicable to any Sponsor Holder and such restrictions shall be subject to customary exceptions typically included in underwriter lock-up agreements, to the extent acceptable to the managing underwriter or underwriters and the Sponsor Holders. If requested by the managing underwriter or underwriters of any such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Public Sale (and, with respect to any such Company Public Sale other than the IPO, if and only if the Sponsor Holder agree to such request and enters into such separate agreement), the Holders shall execute a separate agreement to the foregoing effect; </w:t>
      </w:r>
      <w:r>
        <w:rPr>
          <w:rFonts w:ascii="Times New Roman" w:hAnsi="Times New Roman"/>
          <w:sz w:val="20"/>
          <w:u w:val="single"/>
        </w:rPr>
        <w:t>provided</w:t>
      </w:r>
      <w:r>
        <w:rPr>
          <w:rFonts w:ascii="Times New Roman" w:hAnsi="Times New Roman"/>
          <w:sz w:val="20"/>
        </w:rPr>
        <w:t xml:space="preserve">, that, with respect to the Sponsor Holders, such agreement shall provide that any early release from the provisions of the terms of such agreement shall be on a pro rata basis among the Sponsor Holders. The Company may impose stop-transfer instructions with respect to the Company Shares or Company Share Equivalents (or other securities) subject to the foregoing restriction until the end of the period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Black-out Period for the Company and Others</w:t>
      </w:r>
      <w:r>
        <w:rPr>
          <w:rFonts w:ascii="Times New Roman" w:hAnsi="Times New Roman"/>
          <w:sz w:val="20"/>
        </w:rPr>
        <w:t xml:space="preserve">. In the case of an offering of Registrable Securities pursuant to </w:t>
      </w:r>
      <w:r>
        <w:rPr>
          <w:rFonts w:ascii="Times New Roman" w:hAnsi="Times New Roman"/>
          <w:sz w:val="20"/>
          <w:u w:val="single"/>
        </w:rPr>
        <w:t>Sections 2.01</w:t>
      </w:r>
      <w:r>
        <w:rPr>
          <w:rFonts w:ascii="Times New Roman" w:hAnsi="Times New Roman"/>
          <w:sz w:val="20"/>
        </w:rPr>
        <w:t xml:space="preserve"> or </w:t>
      </w:r>
      <w:r>
        <w:rPr>
          <w:rFonts w:ascii="Times New Roman" w:hAnsi="Times New Roman"/>
          <w:sz w:val="20"/>
          <w:u w:val="single"/>
        </w:rPr>
        <w:t>2.02</w:t>
      </w:r>
      <w:r>
        <w:rPr>
          <w:rFonts w:ascii="Times New Roman" w:hAnsi="Times New Roman"/>
          <w:sz w:val="20"/>
        </w:rPr>
        <w:t xml:space="preserve"> that is a Marketed Underwritten Offering, the Company and each of the Holders agrees (to the extent it is a Holder at such time), if requested by the Sponsor Holders exercising demand rights or the managing underwriter or underwriters with respect to such Marketed Underwritten Offering,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Company Share Equivalents or any other securities of the Company,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Company Share Equivalents, in cash or otherwise, (3) make any demand for or exercise any right or cause to be filed a Registration Statement, including any amendments thereto, with respect to the registration of any Company Shares, Company Share Equivalents or any other securities of the Company, or (4) publicly disclose the intention to do any of the foregoing without the prior written consent of the Company, in each case, during the period commencing on the date of such offering and ending on the date specified by the underwriters (not to exceed ninety (90) days (or such lesser period as may be agreed by a Participating Holder that is a Sponsor Holder exercising demand rights) after, the date of the underwriting agreement entered into in connection with such Marketed Underwritten Offering), to the extent timely notified in writing by a Sponsor Holder or the managing underwriter or underwriters, as the case may be; </w:t>
      </w:r>
      <w:r>
        <w:rPr>
          <w:rFonts w:ascii="Times New Roman" w:hAnsi="Times New Roman"/>
          <w:sz w:val="20"/>
          <w:u w:val="single"/>
        </w:rPr>
        <w:t>provided</w:t>
      </w:r>
      <w:r>
        <w:rPr>
          <w:rFonts w:ascii="Times New Roman" w:hAnsi="Times New Roman"/>
          <w:sz w:val="20"/>
        </w:rPr>
        <w:t xml:space="preserve">, that no Holder shall be subject to any such black-out period of longer duration than that applicable to any such Sponsor Holder and such restrictions shall be subject to customary exceptions typically included in underwriter lock-up agreements, to the extent acceptable to the managing underwriter or underwriters. Notwithstanding the foregoing, the Company may effect a public sale or distribution of securities of the type described above and during the periods described above if such sale or distribution is made pursuant to Registrations on Form S-4 or Form S-8 or as part of any Registration of securities for offering and sale to employees, directors, or consultants of the Company and its Subsidiaries pursuant to any employee stock plan or other employee benefit plan arrangement. The Company agrees to use its reasonable best efforts to obtain from each of its directors and officers and each other holder of restricted securities of the Company which securities are the same as or similar to the Registrable Securities being Registered, or any restricted securities convertible into or exchangeable or exercisable for any of such securities, an agreement not to effect any public sale or distribution of such securities during any such period referred to in this paragraph, except as part of any such Registration, if permitted. Without limiting the foregoing (but subject to </w:t>
      </w:r>
      <w:r>
        <w:rPr>
          <w:rFonts w:ascii="Times New Roman" w:hAnsi="Times New Roman"/>
          <w:sz w:val="20"/>
          <w:u w:val="single"/>
        </w:rPr>
        <w:t>Section 2.07</w:t>
      </w:r>
      <w:r>
        <w:rPr>
          <w:rFonts w:ascii="Times New Roman" w:hAnsi="Times New Roman"/>
          <w:sz w:val="20"/>
        </w:rPr>
        <w:t xml:space="preserve">), if after the date hereof the Company or any of its Subsidiaries grants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Person (other than a Holder) any rights to demand or participate in a Registration, the Company shall, and shall cause its Subsidiaries to, provide that the agreement with respect thereto shall include such Person’s agreement to comply with any black-out period required by this </w:t>
      </w:r>
      <w:r>
        <w:rPr>
          <w:rFonts w:ascii="Times New Roman" w:hAnsi="Times New Roman"/>
          <w:sz w:val="20"/>
          <w:u w:val="single"/>
        </w:rPr>
        <w:t>Section 2.04(b)</w:t>
      </w:r>
      <w:r>
        <w:rPr>
          <w:rFonts w:ascii="Times New Roman" w:hAnsi="Times New Roman"/>
          <w:sz w:val="20"/>
        </w:rPr>
        <w:t xml:space="preserve"> as if it were a Holder hereunder. If requested by the managing underwriter or underwriters of any such Marketed Underwritten Offering (and if and only if the Sponsor Holders exercising demand rights agree to such request and enters into such separate agreement), the Holders shall execute a separate agreement to the foregoing effect;</w:t>
      </w:r>
      <w:r>
        <w:rPr>
          <w:rFonts w:ascii="Times New Roman" w:hAnsi="Times New Roman"/>
          <w:sz w:val="20"/>
          <w:u w:val="single"/>
        </w:rPr>
        <w:t> provided</w:t>
      </w:r>
      <w:r>
        <w:rPr>
          <w:rFonts w:ascii="Times New Roman" w:hAnsi="Times New Roman"/>
          <w:sz w:val="20"/>
        </w:rPr>
        <w:t xml:space="preserve">, that, with respect to the Sponsor Holders, such agreement shall provide that any early release from the provisions of the terms of such agreement shall be on a pro rata basis among the Sponsor Holders. Subject to the provisions of this Agreement, the Company (in the case of a Registration requested by the Company) or the Sponsor Holders exercising demand rights (in the case of a Registration requested by the Sponsor Holders) shall be responsible for negotiating all lock-up agreements with the managing underwriters and the Holders agree to execute the form so negotiated in accordance with the terms of this Agreement. The Company may impose stop-transfer instructions with respect to the Company Shares (or other securities) subject to the foregoing restriction until the end of the period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the Company’s Registration obligations under </w:t>
      </w:r>
      <w:r>
        <w:rPr>
          <w:rFonts w:ascii="Times New Roman" w:hAnsi="Times New Roman"/>
          <w:sz w:val="20"/>
          <w:u w:val="single"/>
        </w:rPr>
        <w:t>Sections 2.01</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 xml:space="preserve"> and </w:t>
      </w:r>
      <w:r>
        <w:rPr>
          <w:rFonts w:ascii="Times New Roman" w:hAnsi="Times New Roman"/>
          <w:sz w:val="20"/>
          <w:u w:val="single"/>
        </w:rPr>
        <w:t>2.03</w:t>
      </w:r>
      <w:r>
        <w:rPr>
          <w:rFonts w:ascii="Times New Roman" w:hAnsi="Times New Roman"/>
          <w:sz w:val="20"/>
        </w:rPr>
        <w:t xml:space="preserve"> and subject to the applicable terms and conditions set forth therein, the Company shall use its reasonable best efforts to effect such Registration to permit the sale of such Registrable Securities in accordance with the intended method or methods of distribution thereof as expeditiously as reasonably practicable, and in connection therewith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 (x) furnish to the underwriters, if any, and the Sponsor Holders exercising demand rights, if applicable, copies of all documents prepared to be filed, which documents shall be subject to the review of such underwriters and such Sponsor Holders and their respective counsel and (y) except in the case of a Registration under </w:t>
      </w:r>
      <w:r>
        <w:rPr>
          <w:rFonts w:ascii="Times New Roman" w:hAnsi="Times New Roman"/>
          <w:sz w:val="20"/>
          <w:u w:val="single"/>
        </w:rPr>
        <w:t>Section 2.03</w:t>
      </w:r>
      <w:r>
        <w:rPr>
          <w:rFonts w:ascii="Times New Roman" w:hAnsi="Times New Roman"/>
          <w:sz w:val="20"/>
        </w:rPr>
        <w:t xml:space="preserve">, not file any Registration Statement or Prospectus, or amendments or supplements thereto to, which such Sponsor Holders or the underwriters, if any, shall reasonably object; </w:t>
      </w:r>
    </w:p>
    <w:p>
      <w:pPr>
        <w:pStyle w:val="TextBody"/>
        <w:bidi w:val="0"/>
        <w:spacing w:before="120" w:after="0"/>
        <w:jc w:val="left"/>
        <w:rPr>
          <w:rFonts w:ascii="Times New Roman" w:hAnsi="Times New Roman"/>
          <w:sz w:val="20"/>
        </w:rPr>
      </w:pPr>
      <w:r>
        <w:rPr>
          <w:rFonts w:ascii="Times New Roman" w:hAnsi="Times New Roman"/>
          <w:sz w:val="20"/>
        </w:rPr>
        <w:t xml:space="preserve">(ii) as promptly as practicable and in accordance with the other provisions of this Agreement, file with the SEC a Registration Statement relating to the Registrable Securities including all exhibits and financial statements required by the SEC to be filed therewith, and use its reasonable best efforts to cause such Registration Statement to become effective under the Securities Act as soon as practicable;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SEC such pre- and post-effective amendments to such Registration Statement, supplements to the Prospectus and such amendments or supplements to any Issuer Free Writing Prospectus as may be (x) reasonably requested by the Sponsor Holders exercising demand rights, (y) reasonably requested by any other Participating Holder (to the extent such request relates to information relating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Participating Holder), or (z)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(iv) promptly notify the Participating Holders and the managing underwriter or underwriters, if any, and (if requested) confirm such advice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or Issuer Free Writing Prospectus or any amendment or supplement thereto has been filed, (B) of any written comments by the SEC or any request by the SEC or any other federal or state governmental authority for amendments or supplements to such Registration Statement, Prospectus, or Issuer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any Issuer Free Writing Prospectus or the initiation or threatening of any proceedings for such purposes, (D) if, at any time, the representations and warranties of the Company in any applicable underwriting agreement cease to be true and correct in all material respects, (E) of the receipt by the Company of any notification with respect to the suspension of the qualification of the Registrable Securities for offering or sale in any jurisdiction, and (F) of the receipt by the Company of any notification with respect to the initiation or threatening of any proceeding for the suspension of the qualification of the Registrable Securities for offering or sale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(v) promptly notify the Participating Holders and the managing underwriter or underwriters, if any, when the Company becomes aware of the happening of any event as a result of which the applicable Registration Statement, the Prospectus included in such Registration Statement (as then in effect) or any Issuer Free Writing Prospectus contains any untrue statement of a material fact or omits to state a material fact necessary to make the statements therein (in the case of such Prospectus, any preliminary Prospectus or any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 </w:t>
      </w:r>
    </w:p>
    <w:p>
      <w:pPr>
        <w:pStyle w:val="TextBody"/>
        <w:bidi w:val="0"/>
        <w:spacing w:before="120" w:after="0"/>
        <w:jc w:val="left"/>
        <w:rPr>
          <w:rFonts w:ascii="Times New Roman" w:hAnsi="Times New Roman"/>
          <w:sz w:val="20"/>
        </w:rPr>
      </w:pPr>
      <w:r>
        <w:rPr>
          <w:rFonts w:ascii="Times New Roman" w:hAnsi="Times New Roman"/>
          <w:sz w:val="20"/>
        </w:rPr>
        <w:t>(vi) use its reasonable best efforts to prevent, or obtain the withdrawal of, any stop order or other order suspending the use of any preliminary or final Prospectus or any Issuer Free Writing Prospectus;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promptly incorporate in a Prospectus supplement, Issuer Free Writing Prospectus, or post-effective amendment to the applicable Registration Statement such information as the managing underwriter or underwriters and the Sponsor Holders (to the extent the Sponsor Holders are participating in such Registration)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(viii) furnish to each Participating Holder and each underwriter, if any, without charge, as many conformed copies as such Participating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 </w:t>
      </w:r>
    </w:p>
    <w:p>
      <w:pPr>
        <w:pStyle w:val="TextBody"/>
        <w:bidi w:val="0"/>
        <w:spacing w:before="120" w:after="0"/>
        <w:jc w:val="left"/>
        <w:rPr>
          <w:rFonts w:ascii="Times New Roman" w:hAnsi="Times New Roman"/>
          <w:sz w:val="20"/>
        </w:rPr>
      </w:pPr>
      <w:r>
        <w:rPr>
          <w:rFonts w:ascii="Times New Roman" w:hAnsi="Times New Roman"/>
          <w:sz w:val="20"/>
        </w:rPr>
        <w:t xml:space="preserve">(ix) deliver to each Participating Holder and each underwriter, if any, without charge, as many copies of the applicable Prospectus (including each preliminary Prospectus), any Issuer Free Writing Prospectus and any amendment or supplement thereto as such Participating Holder or underwriter may reasonably request (it being understood that the Company consents to the use of such Prospectus, any Issuer Free Writing Prospectus, and any amendment or supplement thereto by such Participating Holder and the underwriters, if any, in connection with the offering and sale of the Registrable Securities thereby) and such other documents as such Participating Holder or underwriter may reasonably request in order to facilitate the disposition of the Registrable Securities by such Participating Holder or underwriter; </w:t>
      </w:r>
    </w:p>
    <w:p>
      <w:pPr>
        <w:pStyle w:val="TextBody"/>
        <w:bidi w:val="0"/>
        <w:spacing w:before="120" w:after="0"/>
        <w:jc w:val="left"/>
        <w:rPr>
          <w:rFonts w:ascii="Times New Roman" w:hAnsi="Times New Roman"/>
          <w:sz w:val="20"/>
        </w:rPr>
      </w:pPr>
      <w:r>
        <w:rPr>
          <w:rFonts w:ascii="Times New Roman" w:hAnsi="Times New Roman"/>
          <w:sz w:val="20"/>
        </w:rPr>
        <w:t xml:space="preserve">(x) on or prior to the date on which the applicable Registration Statement is declared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2.02(b), </w:t>
      </w:r>
      <w:r>
        <w:rPr>
          <w:rFonts w:ascii="Times New Roman" w:hAnsi="Times New Roman"/>
          <w:sz w:val="20"/>
          <w:u w:val="single"/>
        </w:rPr>
        <w:t>provided</w:t>
      </w:r>
      <w:r>
        <w:rPr>
          <w:rFonts w:ascii="Times New Roman" w:hAnsi="Times New Roman"/>
          <w:sz w:val="20"/>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 </w:t>
      </w:r>
    </w:p>
    <w:p>
      <w:pPr>
        <w:pStyle w:val="TextBody"/>
        <w:bidi w:val="0"/>
        <w:spacing w:before="120" w:after="0"/>
        <w:jc w:val="left"/>
        <w:rPr>
          <w:rFonts w:ascii="Times New Roman" w:hAnsi="Times New Roman"/>
          <w:sz w:val="20"/>
        </w:rPr>
      </w:pPr>
      <w:r>
        <w:rPr>
          <w:rFonts w:ascii="Times New Roman" w:hAnsi="Times New Roman"/>
          <w:sz w:val="20"/>
        </w:rPr>
        <w:t xml:space="preserve">(xi) cooperate with the Participating Holders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(2) Business Days prior to any sale of Registrable Securities to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 </w:t>
      </w:r>
    </w:p>
    <w:p>
      <w:pPr>
        <w:pStyle w:val="TextBody"/>
        <w:bidi w:val="0"/>
        <w:spacing w:before="120" w:after="0"/>
        <w:jc w:val="left"/>
        <w:rPr>
          <w:rFonts w:ascii="Times New Roman" w:hAnsi="Times New Roman"/>
          <w:sz w:val="20"/>
        </w:rPr>
      </w:pPr>
      <w:r>
        <w:rPr>
          <w:rFonts w:ascii="Times New Roman" w:hAnsi="Times New Roman"/>
          <w:sz w:val="20"/>
        </w:rPr>
        <w:t>(xiii) 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 or any other required depository;</w:t>
      </w:r>
    </w:p>
    <w:p>
      <w:pPr>
        <w:pStyle w:val="TextBody"/>
        <w:bidi w:val="0"/>
        <w:spacing w:before="120" w:after="0"/>
        <w:jc w:val="left"/>
        <w:rPr>
          <w:rFonts w:ascii="Times New Roman" w:hAnsi="Times New Roman"/>
          <w:sz w:val="20"/>
        </w:rPr>
      </w:pPr>
      <w:r>
        <w:rPr>
          <w:rFonts w:ascii="Times New Roman" w:hAnsi="Times New Roman"/>
          <w:sz w:val="20"/>
        </w:rPr>
        <w:t xml:space="preserve">(xiv) make such representations and warranties to the Participating Holders and the underwriters or agents, if any, in form, substance and scope as are customarily made by issuers in secondary underwritten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(xv) enter into such customary agreements (including underwriting and indemnification agreements) and take all such other actions as the Sponsor Holders exercising demand rights or the managing underwriter or underwriters, if any, reasonably request in order to expedite or facilitate the registration and disposition of such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(xvi) obtain for delivery to the Participating Holders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Participating Holders or underwriters, as the case may be, and their respective counsel; </w:t>
      </w:r>
    </w:p>
    <w:p>
      <w:pPr>
        <w:pStyle w:val="TextBody"/>
        <w:bidi w:val="0"/>
        <w:spacing w:before="120" w:after="0"/>
        <w:jc w:val="left"/>
        <w:rPr>
          <w:rFonts w:ascii="Times New Roman" w:hAnsi="Times New Roman"/>
          <w:sz w:val="20"/>
        </w:rPr>
      </w:pPr>
      <w:r>
        <w:rPr>
          <w:rFonts w:ascii="Times New Roman" w:hAnsi="Times New Roman"/>
          <w:sz w:val="20"/>
        </w:rPr>
        <w:t xml:space="preserve">(xvii) in the case of an Underwritten Offering, obtain for delivery to the Company and the managing underwriter or underwriters, with copies to the Participating Holders,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closing under the 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(xviii) cooperate with each Participating Holder and each underwriter, if any, participating in the disposition of such Registrable Securities and their respective counsel in connection with any filings required to be made with the FINRA; </w:t>
      </w:r>
    </w:p>
    <w:p>
      <w:pPr>
        <w:pStyle w:val="TextBody"/>
        <w:bidi w:val="0"/>
        <w:spacing w:before="120" w:after="0"/>
        <w:jc w:val="left"/>
        <w:rPr>
          <w:rFonts w:ascii="Times New Roman" w:hAnsi="Times New Roman"/>
          <w:sz w:val="20"/>
        </w:rPr>
      </w:pPr>
      <w:r>
        <w:rPr>
          <w:rFonts w:ascii="Times New Roman" w:hAnsi="Times New Roman"/>
          <w:sz w:val="20"/>
        </w:rPr>
        <w:t xml:space="preserve">(xix) 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(xx) provide and cause to be maintained a transfer agent and registrar for all Registrable Securities covered by the applicable Registration Statement from and after a date not later than the effective date of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use its reasonable best efforts to cause all Registrable Securities covered by the applicable Registration Statement to be listed on each securities exchange on which any of the Company Shares are then listed or quoted and on each inter-dealer quotation system on which any of the Company Shares are then quoted; </w:t>
      </w:r>
    </w:p>
    <w:p>
      <w:pPr>
        <w:pStyle w:val="TextBody"/>
        <w:bidi w:val="0"/>
        <w:spacing w:before="120" w:after="0"/>
        <w:jc w:val="left"/>
        <w:rPr>
          <w:rFonts w:ascii="Times New Roman" w:hAnsi="Times New Roman"/>
          <w:sz w:val="20"/>
        </w:rPr>
      </w:pPr>
      <w:r>
        <w:rPr>
          <w:rFonts w:ascii="Times New Roman" w:hAnsi="Times New Roman"/>
          <w:sz w:val="20"/>
        </w:rPr>
        <w:t xml:space="preserve">(xxii) make available upon reasonable notice at reasonable times and for reasonable periods for inspection by the Sponsor Holders, by any underwriter participating in any disposition to be effected pursuant to such Registration Statement and by any attorney, accountant, or other agent retained by such Sponsor Holders or any such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 as shall be necessary to enable them to exercise their due diligence responsibility; </w:t>
      </w:r>
      <w:r>
        <w:rPr>
          <w:rFonts w:ascii="Times New Roman" w:hAnsi="Times New Roman"/>
          <w:sz w:val="20"/>
          <w:u w:val="single"/>
        </w:rPr>
        <w:t>provided</w:t>
      </w:r>
      <w:r>
        <w:rPr>
          <w:rFonts w:ascii="Times New Roman" w:hAnsi="Times New Roman"/>
          <w:sz w:val="20"/>
        </w:rPr>
        <w:t xml:space="preserve">, that any such Person gaining access to information regarding the Company pursuant to this </w:t>
      </w:r>
      <w:r>
        <w:rPr>
          <w:rFonts w:ascii="Times New Roman" w:hAnsi="Times New Roman"/>
          <w:sz w:val="20"/>
          <w:u w:val="single"/>
        </w:rPr>
        <w:t>Section 2.05(a)(xxii)</w:t>
      </w:r>
      <w:r>
        <w:rPr>
          <w:rFonts w:ascii="Times New Roman" w:hAnsi="Times New Roman"/>
          <w:sz w:val="20"/>
        </w:rPr>
        <w:t xml:space="preserve"> shall agree to hold in strict confidence and shall not make any disclosure or use any information regarding the Company that the Company determines in good faith to be confidential, and of which determination such Person is notified, unless (w) the release of such information is requested or required by law or by deposition, interrogatory, requests for information or documents by a governmental entity, subpoena, or similar process, (x) such information is or becomes publicly known other than through a breach of this or any other agreement of which such Person has actual knowledge, (y) such information is or becomes available to such Person on a non-confidential basis from a source other than the Company, or (z) such information is independently developed by such Person; </w:t>
      </w:r>
    </w:p>
    <w:p>
      <w:pPr>
        <w:pStyle w:val="TextBody"/>
        <w:bidi w:val="0"/>
        <w:spacing w:before="120" w:after="0"/>
        <w:jc w:val="left"/>
        <w:rPr>
          <w:rFonts w:ascii="Times New Roman" w:hAnsi="Times New Roman"/>
          <w:sz w:val="20"/>
        </w:rPr>
      </w:pPr>
      <w:r>
        <w:rPr>
          <w:rFonts w:ascii="Times New Roman" w:hAnsi="Times New Roman"/>
          <w:sz w:val="20"/>
        </w:rPr>
        <w:t xml:space="preserve">(xxiii) in the case of an Underwritten Offering, cause the senior executive officers of the Company to participate in the customary “road show” presentations that may be reasonably requested by the managing underwriter or underwriters in any such Underwritten Offering and otherwise to facilitate, cooperate with, and participate in each proposed offering contemplated herein and customary selling efforts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(xxiv) cooperate with the Holders subject to the Registration Statement and with the managing underwriter or agent, if any, to facilitate any Charitable Gifting Event and to prepare and file with the SEC such amendments and supplements to such Registration Statement and the Prospectus used in connection therewith as may be necessary to permit any such recipient Charitable Organization to sell in the public offering if it so elects; and </w:t>
      </w:r>
    </w:p>
    <w:p>
      <w:pPr>
        <w:pStyle w:val="TextBody"/>
        <w:bidi w:val="0"/>
        <w:spacing w:before="120" w:after="0"/>
        <w:jc w:val="left"/>
        <w:rPr>
          <w:rFonts w:ascii="Times New Roman" w:hAnsi="Times New Roman"/>
          <w:sz w:val="20"/>
        </w:rPr>
      </w:pPr>
      <w:r>
        <w:rPr>
          <w:rFonts w:ascii="Times New Roman" w:hAnsi="Times New Roman"/>
          <w:sz w:val="20"/>
        </w:rPr>
        <w:t xml:space="preserve">(xxv) otherwise comply in all material respects with all applicable rules and regulations of the SEC in connection with any Registration Statement and the disposition of all Registrable Securities covered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require each Participating Holder to furnish to the Company such information regarding the distribution of such securities and such other information relating to such Participating Holder and its ownership of Registrable Securities as the Company may from time to time reasonably request in writing. Each Participating Holder agrees to furnish such information to the Company and to cooperate with the Company as reasonably necessary to enable the Company to comply with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Participating Holder agrees that, upon delivery of any notice by the Company of the happening of any event of the kind described in </w:t>
      </w:r>
      <w:r>
        <w:rPr>
          <w:rFonts w:ascii="Times New Roman" w:hAnsi="Times New Roman"/>
          <w:sz w:val="20"/>
          <w:u w:val="single"/>
        </w:rPr>
        <w:t>Section 2.05(a)(iv)(C)</w:t>
      </w:r>
      <w:r>
        <w:rPr>
          <w:rFonts w:ascii="Times New Roman" w:hAnsi="Times New Roman"/>
          <w:sz w:val="20"/>
        </w:rPr>
        <w:t>,</w:t>
      </w:r>
      <w:r>
        <w:rPr>
          <w:rFonts w:ascii="Times New Roman" w:hAnsi="Times New Roman"/>
          <w:sz w:val="20"/>
          <w:u w:val="single"/>
        </w:rPr>
        <w:t> (D)</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or </w:t>
      </w:r>
      <w:r>
        <w:rPr>
          <w:rFonts w:ascii="Times New Roman" w:hAnsi="Times New Roman"/>
          <w:sz w:val="20"/>
          <w:u w:val="single"/>
        </w:rPr>
        <w:t>Section 2.05(a)(v)</w:t>
      </w:r>
      <w:r>
        <w:rPr>
          <w:rFonts w:ascii="Times New Roman" w:hAnsi="Times New Roman"/>
          <w:sz w:val="20"/>
        </w:rPr>
        <w:t xml:space="preserve">, such Participating Holder will forthwith discontinue disposition of Registrable Securities pursuant to such Registration Statement until (i) such Participating Holder’s receipt of the copies of the supplemented or amended Prospectus or Issuer Free Writing Prospectus contemplated by </w:t>
      </w:r>
      <w:r>
        <w:rPr>
          <w:rFonts w:ascii="Times New Roman" w:hAnsi="Times New Roman"/>
          <w:sz w:val="20"/>
          <w:u w:val="single"/>
        </w:rPr>
        <w:t>Section 2.05(a)(v)</w:t>
      </w:r>
      <w:r>
        <w:rPr>
          <w:rFonts w:ascii="Times New Roman" w:hAnsi="Times New Roman"/>
          <w:sz w:val="20"/>
        </w:rPr>
        <w:t xml:space="preserve">, (ii) such Participating Holder is advised in writing by the Company that the use of the Prospectus or Issuer Free Writing Prospectus, as the case may be, may be resumed, (iii) such Participating Holder is advised in writing by the Company of the termination, expiration or cessation of such order or suspension referenced in </w:t>
      </w:r>
      <w:r>
        <w:rPr>
          <w:rFonts w:ascii="Times New Roman" w:hAnsi="Times New Roman"/>
          <w:sz w:val="20"/>
          <w:u w:val="single"/>
        </w:rPr>
        <w:t>Section 2.05(a)(iv)(C)</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or (iv) such Participating Holder is advised in writing by the Company that the representations and warranties of the Company in such applicable underwriting agreement are true and correct in all material respects. If so directed by the Company, such Participating Holder shall deliver to the Company (at the Company’s expense) all copies, other than permanent file copies then in such Participating Holder’s possession, of the Prospectus or any Issuer Free Writing Prospectus covering such Registrable Securities current at the time of delivery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Issuer Free Writing Prospectus contemplated by </w:t>
      </w:r>
      <w:r>
        <w:rPr>
          <w:rFonts w:ascii="Times New Roman" w:hAnsi="Times New Roman"/>
          <w:sz w:val="20"/>
          <w:u w:val="single"/>
        </w:rPr>
        <w:t>Section 2.05(a)(v)</w:t>
      </w:r>
      <w:r>
        <w:rPr>
          <w:rFonts w:ascii="Times New Roman" w:hAnsi="Times New Roman"/>
          <w:sz w:val="20"/>
        </w:rPr>
        <w:t xml:space="preserve"> or is advised in writing by the Company that the use of the Prospectus or Issuer Free Writing Prospectus may be resumed.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Underwritten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Demand and Shelf Registrations</w:t>
      </w:r>
      <w:r>
        <w:rPr>
          <w:rFonts w:ascii="Times New Roman" w:hAnsi="Times New Roman"/>
          <w:sz w:val="20"/>
        </w:rPr>
        <w:t xml:space="preserve">. If requested by the underwriters for any Underwritten Offering requested by the Sponsor Holders pursuant to a Registration under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2.02</w:t>
      </w:r>
      <w:r>
        <w:rPr>
          <w:rFonts w:ascii="Times New Roman" w:hAnsi="Times New Roman"/>
          <w:sz w:val="20"/>
        </w:rPr>
        <w:t xml:space="preserve">, as applicable, the Company shall enter into an underwriting agreement with such underwriters for such offering, such agreement to be reasonably satisfactory in substance and form to the Company, the participating Sponsor Holders, and the underwriters, and to contain such representations and warranties by the Company and such other terms as are generally prevailing in agreements of that type, including indemnities no less favorable to the recipient thereof than those provided in </w:t>
      </w:r>
      <w:r>
        <w:rPr>
          <w:rFonts w:ascii="Times New Roman" w:hAnsi="Times New Roman"/>
          <w:sz w:val="20"/>
          <w:u w:val="single"/>
        </w:rPr>
        <w:t>Section 2.09</w:t>
      </w:r>
      <w:r>
        <w:rPr>
          <w:rFonts w:ascii="Times New Roman" w:hAnsi="Times New Roman"/>
          <w:sz w:val="20"/>
        </w:rPr>
        <w:t xml:space="preserve">. The participating Sponsor Holders shall cooperate with the Company in the negotiation of such underwriting agreement and each shall give consideration to the reasonable suggestions of the other regarding the form thereof. The Participating Holders shall be parties to such underwriting agreement,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Participating Holder’s title to the Registrable Securities, such Participating Holder’s authority to sell the Registrable Securities, such Participating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and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from such Underwritten Offering.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Piggyback Registrations</w:t>
      </w:r>
      <w:r>
        <w:rPr>
          <w:rFonts w:ascii="Times New Roman" w:hAnsi="Times New Roman"/>
          <w:sz w:val="20"/>
        </w:rPr>
        <w:t xml:space="preserve">. If the Company proposes to register any of its securities under the Securities Act as contemplated by </w:t>
      </w:r>
      <w:r>
        <w:rPr>
          <w:rFonts w:ascii="Times New Roman" w:hAnsi="Times New Roman"/>
          <w:sz w:val="20"/>
          <w:u w:val="single"/>
        </w:rPr>
        <w:t>Section 2.03</w:t>
      </w:r>
      <w:r>
        <w:rPr>
          <w:rFonts w:ascii="Times New Roman" w:hAnsi="Times New Roman"/>
          <w:sz w:val="20"/>
        </w:rPr>
        <w:t xml:space="preserve"> and such securities are to be distributed in an Underwritten Offering through one or more underwriters, the Company shall, if requested by any Holder pursuant to </w:t>
      </w:r>
      <w:r>
        <w:rPr>
          <w:rFonts w:ascii="Times New Roman" w:hAnsi="Times New Roman"/>
          <w:sz w:val="20"/>
          <w:u w:val="single"/>
        </w:rPr>
        <w:t>Section 2.03</w:t>
      </w:r>
      <w:r>
        <w:rPr>
          <w:rFonts w:ascii="Times New Roman" w:hAnsi="Times New Roman"/>
          <w:sz w:val="20"/>
        </w:rPr>
        <w:t xml:space="preserve"> and subject to the provisions of </w:t>
      </w:r>
      <w:r>
        <w:rPr>
          <w:rFonts w:ascii="Times New Roman" w:hAnsi="Times New Roman"/>
          <w:sz w:val="20"/>
          <w:u w:val="single"/>
        </w:rPr>
        <w:t>Sections 2.03(b)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use its reasonable best efforts to arrange for such underwriters to include on the same terms and conditions that apply to the other sellers in such Registration all the Registrable Securities to be offered and sold by such Holder among the securities of the Company to be distributed by such underwriters in such Registration. The Participating Holders shall be parties to the underwriting agreement between the Company and such underwriters,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or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from such Underwritten Offering.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Participation in Underwritten Registrations</w:t>
      </w:r>
      <w:r>
        <w:rPr>
          <w:rFonts w:ascii="Times New Roman" w:hAnsi="Times New Roman"/>
          <w:sz w:val="20"/>
        </w:rPr>
        <w:t xml:space="preserve">. Subject to the provisions of </w:t>
      </w:r>
      <w:r>
        <w:rPr>
          <w:rFonts w:ascii="Times New Roman" w:hAnsi="Times New Roman"/>
          <w:sz w:val="20"/>
          <w:u w:val="single"/>
        </w:rPr>
        <w:t>Sections 2.06(a)</w:t>
      </w:r>
      <w:r>
        <w:rPr>
          <w:rFonts w:ascii="Times New Roman" w:hAnsi="Times New Roman"/>
          <w:sz w:val="20"/>
        </w:rPr>
        <w:t xml:space="preserve"> and </w:t>
      </w:r>
      <w:r>
        <w:rPr>
          <w:rFonts w:ascii="Times New Roman" w:hAnsi="Times New Roman"/>
          <w:sz w:val="20"/>
          <w:u w:val="single"/>
        </w:rPr>
        <w:t>2.06(b)</w:t>
      </w:r>
      <w:r>
        <w:rPr>
          <w:rFonts w:ascii="Times New Roman" w:hAnsi="Times New Roman"/>
          <w:sz w:val="20"/>
        </w:rPr>
        <w:t xml:space="preserve">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reasonably requested by the underwriters and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Price and Underwriting Discounts</w:t>
      </w:r>
      <w:r>
        <w:rPr>
          <w:rFonts w:ascii="Times New Roman" w:hAnsi="Times New Roman"/>
          <w:sz w:val="20"/>
        </w:rPr>
        <w:t xml:space="preserve">. In the case of an Underwritten Offering under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2.02</w:t>
      </w:r>
      <w:r>
        <w:rPr>
          <w:rFonts w:ascii="Times New Roman" w:hAnsi="Times New Roman"/>
          <w:sz w:val="20"/>
        </w:rPr>
        <w:t xml:space="preserve">, the price, underwriting discount, and other financial terms for the Registrable Securities shall be determined by the Sponsor Holders exercising demand rights so long as all Registrable Securities are subject to the same financial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 Inconsistent Agreements; Additional Rights</w:t>
      </w:r>
      <w:r>
        <w:rPr>
          <w:rFonts w:ascii="Times New Roman" w:hAnsi="Times New Roman"/>
          <w:sz w:val="20"/>
        </w:rPr>
        <w:t xml:space="preserve">. The Company is not currently a party to, and shall not hereafter enter into without the prior written consent of the Sponsor Holders, any agreement with respect to its securities that is inconsistent with the rights granted to the Holders by this Agreement, including allowing any other holder or prospective holder of any securities of the Company (a) registration rights in the nature or substantially in the nature of those set forth in </w:t>
      </w:r>
      <w:r>
        <w:rPr>
          <w:rFonts w:ascii="Times New Roman" w:hAnsi="Times New Roman"/>
          <w:sz w:val="20"/>
          <w:u w:val="single"/>
        </w:rPr>
        <w:t>Section 2.01</w:t>
      </w:r>
      <w:r>
        <w:rPr>
          <w:rFonts w:ascii="Times New Roman" w:hAnsi="Times New Roman"/>
          <w:sz w:val="20"/>
        </w:rPr>
        <w:t xml:space="preserve">, </w:t>
      </w:r>
      <w:r>
        <w:rPr>
          <w:rFonts w:ascii="Times New Roman" w:hAnsi="Times New Roman"/>
          <w:sz w:val="20"/>
          <w:u w:val="single"/>
        </w:rPr>
        <w:t>Section 2.02</w:t>
      </w:r>
      <w:r>
        <w:rPr>
          <w:rFonts w:ascii="Times New Roman" w:hAnsi="Times New Roman"/>
          <w:sz w:val="20"/>
        </w:rPr>
        <w:t xml:space="preserve">, or </w:t>
      </w:r>
      <w:r>
        <w:rPr>
          <w:rFonts w:ascii="Times New Roman" w:hAnsi="Times New Roman"/>
          <w:sz w:val="20"/>
          <w:u w:val="single"/>
        </w:rPr>
        <w:t>Section 2.03</w:t>
      </w:r>
      <w:r>
        <w:rPr>
          <w:rFonts w:ascii="Times New Roman" w:hAnsi="Times New Roman"/>
          <w:sz w:val="20"/>
        </w:rPr>
        <w:t xml:space="preserve"> that would have priority over the Registrable Securities with respect to the inclusion of such securities in any Registration (except to the extent such registration rights are solely related to registrations of the type contemplated by </w:t>
      </w:r>
      <w:r>
        <w:rPr>
          <w:rFonts w:ascii="Times New Roman" w:hAnsi="Times New Roman"/>
          <w:sz w:val="20"/>
          <w:u w:val="single"/>
        </w:rPr>
        <w:t>Section 2.03(a)(iii)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or (b) demand registration rights in the nature or substantially in the nature of those set forth in </w:t>
      </w:r>
      <w:r>
        <w:rPr>
          <w:rFonts w:ascii="Times New Roman" w:hAnsi="Times New Roman"/>
          <w:sz w:val="20"/>
          <w:u w:val="single"/>
        </w:rPr>
        <w:t xml:space="preserve">Section 2.01 </w:t>
      </w:r>
      <w:r>
        <w:rPr>
          <w:rFonts w:ascii="Times New Roman" w:hAnsi="Times New Roman"/>
          <w:sz w:val="20"/>
        </w:rPr>
        <w:t xml:space="preserve">or </w:t>
      </w:r>
      <w:r>
        <w:rPr>
          <w:rFonts w:ascii="Times New Roman" w:hAnsi="Times New Roman"/>
          <w:sz w:val="20"/>
          <w:u w:val="single"/>
        </w:rPr>
        <w:t>Section 2.02</w:t>
      </w:r>
      <w:r>
        <w:rPr>
          <w:rFonts w:ascii="Times New Roman" w:hAnsi="Times New Roman"/>
          <w:sz w:val="20"/>
        </w:rPr>
        <w:t xml:space="preserve"> that are exercisable prior to such time as the Sponsor Holders and the Holders can first exercise their rights under </w:t>
      </w:r>
      <w:r>
        <w:rPr>
          <w:rFonts w:ascii="Times New Roman" w:hAnsi="Times New Roman"/>
          <w:sz w:val="20"/>
          <w:u w:val="single"/>
        </w:rPr>
        <w:t xml:space="preserve">Section 2.01 </w:t>
      </w:r>
      <w:r>
        <w:rPr>
          <w:rFonts w:ascii="Times New Roman" w:hAnsi="Times New Roman"/>
          <w:sz w:val="20"/>
        </w:rPr>
        <w:t xml:space="preserve">or </w:t>
      </w:r>
      <w:r>
        <w:rPr>
          <w:rFonts w:ascii="Times New Roman" w:hAnsi="Times New Roman"/>
          <w:sz w:val="20"/>
          <w:u w:val="single"/>
        </w:rPr>
        <w:t>Section 2.02</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Registration Expenses</w:t>
      </w:r>
      <w:r>
        <w:rPr>
          <w:rFonts w:ascii="Times New Roman" w:hAnsi="Times New Roman"/>
          <w:sz w:val="20"/>
        </w:rPr>
        <w:t>. All expenses incident to the Company’s performance of or compliance with this Agreement shall be paid by the Company, including (i) all registration and filing fees, and any other fees and expenses associated with filings required to be made with the SEC, FINRA and if applicable, the fees and expenses of any “qualified independent underwriter,” as such term is defined in FINRA Rule 5121 (or any successor provision), and of its counsel, (ii) all fees and expenses in connection with compliance with any securities or “Blue Sky” laws (including fees and disbursements of counsel for the underwriters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or any other required depositories and of printing Prospectuses and Issuer Free Writing Prospectuses),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Registrable Securities on any securities exchange or quotation of the Registrable Securities on any inter-dealer quotation system, (vii) all applicable rating agency fees with respect to the Registrable Securities, (viii) any reasonable fees and disbursements of underwriters customarily paid by issuers or sellers of securities, (ix) all fees and expenses of any special experts or other Persons retained by the Company in connection with any Registration, (x) all of the Company’s internal expenses (including all salaries and expenses of its officers and employees performing legal or accounting duties), (xi) all expenses related to the “road-show” for any Underwritten Offering, including all travel, meals, and lodging, and (xii) any other fees and disbursements customarily paid by the issuers of securities. All such expenses are referred to herein as “</w:t>
      </w:r>
      <w:r>
        <w:rPr>
          <w:rFonts w:ascii="Times New Roman" w:hAnsi="Times New Roman"/>
          <w:sz w:val="20"/>
          <w:u w:val="single"/>
        </w:rPr>
        <w:t>Registration Expenses</w:t>
      </w:r>
      <w:r>
        <w:rPr>
          <w:rFonts w:ascii="Times New Roman" w:hAnsi="Times New Roman"/>
          <w:sz w:val="20"/>
        </w:rPr>
        <w:t xml:space="preserve">.” The Company shall not be required to pay any underwriting discounts and commissions and transfer taxes, if any, attributable to the sale of Registrable Securities. Without limiting the foregoing, in connection with each Registration or offering made pursuant to this Agreement, the Company shall pay (i) the reasonable fees and expenses of the Sponsor Holders’ counsel for the Sponsor Holders exercising demand rights and (ii) the reasonable fees and expenses of one counsel to the other Holders, which counsel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by the Sponsor Holders exercising demand rights and may be the same counsel for such Sponsor Holders;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if such Sponsor Holders do not elect to designate such counsel, such counsel shall be designated by the Holders participating in such Registration or offering that hold a majority of the Registrable Securities held by all such participating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by the Company</w:t>
      </w:r>
      <w:r>
        <w:rPr>
          <w:rFonts w:ascii="Times New Roman" w:hAnsi="Times New Roman"/>
          <w:sz w:val="20"/>
        </w:rPr>
        <w:t>. The Company agrees to indemnify and hold harmless, to the full extent permitted by law, each of the Holders, each of their respective direct or indirect partners, members, managers, or shareholders and each of such partner’s, member’s or shareholder’s partners, members, managers,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preparation and investigation and legal expenses) (each, a “</w:t>
      </w:r>
      <w:r>
        <w:rPr>
          <w:rFonts w:ascii="Times New Roman" w:hAnsi="Times New Roman"/>
          <w:sz w:val="20"/>
          <w:u w:val="single"/>
        </w:rPr>
        <w:t>Loss</w:t>
      </w:r>
      <w:r>
        <w:rPr>
          <w:rFonts w:ascii="Times New Roman" w:hAnsi="Times New Roman"/>
          <w:sz w:val="20"/>
        </w:rPr>
        <w:t>” and collectively, “</w:t>
      </w:r>
      <w:r>
        <w:rPr>
          <w:rFonts w:ascii="Times New Roman" w:hAnsi="Times New Roman"/>
          <w:sz w:val="20"/>
          <w:u w:val="single"/>
        </w:rPr>
        <w:t>Losses</w:t>
      </w:r>
      <w:r>
        <w:rPr>
          <w:rFonts w:ascii="Times New Roman" w:hAnsi="Times New Roman"/>
          <w:sz w:val="20"/>
        </w:rPr>
        <w:t xml:space="preserve">”) arising out of or based upon (i) any untrue statement or alleged untrue statement of a material fact contained in any Registration Statement under which such Registrable Securities were Registered under the Securities Act (including any final, preliminary, or summary Prospectus contained therein or any amendment or supplement thereto or any documents incorporated by reference therein), any Issuer Free Writing Prospectus or amendment or supplement thereto, or any other disclosure document produced by or on behalf of the Company or any of its Subsidiaries including reports and other documents filed under the Exchange Act, (ii)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(iii) any violation or alleged violation by the Company of any federal, state, or common law rule or regulation applicable to the Company or any of its Subsidiaries in connection with any such registration, qualification, compliance, or sale of Registrable Securities, (iv) any failure to register or qualify Registrable Securities in any state where the Company or its agents have affirmatively undertaken or agreed in writing that the Company (the undertaking of any underwriter being attributed to the Company) will undertake such registration or qualification on behalf of the Holders of such Registrable Securities, or (v) any actions or inactions or proceedings in respect of the foregoing whether or not such indemnified party is a party thereto, and the Company will reimburse, as incurred, each such Holder and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controlling Persons and each of their respective Representatives, for any legal and any other expenses reasonably incurred in connection with investigating or defending any such claim, loss, damage, liability, or action; </w:t>
      </w:r>
      <w:r>
        <w:rPr>
          <w:rFonts w:ascii="Times New Roman" w:hAnsi="Times New Roman"/>
          <w:sz w:val="20"/>
          <w:u w:val="single"/>
        </w:rPr>
        <w:t>provided</w:t>
      </w:r>
      <w:r>
        <w:rPr>
          <w:rFonts w:ascii="Times New Roman" w:hAnsi="Times New Roman"/>
          <w:sz w:val="20"/>
        </w:rPr>
        <w:t>, that no Participating Holder shall be entitled to indemnification pursuant to this Section in respect of any untrue statement or omission contained in any information relating to such Participating Holder furnished in writing by such Participating Holder to the Company specifically for inclusion in a Registration Statement and used by the Company in conformity therewith (such information “</w:t>
      </w:r>
      <w:r>
        <w:rPr>
          <w:rFonts w:ascii="Times New Roman" w:hAnsi="Times New Roman"/>
          <w:sz w:val="20"/>
          <w:u w:val="single"/>
        </w:rPr>
        <w:t>Selling Stockholder Information</w:t>
      </w:r>
      <w:r>
        <w:rPr>
          <w:rFonts w:ascii="Times New Roman" w:hAnsi="Times New Roman"/>
          <w:sz w:val="20"/>
        </w:rPr>
        <w:t xml:space="preserve">”). This indemnity shall be in addition to any liability the Company may otherwise have. Such indemnity shall remain in full force and effect regardless of any investigation made by or on behalf of such Holder or any indemnified party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survive the transfer of such securities by such Holder. The Company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Participating Holders</w:t>
      </w:r>
      <w:r>
        <w:rPr>
          <w:rFonts w:ascii="Times New Roman" w:hAnsi="Times New Roman"/>
          <w:sz w:val="20"/>
        </w:rPr>
        <w:t xml:space="preserve">. Each Participating Holder agrees (severally and not jointly) to indemnify and hold harmless, to the fullest extent permitted by law, the Company, its directors and officers and each Person who controls the Company (within the meaning of the Securities Act or the Exchange Act), from and against any Losses resulting from (i) any untrue statement or alleged untrue statement of a material fact in any Registration Statement under which such Registrable Securities were Registered under the Securities Act (including any final, preliminary, or summary Prospectus contained therein or any amendment or supplement thereto or any documents incorporated by reference therein), or any Issuer Free Writing Prospectus or amendment or supplement thereto, or (ii)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in each case to the extent, but only to the extent, that such untrue statement (or alleged untrue statement) or omission (or alleged omission) is contained in such Participating Holder’s Selling Stockholder Information. In no event shall the liability of such Holder hereunder be greater in amount than the dollar amount of the net proceeds received by such Holder under the sale of Registrable Securities giving rise to such indemnification obligation.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Conduct of Indemnification Proceedings</w:t>
      </w:r>
      <w:r>
        <w:rPr>
          <w:rFonts w:ascii="Times New Roman" w:hAnsi="Times New Roman"/>
          <w:sz w:val="20"/>
        </w:rPr>
        <w:t xml:space="preserve">. Any Person entitled to indemnification under this </w:t>
      </w:r>
      <w:r>
        <w:rPr>
          <w:rFonts w:ascii="Times New Roman" w:hAnsi="Times New Roman"/>
          <w:sz w:val="20"/>
          <w:u w:val="single"/>
        </w:rPr>
        <w:t>Section 2.09</w:t>
      </w:r>
      <w:r>
        <w:rPr>
          <w:rFonts w:ascii="Times New Roman" w:hAnsi="Times New Roman"/>
          <w:sz w:val="20"/>
        </w:rPr>
        <w:t xml:space="preserve"> shall (i) give prompt written notice to the indemnifying party of any claim with respect to which it seeks indemnification (</w:t>
      </w:r>
      <w:r>
        <w:rPr>
          <w:rFonts w:ascii="Times New Roman" w:hAnsi="Times New Roman"/>
          <w:sz w:val="20"/>
          <w:u w:val="single"/>
        </w:rPr>
        <w:t>provided</w:t>
      </w:r>
      <w:r>
        <w:rPr>
          <w:rFonts w:ascii="Times New Roman" w:hAnsi="Times New Roman"/>
          <w:sz w:val="20"/>
        </w:rPr>
        <w:t xml:space="preserve">, that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Times New Roman" w:hAnsi="Times New Roman"/>
          <w:sz w:val="20"/>
          <w:u w:val="single"/>
        </w:rPr>
        <w:t>provided</w:t>
      </w:r>
      <w:r>
        <w:rPr>
          <w:rFonts w:ascii="Times New Roman" w:hAnsi="Times New Roman"/>
          <w:sz w:val="20"/>
        </w:rPr>
        <w:t xml:space="preserve">,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delivery of notice of such claim from the Person entitled to indemnification hereunder and employ counsel reasonably satisfactory to such Person, (C) the indemnified party has reasonably concluded (based upon advice of its counsel) that there may be legal defenses available to it or other indemnified parties that are different from or in addition to those available to the indemnifying party, or (D)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consent to entry of any judgment or enter into any settlement, in each case without the prior written consent of the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entry of such judgment or settlement (i) includes as an unconditional term thereof the giving by the claimant or plaintiff to such indemnified party of an unconditional release from all liability in respect to such claim or litigation and (ii) does not include a statement as to or an admission of fault, culpability or a failure to act by or on behalf of such indemnified party, and </w:t>
      </w:r>
      <w:r>
        <w:rPr>
          <w:rFonts w:ascii="Times New Roman" w:hAnsi="Times New Roman"/>
          <w:sz w:val="20"/>
          <w:u w:val="single"/>
        </w:rPr>
        <w:t>provided</w:t>
      </w:r>
      <w:r>
        <w:rPr>
          <w:rFonts w:ascii="Times New Roman" w:hAnsi="Times New Roman"/>
          <w:sz w:val="20"/>
        </w:rPr>
        <w:t xml:space="preserve">, that any sums payable in connection with such settlement are paid in full by the indemnifying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w:t>
      </w:r>
      <w:r>
        <w:rPr>
          <w:rFonts w:ascii="Times New Roman" w:hAnsi="Times New Roman"/>
          <w:sz w:val="20"/>
          <w:u w:val="single"/>
        </w:rPr>
        <w:t>Section 2.09(c)</w:t>
      </w:r>
      <w:r>
        <w:rPr>
          <w:rFonts w:ascii="Times New Roman" w:hAnsi="Times New Roman"/>
          <w:sz w:val="20"/>
        </w:rPr>
        <w:t xml:space="preserve">,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Contribution</w:t>
      </w:r>
      <w:r>
        <w:rPr>
          <w:rFonts w:ascii="Times New Roman" w:hAnsi="Times New Roman"/>
          <w:sz w:val="20"/>
        </w:rPr>
        <w:t xml:space="preserve">. If for any reason the indemnification provided for in paragraphs (a) and (b) of this </w:t>
      </w:r>
      <w:r>
        <w:rPr>
          <w:rFonts w:ascii="Times New Roman" w:hAnsi="Times New Roman"/>
          <w:sz w:val="20"/>
          <w:u w:val="single"/>
        </w:rPr>
        <w:t>Section 2.09</w:t>
      </w:r>
      <w:r>
        <w:rPr>
          <w:rFonts w:ascii="Times New Roman" w:hAnsi="Times New Roman"/>
          <w:sz w:val="20"/>
        </w:rPr>
        <w:t xml:space="preserve"> is unavailable to an indemnified party or insufficient in respect of any Losses referred to therein (other than as a result of exceptions or limitations on indemnification contained in </w:t>
      </w:r>
      <w:r>
        <w:rPr>
          <w:rFonts w:ascii="Times New Roman" w:hAnsi="Times New Roman"/>
          <w:sz w:val="20"/>
          <w:u w:val="single"/>
        </w:rPr>
        <w:t>Section 2.09</w:t>
      </w:r>
      <w:r>
        <w:rPr>
          <w:rFonts w:ascii="Times New Roman" w:hAnsi="Times New Roman"/>
          <w:sz w:val="20"/>
        </w:rPr>
        <w:t xml:space="preserve">),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w:t>
      </w:r>
      <w:r>
        <w:rPr>
          <w:rFonts w:ascii="Times New Roman" w:hAnsi="Times New Roman"/>
          <w:sz w:val="20"/>
          <w:u w:val="single"/>
        </w:rPr>
        <w:t>Section 2.09(d)</w:t>
      </w:r>
      <w:r>
        <w:rPr>
          <w:rFonts w:ascii="Times New Roman" w:hAnsi="Times New Roman"/>
          <w:sz w:val="20"/>
        </w:rPr>
        <w:t xml:space="preserve"> were determined by </w:t>
      </w:r>
      <w:r>
        <w:rPr>
          <w:rFonts w:ascii="Times New Roman" w:hAnsi="Times New Roman"/>
          <w:sz w:val="20"/>
          <w:u w:val="single"/>
        </w:rPr>
        <w:t>pro rata</w:t>
      </w:r>
      <w:r>
        <w:rPr>
          <w:rFonts w:ascii="Times New Roman" w:hAnsi="Times New Roman"/>
          <w:sz w:val="20"/>
        </w:rPr>
        <w:t xml:space="preserve"> allocation or by any other method of allocation that does not take account of the equitable considerations referred to in this </w:t>
      </w:r>
      <w:r>
        <w:rPr>
          <w:rFonts w:ascii="Times New Roman" w:hAnsi="Times New Roman"/>
          <w:sz w:val="20"/>
          <w:u w:val="single"/>
        </w:rPr>
        <w:t>Section 2.09(d)</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w:t>
      </w:r>
      <w:r>
        <w:rPr>
          <w:rFonts w:ascii="Times New Roman" w:hAnsi="Times New Roman"/>
          <w:sz w:val="20"/>
          <w:u w:val="single"/>
        </w:rPr>
        <w:t>Sections 2.09(a)</w:t>
      </w:r>
      <w:r>
        <w:rPr>
          <w:rFonts w:ascii="Times New Roman" w:hAnsi="Times New Roman"/>
          <w:sz w:val="20"/>
        </w:rPr>
        <w:t xml:space="preserve"> and </w:t>
      </w:r>
      <w:r>
        <w:rPr>
          <w:rFonts w:ascii="Times New Roman" w:hAnsi="Times New Roman"/>
          <w:sz w:val="20"/>
          <w:u w:val="single"/>
        </w:rPr>
        <w:t>2.09(b)</w:t>
      </w:r>
      <w:r>
        <w:rPr>
          <w:rFonts w:ascii="Times New Roman" w:hAnsi="Times New Roman"/>
          <w:sz w:val="20"/>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 w:hAnsi="Times New Roman"/>
          <w:sz w:val="20"/>
          <w:u w:val="single"/>
        </w:rPr>
        <w:t>Section 2.09(d)</w:t>
      </w:r>
      <w:r>
        <w:rPr>
          <w:rFonts w:ascii="Times New Roman" w:hAnsi="Times New Roman"/>
          <w:sz w:val="20"/>
        </w:rPr>
        <w:t xml:space="preserve">, in connection with any Registration Statement filed by the Company, a Participating Holder shall not be required to contribute any amount in excess of the dollar amount of the net proceeds received by such Holder under the sale of Registrable Securities giving rise to such contribution obligation less any amount paid by such Holders pursuant to </w:t>
      </w:r>
      <w:r>
        <w:rPr>
          <w:rFonts w:ascii="Times New Roman" w:hAnsi="Times New Roman"/>
          <w:sz w:val="20"/>
          <w:u w:val="single"/>
        </w:rPr>
        <w:t>Section 2.08(b)</w:t>
      </w:r>
      <w:r>
        <w:rPr>
          <w:rFonts w:ascii="Times New Roman" w:hAnsi="Times New Roman"/>
          <w:sz w:val="20"/>
        </w:rPr>
        <w:t xml:space="preserve">. If indemnification is available under this </w:t>
      </w:r>
      <w:r>
        <w:rPr>
          <w:rFonts w:ascii="Times New Roman" w:hAnsi="Times New Roman"/>
          <w:sz w:val="20"/>
          <w:u w:val="single"/>
        </w:rPr>
        <w:t>Section 2.09</w:t>
      </w:r>
      <w:r>
        <w:rPr>
          <w:rFonts w:ascii="Times New Roman" w:hAnsi="Times New Roman"/>
          <w:sz w:val="20"/>
        </w:rPr>
        <w:t xml:space="preserve">, the indemnifying parties shall indemnify each indemnified party to the full extent provided in </w:t>
      </w:r>
      <w:r>
        <w:rPr>
          <w:rFonts w:ascii="Times New Roman" w:hAnsi="Times New Roman"/>
          <w:sz w:val="20"/>
          <w:u w:val="single"/>
        </w:rPr>
        <w:t>Sections 2.09(a)</w:t>
      </w:r>
      <w:r>
        <w:rPr>
          <w:rFonts w:ascii="Times New Roman" w:hAnsi="Times New Roman"/>
          <w:sz w:val="20"/>
        </w:rPr>
        <w:t xml:space="preserve"> and </w:t>
      </w:r>
      <w:r>
        <w:rPr>
          <w:rFonts w:ascii="Times New Roman" w:hAnsi="Times New Roman"/>
          <w:sz w:val="20"/>
          <w:u w:val="single"/>
        </w:rPr>
        <w:t>Section 2.08(b)</w:t>
      </w:r>
      <w:r>
        <w:rPr>
          <w:rFonts w:ascii="Times New Roman" w:hAnsi="Times New Roman"/>
          <w:sz w:val="20"/>
        </w:rPr>
        <w:t xml:space="preserve"> hereof without regard to the provisions of this </w:t>
      </w:r>
      <w:r>
        <w:rPr>
          <w:rFonts w:ascii="Times New Roman" w:hAnsi="Times New Roman"/>
          <w:sz w:val="20"/>
          <w:u w:val="single"/>
        </w:rPr>
        <w:t>Section 2.09(d)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Exclusivity</w:t>
      </w:r>
      <w:r>
        <w:rPr>
          <w:rFonts w:ascii="Times New Roman" w:hAnsi="Times New Roman"/>
          <w:sz w:val="20"/>
        </w:rPr>
        <w:t xml:space="preserve">. The remedies provided for in this </w:t>
      </w:r>
      <w:r>
        <w:rPr>
          <w:rFonts w:ascii="Times New Roman" w:hAnsi="Times New Roman"/>
          <w:sz w:val="20"/>
          <w:u w:val="single"/>
        </w:rPr>
        <w:t>Section 2.09</w:t>
      </w:r>
      <w:r>
        <w:rPr>
          <w:rFonts w:ascii="Times New Roman" w:hAnsi="Times New Roman"/>
          <w:sz w:val="20"/>
        </w:rPr>
        <w:t xml:space="preserve"> are not exclusive and shall not limit any rights or remedies which may be available to any indemnified party at law or in equity or pursuant to any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Indemnification Priority</w:t>
      </w:r>
      <w:r>
        <w:rPr>
          <w:rFonts w:ascii="Times New Roman" w:hAnsi="Times New Roman"/>
          <w:sz w:val="20"/>
        </w:rPr>
        <w:t xml:space="preserve">. The Company hereby acknowledges and agrees that any of the Persons entitled to indemnification pursuant to this </w:t>
      </w:r>
      <w:r>
        <w:rPr>
          <w:rFonts w:ascii="Times New Roman" w:hAnsi="Times New Roman"/>
          <w:sz w:val="20"/>
          <w:u w:val="single"/>
        </w:rPr>
        <w:t>Section 2.09</w:t>
      </w:r>
      <w:r>
        <w:rPr>
          <w:rFonts w:ascii="Times New Roman" w:hAnsi="Times New Roman"/>
          <w:sz w:val="20"/>
        </w:rPr>
        <w:t xml:space="preserve"> (each, a “</w:t>
      </w:r>
      <w:r>
        <w:rPr>
          <w:rFonts w:ascii="Times New Roman" w:hAnsi="Times New Roman"/>
          <w:sz w:val="20"/>
          <w:u w:val="single"/>
        </w:rPr>
        <w:t>Company Indemnitee</w:t>
      </w:r>
      <w:r>
        <w:rPr>
          <w:rFonts w:ascii="Times New Roman" w:hAnsi="Times New Roman"/>
          <w:sz w:val="20"/>
        </w:rPr>
        <w:t>” and collectively, the “</w:t>
      </w:r>
      <w:r>
        <w:rPr>
          <w:rFonts w:ascii="Times New Roman" w:hAnsi="Times New Roman"/>
          <w:sz w:val="20"/>
          <w:u w:val="single"/>
        </w:rPr>
        <w:t>Company Indemnitees</w:t>
      </w:r>
      <w:r>
        <w:rPr>
          <w:rFonts w:ascii="Times New Roman" w:hAnsi="Times New Roman"/>
          <w:sz w:val="20"/>
        </w:rPr>
        <w:t xml:space="preserve">”) may have certain rights to indemnification, advancement of expenses, and/or insurance provided by other sources. The Company hereby acknowledges and agrees (i) that it is the indemnitor of first resort (i.e., its obligations to a Company Indemnitee are primary and any obligation of such other sources to advance expenses or to provide indemnification for the same expenses or liabilities incurred by such Company Indemnitee are secondary) and (ii) that it shall be required to advance the full amount of expenses incurred by a Company Indemnitee and shall be liable for the full amount of all expenses, judgments, penalties, fines, and amounts paid in settlement to the extent legally permitted and as required by the terms of this Agreement without regard to any rights a Company Indemnitee may have against such other sources. The Company further agrees that no advancement or payment by such other sources on behalf of a Company Indemnitee with respect to any claim for which such Company Indemnitee has sought indemnification, advancement of expenses or insurance from the Company shall affect the foregoing, and that such other sources shall have a right of contribution and/or be subrogated to the extent of such advancement or payment to all of the rights of recovery of such Company Indemnitee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Conflicts</w:t>
      </w:r>
      <w:r>
        <w:rPr>
          <w:rFonts w:ascii="Times New Roman" w:hAnsi="Times New Roman"/>
          <w:sz w:val="20"/>
        </w:rPr>
        <w:t xml:space="preserve">. Notwithstanding the foregoing, to the extent that the provisions on indemnification and contribution contained in the underwriting agreement entered into in connection with the underwritten public offering are in conflict with the foregoing provisions in this </w:t>
      </w:r>
      <w:r>
        <w:rPr>
          <w:rFonts w:ascii="Times New Roman" w:hAnsi="Times New Roman"/>
          <w:sz w:val="20"/>
          <w:u w:val="single"/>
        </w:rPr>
        <w:t>Section 2.08</w:t>
      </w:r>
      <w:r>
        <w:rPr>
          <w:rFonts w:ascii="Times New Roman" w:hAnsi="Times New Roman"/>
          <w:sz w:val="20"/>
        </w:rPr>
        <w:t xml:space="preserve">, the provisions in the underwriting agreement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Survival</w:t>
      </w:r>
      <w:r>
        <w:rPr>
          <w:rFonts w:ascii="Times New Roman" w:hAnsi="Times New Roman"/>
          <w:sz w:val="20"/>
        </w:rPr>
        <w:t xml:space="preserve">. The indemnities provided in this </w:t>
      </w:r>
      <w:r>
        <w:rPr>
          <w:rFonts w:ascii="Times New Roman" w:hAnsi="Times New Roman"/>
          <w:sz w:val="20"/>
          <w:u w:val="single"/>
        </w:rPr>
        <w:t>Section 2.09</w:t>
      </w:r>
      <w:r>
        <w:rPr>
          <w:rFonts w:ascii="Times New Roman" w:hAnsi="Times New Roman"/>
          <w:sz w:val="20"/>
        </w:rPr>
        <w:t xml:space="preserve"> shall survive the transfer of any Registrable Securities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Rules 144 and 144A and Regulation S.</w:t>
      </w:r>
      <w:r>
        <w:rPr>
          <w:rFonts w:ascii="Times New Roman" w:hAnsi="Times New Roman"/>
          <w:sz w:val="20"/>
        </w:rPr>
        <w:t xml:space="preserve">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the Sponsor Holders, make publicly available such necessary information for so long as necessary to permit sales pursuant to Rules 144, 144A, or Regulation S under the Securities Act), and it will take such further action as the Sponsor Holders may reasonably request, all to the extent required from time to time to enable the Holders, following the IPO, to sell Registrable Securities without Registration under the Securities Act within the limitation of the exemptions provided by (i) Rules 144, 144A, or Regulation S under the Securities Act, as such Rules may be amended from time to time, or (ii) any similar rule or regulation hereafter adopted by the SEC. Upon the reasonable request of a Holder, the Company will deliver to such Holder a written statement as to whether it has complied with such requirements and, if not, the specifics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Limitation on Registrations and Underwritten Offerings</w:t>
      </w:r>
      <w:r>
        <w:rPr>
          <w:rFonts w:ascii="Times New Roman" w:hAnsi="Times New Roman"/>
          <w:sz w:val="20"/>
        </w:rPr>
        <w:t xml:space="preserve">. Notwithstanding the rights and obligations set forth in </w:t>
      </w:r>
      <w:r>
        <w:rPr>
          <w:rFonts w:ascii="Times New Roman" w:hAnsi="Times New Roman"/>
          <w:sz w:val="20"/>
          <w:u w:val="single"/>
        </w:rPr>
        <w:t xml:space="preserve">Sections 2.01 </w:t>
      </w:r>
      <w:r>
        <w:rPr>
          <w:rFonts w:ascii="Times New Roman" w:hAnsi="Times New Roman"/>
          <w:sz w:val="20"/>
        </w:rPr>
        <w:t xml:space="preserve">and </w:t>
      </w:r>
      <w:r>
        <w:rPr>
          <w:rFonts w:ascii="Times New Roman" w:hAnsi="Times New Roman"/>
          <w:sz w:val="20"/>
          <w:u w:val="single"/>
        </w:rPr>
        <w:t>2.02</w:t>
      </w:r>
      <w:r>
        <w:rPr>
          <w:rFonts w:ascii="Times New Roman" w:hAnsi="Times New Roman"/>
          <w:sz w:val="20"/>
        </w:rPr>
        <w:t xml:space="preserve">, in no event shall the Company be obligated to take any action to (i) effect more than one Marketed Underwritten Offering initiated by the Sponsor Holders in any consecutive 90-day period or (ii) effect any Underwritten Offering unless the Holders initiating such Underwritten Offering propose to sell Registrable Securities in such Underwritten Offering having a reasonably anticipated gross aggregate price (before deduction of underwriter commissions and offering expenses) of at least $10,000,000.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Clear Market</w:t>
      </w:r>
      <w:r>
        <w:rPr>
          <w:rFonts w:ascii="Times New Roman" w:hAnsi="Times New Roman"/>
          <w:sz w:val="20"/>
        </w:rPr>
        <w:t xml:space="preserve">. With respect to any Underwritten Offerings of Registrable Securities by the Sponsor Holders pursuant to this Agreement, the Company agrees not to effect (other than pursuant to the Registration applicable to such Underwritten Offering or pursuant to a Special Registration) any public sale or distribution, or to file any Registration Statement (other than pursuant to the Registration applicable to such Underwritten Offering or pursuant to a Special Registration) covering any of its Company Shares or any securities convertible into or exchangeable or exercisable for such securities, during the period not to exceed ten (10) days prior and sixty (60) days following the effective date of such offering or such longer period up to ninety (90) days as may be requested by the managing underwriter for such Underwritten Offering; </w:t>
      </w:r>
      <w:r>
        <w:rPr>
          <w:rFonts w:ascii="Times New Roman" w:hAnsi="Times New Roman"/>
          <w:sz w:val="20"/>
          <w:u w:val="single"/>
        </w:rPr>
        <w:t>provided</w:t>
      </w:r>
      <w:r>
        <w:rPr>
          <w:rFonts w:ascii="Times New Roman" w:hAnsi="Times New Roman"/>
          <w:sz w:val="20"/>
        </w:rPr>
        <w:t>, such restrictions shall be subject to customary exceptions. “</w:t>
      </w:r>
      <w:r>
        <w:rPr>
          <w:rFonts w:ascii="Times New Roman" w:hAnsi="Times New Roman"/>
          <w:sz w:val="20"/>
          <w:u w:val="single"/>
        </w:rPr>
        <w:t>Special Registration</w:t>
      </w:r>
      <w:r>
        <w:rPr>
          <w:rFonts w:ascii="Times New Roman" w:hAnsi="Times New Roman"/>
          <w:sz w:val="20"/>
        </w:rPr>
        <w:t xml:space="preserve">” means the registration of (A) equity securities and/or options or other rights in respect thereof solely registered on Form S-4 or Form S-8 or (B) shares of equity securities and/or options or other rights in respect thereof to be offered to directors, employees, consultants, customers, lenders, or vendors of the Company or its Subsidiaries or in connection with dividend reinvestment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In-Kind Distributions</w:t>
      </w:r>
      <w:r>
        <w:rPr>
          <w:rFonts w:ascii="Times New Roman" w:hAnsi="Times New Roman"/>
          <w:sz w:val="20"/>
        </w:rPr>
        <w:t xml:space="preserve">. If the Sponsor Holders, as Investment Funds or Affiliates of Investment Funds, seek to effectuate an in-kind distribution to its direct or indirect equityholders, the Company will reasonably cooperate with and assist the Sponsor Holders, such equityholders and the Company’s transfer agent to facilitate such in-kind distribution in the manner reasonably requested by the Sponsor Holders (including the delivery of instruction letters by the Company or its counsel to the Company’s transfer agent, the delivery of customary legal opinions by counsel to the Company and the delivery of Company Shares without restrictive legends (including Company Shares issued upon redemption or exchange of Common Units), to the extent no longer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Margin Loan and Pledge Transactions</w:t>
      </w:r>
      <w:r>
        <w:rPr>
          <w:rFonts w:ascii="Times New Roman" w:hAnsi="Times New Roman"/>
          <w:sz w:val="20"/>
        </w:rPr>
        <w:t xml:space="preserve">. If requested by the Sponsor Holders in connection with any transaction involving Registrable Securities (including any margin loan with respect to such securities and any pledge of such securities), the Company will provide the Sponsor Holders with customary assistance to facilitate such transaction or similar transaction, including, without limitation entering into an “issuer’s agreement” in connection with any margin loan with respect to such securities in customary form. Without limiting the foregoing, the Company acknowledges and agrees that the Sponsor Holders may from time to time pledge pursuant to a bona fide margin agreement with a registered broker-dealer or grant a security interest in some or all of the Registrable Securities to a financial institution that is an “accredited investor” as defined in Rule 501(a) of Regulation D under the Securities Act and, if required under the terms of such arrangement, the Sponsor Holders may transfer pledged or secured Registrable Securities to the pledgees or secured parties. Such a pledge or transfer would not be subject to approval of the Company and no notice shall be required of such pledge. The Company will execute and deliver such reasonable documentation as a pledgee or secured party of Registrable Securities may reasonably request in connection with a pledge or transfer of the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Sponsor Holders holding more than a majority of the Registrable Securities, enter into any agreement with any holder or prospective holder of any securities of the Company that would allow such holder or prospective holder any registration rights the terms of which are more favorable taken as a whole than the registration rights granted to the Holders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Termination of Registration Rights</w:t>
      </w:r>
      <w:r>
        <w:rPr>
          <w:rFonts w:ascii="Times New Roman" w:hAnsi="Times New Roman"/>
          <w:sz w:val="20"/>
        </w:rPr>
        <w:t xml:space="preserve">. The rights of any particular Holder to cause the Company to register securities under </w:t>
      </w:r>
      <w:r>
        <w:rPr>
          <w:rFonts w:ascii="Times New Roman" w:hAnsi="Times New Roman"/>
          <w:sz w:val="20"/>
          <w:u w:val="single"/>
        </w:rPr>
        <w:t>Section 2.01</w:t>
      </w:r>
      <w:r>
        <w:rPr>
          <w:rFonts w:ascii="Times New Roman" w:hAnsi="Times New Roman"/>
          <w:sz w:val="20"/>
        </w:rPr>
        <w:t xml:space="preserve">, </w:t>
      </w:r>
      <w:r>
        <w:rPr>
          <w:rFonts w:ascii="Times New Roman" w:hAnsi="Times New Roman"/>
          <w:sz w:val="20"/>
          <w:u w:val="single"/>
        </w:rPr>
        <w:t>Section 2.02</w:t>
      </w:r>
      <w:r>
        <w:rPr>
          <w:rFonts w:ascii="Times New Roman" w:hAnsi="Times New Roman"/>
          <w:sz w:val="20"/>
        </w:rPr>
        <w:t xml:space="preserve"> and </w:t>
      </w:r>
      <w:r>
        <w:rPr>
          <w:rFonts w:ascii="Times New Roman" w:hAnsi="Times New Roman"/>
          <w:sz w:val="20"/>
          <w:u w:val="single"/>
        </w:rPr>
        <w:t>Section 2.03</w:t>
      </w:r>
      <w:r>
        <w:rPr>
          <w:rFonts w:ascii="Times New Roman" w:hAnsi="Times New Roman"/>
          <w:sz w:val="20"/>
        </w:rPr>
        <w:t xml:space="preserve"> hereof shall terminate as to any Holder on the date that such Holder no longer beneficially owns any Registrable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TRANSFERS AND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Additional Parties; Joinder</w:t>
      </w:r>
      <w:r>
        <w:rPr>
          <w:rFonts w:ascii="Times New Roman" w:hAnsi="Times New Roman"/>
          <w:sz w:val="20"/>
        </w:rPr>
        <w:t>. Subject to the prior written consent of the Holders that hold a majority of the Registrable Securities held by all Holders at such time, the Company may make any Person who acquires Class A Common Stock or rights to acquire Class A Common Stock from the Company after the date hereof (including without limitation any Person who acquires Common Units) a party to this Agreement (each such Person, an “</w:t>
      </w:r>
      <w:r>
        <w:rPr>
          <w:rFonts w:ascii="Times New Roman" w:hAnsi="Times New Roman"/>
          <w:sz w:val="20"/>
          <w:u w:val="single"/>
        </w:rPr>
        <w:t>Additional Holder</w:t>
      </w:r>
      <w:r>
        <w:rPr>
          <w:rFonts w:ascii="Times New Roman" w:hAnsi="Times New Roman"/>
          <w:sz w:val="20"/>
        </w:rPr>
        <w:t xml:space="preserve">”) and to succeed to all of the rights and obligations of a Holder under this Agreement by obtaining an executed joinder to this Agreement from such Additional Holder in the form of </w:t>
      </w:r>
      <w:r>
        <w:rPr>
          <w:rFonts w:ascii="Times New Roman" w:hAnsi="Times New Roman"/>
          <w:sz w:val="20"/>
          <w:u w:val="single"/>
        </w:rPr>
        <w:t>Exhibit A</w:t>
      </w:r>
      <w:r>
        <w:rPr>
          <w:rFonts w:ascii="Times New Roman" w:hAnsi="Times New Roman"/>
          <w:sz w:val="20"/>
        </w:rPr>
        <w:t xml:space="preserve"> attached hereto (a “</w:t>
      </w:r>
      <w:r>
        <w:rPr>
          <w:rFonts w:ascii="Times New Roman" w:hAnsi="Times New Roman"/>
          <w:sz w:val="20"/>
          <w:u w:val="single"/>
        </w:rPr>
        <w:t>Joinder</w:t>
      </w:r>
      <w:r>
        <w:rPr>
          <w:rFonts w:ascii="Times New Roman" w:hAnsi="Times New Roman"/>
          <w:sz w:val="20"/>
        </w:rPr>
        <w:t>”). Upon the execution and delivery of a Joinder by such Additional Holder, the Class A Common Stock of the Company acquired by such Additional Holder or issuable upon redemption or exchange of Common Units acquired by such Additional Holder (the “</w:t>
      </w:r>
      <w:r>
        <w:rPr>
          <w:rFonts w:ascii="Times New Roman" w:hAnsi="Times New Roman"/>
          <w:sz w:val="20"/>
          <w:u w:val="single"/>
        </w:rPr>
        <w:t>Acquired Common</w:t>
      </w:r>
      <w:r>
        <w:rPr>
          <w:rFonts w:ascii="Times New Roman" w:hAnsi="Times New Roman"/>
          <w:sz w:val="20"/>
        </w:rPr>
        <w:t xml:space="preserve">”) shall be Registrable Securities to the extent provided herein, such Additional Holder shall be a Holder under this Agreement with respect to the Acquired Common, and the Company shall notify the parties to this Agreement as such.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Transfer of Registrable Securities</w:t>
      </w:r>
      <w:r>
        <w:rPr>
          <w:rFonts w:ascii="Times New Roman" w:hAnsi="Times New Roman"/>
          <w:sz w:val="20"/>
        </w:rPr>
        <w:t xml:space="preserve">. No assignment or transfer of any Holder’s rights, duties and obligations hereunder shall be binding upon or obligate the Company, and no Transferee shall be deemed a Holder hereunder, unless and until the Company shall have received a Joinder, duly executed by such Transferee, agreeing to be bound by the terms of this Agreement. Upon receipt of a Joinder that is duly executed by a Transferee in connection with a transfer of Registrable Securities that is permitted under this Agreement and the LLC Agreement, the Company shall acknowledge such Joinder, and such acknowledgment shall be ministerial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MNPI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Holder acknowledges that the provisions of this Agreement that require communications by the Company or other Holders to such Holder may result in such Holder and its Representatives (as defined below) acquiring MNPI (which may include, solely by way of illustration, the fact that an offering of the Company’s securities is pending or the number of Company securities to be offered by, or the identity of, the selling Holders). </w:t>
      </w:r>
    </w:p>
    <w:p>
      <w:pPr>
        <w:pStyle w:val="TextBody"/>
        <w:bidi w:val="0"/>
        <w:spacing w:before="240" w:after="0"/>
        <w:jc w:val="left"/>
        <w:rPr>
          <w:rFonts w:ascii="Times New Roman" w:hAnsi="Times New Roman"/>
          <w:sz w:val="20"/>
        </w:rPr>
      </w:pPr>
      <w:r>
        <w:rPr>
          <w:rFonts w:ascii="Times New Roman" w:hAnsi="Times New Roman"/>
          <w:sz w:val="20"/>
        </w:rPr>
        <w:t>(b) 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Times New Roman" w:hAnsi="Times New Roman"/>
          <w:sz w:val="20"/>
          <w:u w:val="single"/>
        </w:rPr>
        <w:t>Policies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holder may deliver or disclose MNPI to (i) its directors, officers, employees, agents, attorneys, members, affiliates and financial and other advisors (collectively, the “</w:t>
      </w:r>
      <w:r>
        <w:rPr>
          <w:rFonts w:ascii="Times New Roman" w:hAnsi="Times New Roman"/>
          <w:sz w:val="20"/>
          <w:u w:val="single"/>
        </w:rPr>
        <w:t>Representatives</w:t>
      </w:r>
      <w:r>
        <w:rPr>
          <w:rFonts w:ascii="Times New Roman" w:hAnsi="Times New Roman"/>
          <w:sz w:val="20"/>
        </w:rPr>
        <w:t xml:space="preserve">”),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clause (i), the recipients of such MNPI are subject to the Policies or agree to hold confidential the MNPI in a manner substantially consistent with the terms of this </w:t>
      </w:r>
      <w:r>
        <w:rPr>
          <w:rFonts w:ascii="Times New Roman" w:hAnsi="Times New Roman"/>
          <w:sz w:val="20"/>
          <w:u w:val="single"/>
        </w:rPr>
        <w:t>Section 3.03</w:t>
      </w:r>
      <w:r>
        <w:rPr>
          <w:rFonts w:ascii="Times New Roman" w:hAnsi="Times New Roman"/>
          <w:sz w:val="20"/>
        </w:rPr>
        <w:t xml:space="preserve"> and that in the case of clauses (ii) through (v), such disclosure is required by law and such Holder shall promptly notify the Company of such disclosure to the extent such Holder is legally permitted to give such notice. </w:t>
      </w:r>
    </w:p>
    <w:p>
      <w:pPr>
        <w:pStyle w:val="TextBody"/>
        <w:bidi w:val="0"/>
        <w:spacing w:before="240" w:after="0"/>
        <w:jc w:val="left"/>
        <w:rPr>
          <w:rFonts w:ascii="Times New Roman" w:hAnsi="Times New Roman"/>
          <w:sz w:val="20"/>
        </w:rPr>
      </w:pPr>
      <w:r>
        <w:rPr>
          <w:rFonts w:ascii="Times New Roman" w:hAnsi="Times New Roman"/>
          <w:sz w:val="20"/>
        </w:rPr>
        <w:t>(c) Each Holder shall have the right, at any time and from time to time (including after receiving information regarding any potential Public Offering),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Times New Roman" w:hAnsi="Times New Roman"/>
          <w:sz w:val="20"/>
          <w:u w:val="single"/>
        </w:rPr>
        <w:t>Opt-Out Request</w:t>
      </w:r>
      <w:r>
        <w:rPr>
          <w:rFonts w:ascii="Times New Roman" w:hAnsi="Times New Roman"/>
          <w:sz w:val="20"/>
        </w:rPr>
        <w:t xml:space="preserve">”);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MNPI.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Times New Roman" w:hAnsi="Times New Roman"/>
          <w:sz w:val="20"/>
          <w:u w:val="single"/>
        </w:rPr>
        <w:t>provided</w:t>
      </w:r>
      <w:r>
        <w:rPr>
          <w:rFonts w:ascii="Times New Roman" w:hAnsi="Times New Roman"/>
          <w:sz w:val="20"/>
        </w:rPr>
        <w:t xml:space="preserve"> that each Holder shall use commercially reasonable efforts to minimize the administrative burden on the Company arising in connection with any such Opt-Out Requests.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 and Waivers</w:t>
      </w:r>
      <w:r>
        <w:rPr>
          <w:rFonts w:ascii="Times New Roman" w:hAnsi="Times New Roman"/>
          <w:sz w:val="20"/>
        </w:rPr>
        <w:t xml:space="preserve">. Except as otherwise provided herein, the provisions of this Agreement may be amended, modified, terminated or waived only with the prior written consent of the Company and the Sponsor Holders; </w:t>
      </w:r>
      <w:r>
        <w:rPr>
          <w:rFonts w:ascii="Times New Roman" w:hAnsi="Times New Roman"/>
          <w:sz w:val="20"/>
          <w:u w:val="single"/>
        </w:rPr>
        <w:t>provided</w:t>
      </w:r>
      <w:r>
        <w:rPr>
          <w:rFonts w:ascii="Times New Roman" w:hAnsi="Times New Roman"/>
          <w:sz w:val="20"/>
        </w:rPr>
        <w:t xml:space="preserve"> that no such amendment, modification, termination or waiver that would materially and adversely affect a Holder in a manner materially different than any other Holder (</w:t>
      </w:r>
      <w:r>
        <w:rPr>
          <w:rFonts w:ascii="Times New Roman" w:hAnsi="Times New Roman"/>
          <w:sz w:val="20"/>
          <w:u w:val="single"/>
        </w:rPr>
        <w:t>provided</w:t>
      </w:r>
      <w:r>
        <w:rPr>
          <w:rFonts w:ascii="Times New Roman" w:hAnsi="Times New Roman"/>
          <w:sz w:val="20"/>
        </w:rPr>
        <w:t xml:space="preserve"> that the accession by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to this Agreement pursuant to </w:t>
      </w:r>
      <w:r>
        <w:rPr>
          <w:rFonts w:ascii="Times New Roman" w:hAnsi="Times New Roman"/>
          <w:sz w:val="20"/>
          <w:u w:val="single"/>
        </w:rPr>
        <w:t>Section 3.01</w:t>
      </w:r>
      <w:r>
        <w:rPr>
          <w:rFonts w:ascii="Times New Roman" w:hAnsi="Times New Roman"/>
          <w:sz w:val="20"/>
        </w:rPr>
        <w:t xml:space="preserve"> shall not be deemed to adversely affect any Holder), shall be effective against such Holder without the consent of such Holder that is materially and adversely affected thereby.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Remedies</w:t>
      </w:r>
      <w:r>
        <w:rPr>
          <w:rFonts w:ascii="Times New Roman" w:hAnsi="Times New Roman"/>
          <w:sz w:val="20"/>
        </w:rPr>
        <w:t xml:space="preserve">.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Entire Agreement</w:t>
      </w:r>
      <w:r>
        <w:rPr>
          <w:rFonts w:ascii="Times New Roman" w:hAnsi="Times New Roman"/>
          <w:sz w:val="20"/>
        </w:rPr>
        <w:t xml:space="preserve">.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Successors and Assigns</w:t>
      </w:r>
      <w:r>
        <w:rPr>
          <w:rFonts w:ascii="Times New Roman" w:hAnsi="Times New Roman"/>
          <w:sz w:val="20"/>
        </w:rPr>
        <w:t xml:space="preserve">. This Agreement shall bind and inure to the benefit and be enforceable by the Company and its successors and assigns and the Holders and their respective successors and assigns (whether so expressed or not). In addition, whether or not any express assignment has been made, the provisions of this Agreement which are for the benefit of Holders are also for the benefit of, and enforceable by, any subsequent or successor Holder.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Any notice, demand or other communication to be given under or by reason of the provisions of this Agreement shall be in writing and shall be deemed to have been given (i) when delivered personally to the recipient, (ii) when sent by confirmed electronic mail if sent during normal business hours of the recipient but, if not, then on the next Business Day, (iii) one (1) Business Day after it is sent to the recipient by reputable overnight courier service (charges prepaid) or (iv) three (3) Business Days after it is mailed to the recipient by first class mail,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receipt requested. Such notices, demands and other communications shall be sent to the Company at the address specified below and to any party subject to this Agreement at such address as indicated in the records of the Company, or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 The Company’s address is: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w:t>
      </w:r>
    </w:p>
    <w:p>
      <w:pPr>
        <w:pStyle w:val="TextBody"/>
        <w:bidi w:val="0"/>
        <w:spacing w:before="0" w:after="0"/>
        <w:jc w:val="left"/>
        <w:rPr>
          <w:rFonts w:ascii="Times New Roman" w:hAnsi="Times New Roman"/>
          <w:sz w:val="20"/>
        </w:rPr>
      </w:pPr>
      <w:r>
        <w:rPr>
          <w:rFonts w:ascii="Times New Roman" w:hAnsi="Times New Roman"/>
          <w:sz w:val="20"/>
        </w:rPr>
        <w:t xml:space="preserve">Attn: Adam Forman,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Attn: Alexander Lynch and Ashley Butler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to the attention of such other Person as the recipient party has specified by prior written notice to the sending party.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Business Days</w:t>
      </w:r>
      <w:r>
        <w:rPr>
          <w:rFonts w:ascii="Times New Roman" w:hAnsi="Times New Roman"/>
          <w:sz w:val="20"/>
        </w:rPr>
        <w:t xml:space="preserve">. If any time period for giving notice or taking action hereunder expires on a day that is not a Business Day, the time period shall automatically be extended to the immediately following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w:t>
      </w:r>
      <w:r>
        <w:rPr>
          <w:rFonts w:ascii="Times New Roman" w:hAnsi="Times New Roman"/>
          <w:sz w:val="20"/>
        </w:rPr>
        <w:t xml:space="preserve">. The corporate law of the State of Delaware shall govern all issues and questions concerning the relative rights of the Company and its stockholders. All other issues and questions concerning the construction, validity, interpretation and enforcement of this Agreement and the exhibits and schedules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MUTUAL WAIVER OF JURY TRIAL</w:t>
      </w:r>
      <w:r>
        <w:rPr>
          <w:rFonts w:ascii="Times New Roman" w:hAnsi="Times New Roman"/>
          <w:sz w:val="20"/>
        </w:rPr>
        <w:t xml:space="preserve">.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CONSENT TO JURISDICTION AND SERVICE OF PROCESS</w:t>
      </w:r>
      <w:r>
        <w:rPr>
          <w:rFonts w:ascii="Times New Roman" w:hAnsi="Times New Roman"/>
          <w:sz w:val="20"/>
        </w:rPr>
        <w:t xml:space="preserve">. EACH OF THE PARTIES IRREVOCABLY SUBMITS TO THE NON-EXCLUSIVE JURISDICTION OF THE FEDERAL COURTS OF THE UNITED STATES OF AMERICA LOCATED IN THE CITY AND COUNTY OF NEW YORK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SHALL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Recourse</w:t>
      </w:r>
      <w:r>
        <w:rPr>
          <w:rFonts w:ascii="Times New Roman" w:hAnsi="Times New Roman"/>
          <w:sz w:val="20"/>
        </w:rPr>
        <w:t xml:space="preserve">. Notwithstanding anything to the contrary in this Agreement, the Company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Descriptive Headings; Interpretation</w:t>
      </w:r>
      <w:r>
        <w:rPr>
          <w:rFonts w:ascii="Times New Roman" w:hAnsi="Times New Roman"/>
          <w:sz w:val="20"/>
        </w:rPr>
        <w:t xml:space="preserve">. The descriptive headings of this Agreement are inserted for convenience only and do not constitute a part of this Agreement. The use of the word “including” in this Agreement shall be by way of example rather than by limitation.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Strict Construction</w:t>
      </w:r>
      <w:r>
        <w:rPr>
          <w:rFonts w:ascii="Times New Roman" w:hAnsi="Times New Roman"/>
          <w:sz w:val="20"/>
        </w:rPr>
        <w:t xml:space="preserve">. The language used in this Agreement shall be deemed to be the language chosen by the parties hereto to express their mutual intent, and no rule of strict construction shall be applied against any party.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Counterparts</w:t>
      </w:r>
      <w:r>
        <w:rPr>
          <w:rFonts w:ascii="Times New Roman" w:hAnsi="Times New Roman"/>
          <w:sz w:val="20"/>
        </w:rPr>
        <w:t xml:space="preserve">. This Agreement may be executed in multiple counterparts, any one of which need not contain the signature of more than one party, but all such counterparts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Electronic Delivery</w:t>
      </w:r>
      <w:r>
        <w:rPr>
          <w:rFonts w:ascii="Times New Roman" w:hAnsi="Times New Roman"/>
          <w:sz w:val="20"/>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Further Assurances</w:t>
      </w:r>
      <w:r>
        <w:rPr>
          <w:rFonts w:ascii="Times New Roman" w:hAnsi="Times New Roman"/>
          <w:sz w:val="20"/>
        </w:rPr>
        <w:t xml:space="preserve">.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Registration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SOLV ENERGY,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pPr>
            <w:r>
              <w:rPr/>
              <w:t>/s/ Adam Forman</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left"/>
              <w:rPr/>
            </w:pPr>
            <w:r>
              <w:rPr/>
              <w:t>Adam Forman</w:t>
            </w:r>
          </w:p>
        </w:tc>
      </w:tr>
      <w:tr>
        <w:trPr/>
        <w:tc>
          <w:tcPr>
            <w:tcW w:w="6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2" w:type="dxa"/>
            <w:tcBorders/>
          </w:tcPr>
          <w:p>
            <w:pPr>
              <w:pStyle w:val="TableContents"/>
              <w:bidi w:val="0"/>
              <w:spacing w:before="0" w:after="283"/>
              <w:jc w:val="left"/>
              <w:rPr/>
            </w:pPr>
            <w:r>
              <w:rPr/>
              <w:t>Chief Legal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SOLV ENERGY MANAGEMENT HOLDINGS LP </w:t>
            </w:r>
          </w:p>
          <w:p>
            <w:pPr>
              <w:pStyle w:val="TableContents"/>
              <w:bidi w:val="0"/>
              <w:spacing w:before="0" w:after="20"/>
              <w:jc w:val="left"/>
              <w:rPr>
                <w:rFonts w:ascii="Times New Roman" w:hAnsi="Times New Roman"/>
                <w:sz w:val="20"/>
              </w:rPr>
            </w:pPr>
            <w:r>
              <w:rPr>
                <w:rFonts w:ascii="Times New Roman" w:hAnsi="Times New Roman"/>
                <w:sz w:val="20"/>
              </w:rPr>
              <w:t>by: ASP Manager Corp,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Eric Schondorf</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ASP SOLV AGGREGATOR LP </w:t>
            </w:r>
          </w:p>
          <w:p>
            <w:pPr>
              <w:pStyle w:val="TableContents"/>
              <w:bidi w:val="0"/>
              <w:spacing w:before="0" w:after="20"/>
              <w:jc w:val="left"/>
              <w:rPr>
                <w:rFonts w:ascii="Times New Roman" w:hAnsi="Times New Roman"/>
                <w:sz w:val="20"/>
              </w:rPr>
            </w:pPr>
            <w:r>
              <w:rPr>
                <w:rFonts w:ascii="Times New Roman" w:hAnsi="Times New Roman"/>
                <w:sz w:val="20"/>
              </w:rPr>
              <w:t>by: ASP Manager Corp,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Eric Schondorf</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ASP ENDEAVOR INVESTCO LP</w:t>
            </w:r>
          </w:p>
          <w:p>
            <w:pPr>
              <w:pStyle w:val="TableContents"/>
              <w:bidi w:val="0"/>
              <w:spacing w:before="0" w:after="20"/>
              <w:jc w:val="left"/>
              <w:rPr>
                <w:rFonts w:ascii="Times New Roman" w:hAnsi="Times New Roman"/>
                <w:sz w:val="20"/>
              </w:rPr>
            </w:pPr>
            <w:r>
              <w:rPr>
                <w:rFonts w:ascii="Times New Roman" w:hAnsi="Times New Roman"/>
                <w:sz w:val="20"/>
              </w:rPr>
              <w:t>by: ASP Manager Corp, its general partner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Eric Schondorf</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ASP VIII ALTERNATIVE INVESTMENTS SOLSTICE, L.P.</w:t>
            </w:r>
          </w:p>
          <w:p>
            <w:pPr>
              <w:pStyle w:val="TableContents"/>
              <w:bidi w:val="0"/>
              <w:spacing w:before="0" w:after="20"/>
              <w:jc w:val="left"/>
              <w:rPr>
                <w:rFonts w:ascii="Times New Roman" w:hAnsi="Times New Roman"/>
                <w:sz w:val="20"/>
              </w:rPr>
            </w:pPr>
            <w:r>
              <w:rPr>
                <w:rFonts w:ascii="Times New Roman" w:hAnsi="Times New Roman"/>
                <w:sz w:val="20"/>
              </w:rPr>
              <w:t>by: American Securities Associates VIII, LLC</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Michael Fisch</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Michael Fisch</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GSO ESOF II AIV-2 LP</w:t>
            </w:r>
          </w:p>
          <w:p>
            <w:pPr>
              <w:pStyle w:val="TableContents"/>
              <w:bidi w:val="0"/>
              <w:spacing w:before="0" w:after="20"/>
              <w:jc w:val="left"/>
              <w:rPr>
                <w:rFonts w:ascii="Times New Roman" w:hAnsi="Times New Roman"/>
                <w:sz w:val="20"/>
              </w:rPr>
            </w:pPr>
            <w:r>
              <w:rPr>
                <w:rFonts w:ascii="Times New Roman" w:hAnsi="Times New Roman"/>
                <w:sz w:val="20"/>
              </w:rPr>
              <w:t>by: GSO Energy Select Opportunities Associates II LP,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Marisa Beeney</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GSO ENERGY PARTNERS-E AIV-2 LP</w:t>
            </w:r>
          </w:p>
          <w:p>
            <w:pPr>
              <w:pStyle w:val="TableContents"/>
              <w:bidi w:val="0"/>
              <w:spacing w:before="0" w:after="20"/>
              <w:jc w:val="left"/>
              <w:rPr>
                <w:rFonts w:ascii="Times New Roman" w:hAnsi="Times New Roman"/>
                <w:sz w:val="20"/>
              </w:rPr>
            </w:pPr>
            <w:r>
              <w:rPr>
                <w:rFonts w:ascii="Times New Roman" w:hAnsi="Times New Roman"/>
                <w:sz w:val="20"/>
              </w:rPr>
              <w:t>by: GSO Energy Partners D-Associates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Marisa Beeney</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GSO ENERGY PARTNERS-D AIV-1 LP</w:t>
            </w:r>
          </w:p>
          <w:p>
            <w:pPr>
              <w:pStyle w:val="TableContents"/>
              <w:bidi w:val="0"/>
              <w:spacing w:before="0" w:after="20"/>
              <w:jc w:val="left"/>
              <w:rPr>
                <w:rFonts w:ascii="Times New Roman" w:hAnsi="Times New Roman"/>
                <w:sz w:val="20"/>
              </w:rPr>
            </w:pPr>
            <w:r>
              <w:rPr>
                <w:rFonts w:ascii="Times New Roman" w:hAnsi="Times New Roman"/>
                <w:sz w:val="20"/>
              </w:rPr>
              <w:t>by: GSO Energy Partners D-Associates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Marisa Beeney</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 xml:space="preserve">Authorized Signatory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SPONSOR HOLDERS </w:t>
      </w:r>
    </w:p>
    <w:p>
      <w:pPr>
        <w:pStyle w:val="TextBody"/>
        <w:bidi w:val="0"/>
        <w:spacing w:before="240" w:after="0"/>
        <w:jc w:val="left"/>
        <w:rPr>
          <w:rFonts w:ascii="Times New Roman" w:hAnsi="Times New Roman"/>
          <w:sz w:val="20"/>
        </w:rPr>
      </w:pPr>
      <w:r>
        <w:rPr>
          <w:rFonts w:ascii="Times New Roman" w:hAnsi="Times New Roman"/>
          <w:sz w:val="20"/>
        </w:rPr>
        <w:t xml:space="preserve">SOLV Energy Management Holdings LP </w:t>
      </w:r>
    </w:p>
    <w:p>
      <w:pPr>
        <w:pStyle w:val="TextBody"/>
        <w:bidi w:val="0"/>
        <w:spacing w:before="0" w:after="0"/>
        <w:jc w:val="left"/>
        <w:rPr>
          <w:rFonts w:ascii="Times New Roman" w:hAnsi="Times New Roman"/>
          <w:sz w:val="20"/>
        </w:rPr>
      </w:pPr>
      <w:r>
        <w:rPr>
          <w:rFonts w:ascii="Times New Roman" w:hAnsi="Times New Roman"/>
          <w:sz w:val="20"/>
        </w:rPr>
        <w:t xml:space="preserve">ASP SOLV Aggregator LP </w:t>
      </w:r>
    </w:p>
    <w:p>
      <w:pPr>
        <w:pStyle w:val="TextBody"/>
        <w:bidi w:val="0"/>
        <w:spacing w:before="0" w:after="0"/>
        <w:jc w:val="left"/>
        <w:rPr>
          <w:rFonts w:ascii="Times New Roman" w:hAnsi="Times New Roman"/>
          <w:sz w:val="20"/>
        </w:rPr>
      </w:pPr>
      <w:r>
        <w:rPr>
          <w:rFonts w:ascii="Times New Roman" w:hAnsi="Times New Roman"/>
          <w:sz w:val="20"/>
        </w:rPr>
        <w:t xml:space="preserve">ASP Endeavor Investco LP </w:t>
      </w:r>
    </w:p>
    <w:p>
      <w:pPr>
        <w:pStyle w:val="TextBody"/>
        <w:bidi w:val="0"/>
        <w:spacing w:before="0" w:after="0"/>
        <w:jc w:val="left"/>
        <w:rPr>
          <w:rFonts w:ascii="Times New Roman" w:hAnsi="Times New Roman"/>
          <w:sz w:val="20"/>
        </w:rPr>
      </w:pPr>
      <w:r>
        <w:rPr>
          <w:rFonts w:ascii="Times New Roman" w:hAnsi="Times New Roman"/>
          <w:sz w:val="20"/>
        </w:rPr>
        <w:t xml:space="preserve">ASP VIII Alternative Investments Solstice, L.P.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REGISTRATION RIGHTS AGREEMENT JOINDER </w:t>
      </w:r>
    </w:p>
    <w:p>
      <w:pPr>
        <w:pStyle w:val="TextBody"/>
        <w:bidi w:val="0"/>
        <w:spacing w:before="240" w:after="0"/>
        <w:jc w:val="left"/>
        <w:rPr>
          <w:rFonts w:ascii="Times New Roman" w:hAnsi="Times New Roman"/>
          <w:sz w:val="20"/>
        </w:rPr>
      </w:pPr>
      <w:r>
        <w:rPr>
          <w:rFonts w:ascii="Times New Roman" w:hAnsi="Times New Roman"/>
          <w:sz w:val="20"/>
        </w:rPr>
        <w:t>The undersigned is executing and delivering this Joinder pursuant to the Registration Rights Agreement dated as of [], 20[] (as the same may hereafter be amended, the “</w:t>
      </w:r>
      <w:r>
        <w:rPr>
          <w:rFonts w:ascii="Times New Roman" w:hAnsi="Times New Roman"/>
          <w:sz w:val="20"/>
          <w:u w:val="single"/>
        </w:rPr>
        <w:t>Registration Rights Agreement</w:t>
      </w:r>
      <w:r>
        <w:rPr>
          <w:rFonts w:ascii="Times New Roman" w:hAnsi="Times New Roman"/>
          <w:sz w:val="20"/>
        </w:rPr>
        <w:t>”), among SOLV Energy, Inc., a Delaware Company (the “</w:t>
      </w:r>
      <w:r>
        <w:rPr>
          <w:rFonts w:ascii="Times New Roman" w:hAnsi="Times New Roman"/>
          <w:sz w:val="20"/>
          <w:u w:val="single"/>
        </w:rPr>
        <w:t>Company</w:t>
      </w:r>
      <w:r>
        <w:rPr>
          <w:rFonts w:ascii="Times New Roman" w:hAnsi="Times New Roman"/>
          <w:sz w:val="20"/>
        </w:rPr>
        <w:t xml:space="preserve">”), and the other person named as parties therein. </w:t>
      </w:r>
    </w:p>
    <w:p>
      <w:pPr>
        <w:pStyle w:val="TextBody"/>
        <w:bidi w:val="0"/>
        <w:spacing w:before="240" w:after="0"/>
        <w:jc w:val="left"/>
        <w:rPr>
          <w:rFonts w:ascii="Times New Roman" w:hAnsi="Times New Roman"/>
          <w:sz w:val="20"/>
        </w:rPr>
      </w:pPr>
      <w:r>
        <w:rPr>
          <w:rFonts w:ascii="Times New Roman" w:hAnsi="Times New Roman"/>
          <w:sz w:val="20"/>
        </w:rPr>
        <w:t xml:space="preserve">By executing and delivering this Joinder to the Company, and upon acceptance hereof by the Company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undersigned has executed and delivered this Joinder as of the day of </w:t>
      </w:r>
      <w:r>
        <w:rPr>
          <w:rFonts w:ascii="Times New Roman" w:hAnsi="Times New Roman"/>
          <w:sz w:val="20"/>
          <w:u w:val="single"/>
        </w:rPr>
        <w:t>  </w:t>
      </w:r>
      <w:r>
        <w:rPr>
          <w:rFonts w:ascii="Times New Roman" w:hAnsi="Times New Roman"/>
          <w:sz w:val="20"/>
        </w:rPr>
        <w:t>20</w:t>
      </w:r>
      <w:r>
        <w:rPr>
          <w:rFonts w:ascii="Times New Roman" w:hAnsi="Times New Roman"/>
          <w:sz w:val="20"/>
          <w:u w:val="single"/>
        </w:rPr>
        <w:t> </w:t>
      </w:r>
      <w:r>
        <w:rPr>
          <w:rFonts w:ascii="Times New Roman" w:hAnsi="Times New Roman"/>
          <w:sz w:val="20"/>
        </w:rPr>
        <w:t xml:space="preserve"> .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Print Name of Stockholder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Its: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and Accepted as of _______________, 20____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28"/>
        <w:gridCol w:w="72"/>
        <w:gridCol w:w="3182"/>
      </w:tblGrid>
      <w:tr>
        <w:trPr/>
        <w:tc>
          <w:tcPr>
            <w:tcW w:w="828"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SOLV Energy, Inc.</w:t>
            </w:r>
          </w:p>
        </w:tc>
      </w:tr>
      <w:tr>
        <w:trPr>
          <w:trHeight w:val="240" w:hRule="atLeast"/>
        </w:trPr>
        <w:tc>
          <w:tcPr>
            <w:tcW w:w="828" w:type="dxa"/>
            <w:tcBorders/>
            <w:vAlign w:val="center"/>
          </w:tcPr>
          <w:p>
            <w:pPr>
              <w:pStyle w:val="TableContents"/>
              <w:bidi w:val="0"/>
              <w:spacing w:before="0" w:after="283"/>
              <w:jc w:val="left"/>
              <w:rPr>
                <w:sz w:val="4"/>
                <w:szCs w:val="4"/>
              </w:rPr>
            </w:pPr>
            <w:r>
              <w:rPr>
                <w:sz w:val="4"/>
                <w:szCs w:val="4"/>
              </w:rPr>
            </w:r>
          </w:p>
        </w:tc>
        <w:tc>
          <w:tcPr>
            <w:tcW w:w="3254" w:type="dxa"/>
            <w:gridSpan w:val="2"/>
            <w:tcBorders/>
            <w:vAlign w:val="center"/>
          </w:tcPr>
          <w:p>
            <w:pPr>
              <w:pStyle w:val="TableContents"/>
              <w:bidi w:val="0"/>
              <w:spacing w:before="0" w:after="283"/>
              <w:jc w:val="left"/>
              <w:rPr>
                <w:sz w:val="4"/>
                <w:szCs w:val="4"/>
              </w:rPr>
            </w:pPr>
            <w:r>
              <w:rPr>
                <w:sz w:val="4"/>
                <w:szCs w:val="4"/>
              </w:rPr>
            </w:r>
          </w:p>
        </w:tc>
      </w:tr>
      <w:tr>
        <w:trPr/>
        <w:tc>
          <w:tcPr>
            <w:tcW w:w="828"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182" w:type="dxa"/>
            <w:tcBorders>
              <w:bottom w:val="single" w:sz="2" w:space="0" w:color="000000"/>
            </w:tcBorders>
            <w:tcMar>
              <w:bottom w:w="28" w:type="dxa"/>
            </w:tcMar>
          </w:tcPr>
          <w:p>
            <w:pPr>
              <w:pStyle w:val="TableContents"/>
              <w:bidi w:val="0"/>
              <w:spacing w:before="0" w:after="283"/>
              <w:jc w:val="left"/>
              <w:rPr/>
            </w:pPr>
            <w:r>
              <w:rPr/>
              <w:t> </w:t>
            </w:r>
          </w:p>
        </w:tc>
      </w:tr>
      <w:tr>
        <w:trPr/>
        <w:tc>
          <w:tcPr>
            <w:tcW w:w="828" w:type="dxa"/>
            <w:tcBorders/>
          </w:tcPr>
          <w:p>
            <w:pPr>
              <w:pStyle w:val="TableContents"/>
              <w:bidi w:val="0"/>
              <w:spacing w:before="0" w:after="283"/>
              <w:jc w:val="left"/>
              <w:rPr/>
            </w:pPr>
            <w:r>
              <w:rPr/>
              <w:t>Name:</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182" w:type="dxa"/>
            <w:tcBorders>
              <w:bottom w:val="single" w:sz="2" w:space="0" w:color="000000"/>
            </w:tcBorders>
            <w:tcMar>
              <w:bottom w:w="28" w:type="dxa"/>
            </w:tcMar>
          </w:tcPr>
          <w:p>
            <w:pPr>
              <w:pStyle w:val="TableContents"/>
              <w:bidi w:val="0"/>
              <w:spacing w:before="0" w:after="283"/>
              <w:jc w:val="left"/>
              <w:rPr/>
            </w:pPr>
            <w:r>
              <w:rPr/>
              <w:t> </w:t>
            </w:r>
          </w:p>
        </w:tc>
      </w:tr>
      <w:tr>
        <w:trPr/>
        <w:tc>
          <w:tcPr>
            <w:tcW w:w="828" w:type="dxa"/>
            <w:tcBorders/>
          </w:tcPr>
          <w:p>
            <w:pPr>
              <w:pStyle w:val="TableContents"/>
              <w:bidi w:val="0"/>
              <w:spacing w:before="0" w:after="283"/>
              <w:jc w:val="left"/>
              <w:rPr/>
            </w:pPr>
            <w:r>
              <w:rPr/>
              <w:t>Its:</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18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8" w:name="d189834dex104.htm"/>
      <w:bookmarkStart w:id="9" w:name="ksd189834dex104"/>
      <w:bookmarkEnd w:id="8"/>
      <w:bookmarkEnd w:id="9"/>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COMPANY AGREEMENT </w:t>
      </w:r>
    </w:p>
    <w:p>
      <w:pPr>
        <w:pStyle w:val="TextBody"/>
        <w:bidi w:val="0"/>
        <w:spacing w:before="120" w:after="0"/>
        <w:jc w:val="center"/>
        <w:rPr>
          <w:rFonts w:ascii="Times New Roman" w:hAnsi="Times New Roman"/>
          <w:sz w:val="20"/>
        </w:rPr>
      </w:pPr>
      <w:r>
        <w:rPr>
          <w:rFonts w:ascii="Times New Roman" w:hAnsi="Times New Roman"/>
          <w:sz w:val="20"/>
        </w:rPr>
        <w:t xml:space="preserve">Dated as of February 10, 2026 </w:t>
      </w:r>
    </w:p>
    <w:p>
      <w:pPr>
        <w:pStyle w:val="TextBody"/>
        <w:bidi w:val="0"/>
        <w:spacing w:before="240" w:after="0"/>
        <w:jc w:val="left"/>
        <w:rPr>
          <w:rFonts w:ascii="Times New Roman" w:hAnsi="Times New Roman"/>
          <w:sz w:val="20"/>
        </w:rPr>
      </w:pPr>
      <w:r>
        <w:rPr>
          <w:rFonts w:ascii="Times New Roman" w:hAnsi="Times New Roman"/>
          <w:sz w:val="20"/>
        </w:rPr>
        <w:t xml:space="preserve">THE LIMITED LIABILITY COMPANY INTERESTS REPRESENTED BY THIS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THE LIMITED LIABILITY COMPANY INTERESTS REPRESENTED BY THIS AMENDED AND RESTATED LIMITED LIABILITY COMPANY AGREEMENT ARE ALSO SUBJECT TO ADDITIONAL RESTRICTIONS ON TRANSFER AND REPURCHASE OPTIONS SET FORTH IN THIS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
        <w:gridCol w:w="119"/>
        <w:gridCol w:w="1707"/>
        <w:gridCol w:w="170"/>
        <w:gridCol w:w="7101"/>
        <w:gridCol w:w="170"/>
        <w:gridCol w:w="96"/>
        <w:gridCol w:w="421"/>
        <w:gridCol w:w="65"/>
      </w:tblGrid>
      <w:tr>
        <w:trPr/>
        <w:tc>
          <w:tcPr>
            <w:tcW w:w="3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7101"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53" w:type="dxa"/>
            <w:gridSpan w:val="5"/>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5"/>
            <w:tcBorders/>
          </w:tcPr>
          <w:p>
            <w:pPr>
              <w:pStyle w:val="TableContents"/>
              <w:bidi w:val="0"/>
              <w:spacing w:before="0" w:after="283"/>
              <w:jc w:val="left"/>
              <w:rPr/>
            </w:pPr>
            <w:r>
              <w:rPr/>
              <w:t>ARTICLE I DEFINITIONS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9453" w:type="dxa"/>
            <w:gridSpan w:val="5"/>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5"/>
            <w:tcBorders/>
          </w:tcPr>
          <w:p>
            <w:pPr>
              <w:pStyle w:val="TableContents"/>
              <w:bidi w:val="0"/>
              <w:spacing w:before="0" w:after="283"/>
              <w:jc w:val="left"/>
              <w:rPr/>
            </w:pPr>
            <w:r>
              <w:rPr/>
              <w:t>ARTICLE II ORGANIZATIONAL MATTERS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rHeight w:val="120" w:hRule="atLeast"/>
        </w:trPr>
        <w:tc>
          <w:tcPr>
            <w:tcW w:w="356" w:type="dxa"/>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c>
          <w:tcPr>
            <w:tcW w:w="7271"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2.01.</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Formation of Company</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2.02.</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Amended and Restated Limited Liability Company Agreement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2.03.</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Name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2.04.</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Purpose; Powers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2.05.</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Principal Office; Registered Office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2.06.</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Term</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2.07.</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No State-Law Partnership</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rHeight w:val="120" w:hRule="atLeast"/>
        </w:trPr>
        <w:tc>
          <w:tcPr>
            <w:tcW w:w="9453" w:type="dxa"/>
            <w:gridSpan w:val="5"/>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5"/>
            <w:tcBorders/>
          </w:tcPr>
          <w:p>
            <w:pPr>
              <w:pStyle w:val="TableContents"/>
              <w:bidi w:val="0"/>
              <w:spacing w:before="0" w:after="283"/>
              <w:jc w:val="left"/>
              <w:rPr/>
            </w:pPr>
            <w:r>
              <w:rPr/>
              <w:t>ARTICLE III MEMBERS; UNITS; CAPITALIZATION</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rHeight w:val="120" w:hRule="atLeast"/>
        </w:trPr>
        <w:tc>
          <w:tcPr>
            <w:tcW w:w="356" w:type="dxa"/>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c>
          <w:tcPr>
            <w:tcW w:w="7271"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3.01.</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Members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3.02.</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Units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3.03.</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Recapitalization; PubCo Member Capital Contributions; PubCo Member Purchase of Common Units; Contributions to Subsidiary PubCo Members; Management Holdings Contribution</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3.04.</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Authorization and Issuance of Additional Units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3.05.</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Repurchase or Redemption of Shares of Class A Common Stock</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3.06.</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Certificates Representing Units; Lost, Stolen or Destroyed Certificates; Registration and Transfer of Units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3.07.</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Negative Capital Accounts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3.08.</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No Withdrawal</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3.09.</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Loans From Members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3.10.</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Corporate Equity Incentive Plans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3.11.</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Dividend Reinvestment Plan or Other Plan</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rHeight w:val="120" w:hRule="atLeast"/>
        </w:trPr>
        <w:tc>
          <w:tcPr>
            <w:tcW w:w="9453" w:type="dxa"/>
            <w:gridSpan w:val="5"/>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5"/>
            <w:tcBorders/>
          </w:tcPr>
          <w:p>
            <w:pPr>
              <w:pStyle w:val="TableContents"/>
              <w:bidi w:val="0"/>
              <w:spacing w:before="0" w:after="283"/>
              <w:jc w:val="left"/>
              <w:rPr/>
            </w:pPr>
            <w:r>
              <w:rPr/>
              <w:t>ARTICLE IV DISTRIBUTIONS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rHeight w:val="120" w:hRule="atLeast"/>
        </w:trPr>
        <w:tc>
          <w:tcPr>
            <w:tcW w:w="356" w:type="dxa"/>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c>
          <w:tcPr>
            <w:tcW w:w="7271"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4.01.</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Distributions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5" w:type="dxa"/>
            <w:tcBorders/>
            <w:vAlign w:val="bottom"/>
          </w:tcPr>
          <w:p>
            <w:pPr>
              <w:pStyle w:val="TableContents"/>
              <w:bidi w:val="0"/>
              <w:spacing w:before="0" w:after="283"/>
              <w:jc w:val="left"/>
              <w:rPr/>
            </w:pPr>
            <w:r>
              <w:rPr/>
              <w:t> </w:t>
            </w:r>
          </w:p>
        </w:tc>
      </w:tr>
      <w:tr>
        <w:trPr>
          <w:trHeight w:val="120" w:hRule="atLeast"/>
        </w:trPr>
        <w:tc>
          <w:tcPr>
            <w:tcW w:w="9453" w:type="dxa"/>
            <w:gridSpan w:val="5"/>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5"/>
            <w:tcBorders/>
          </w:tcPr>
          <w:p>
            <w:pPr>
              <w:pStyle w:val="TableContents"/>
              <w:bidi w:val="0"/>
              <w:spacing w:before="0" w:after="283"/>
              <w:jc w:val="left"/>
              <w:rPr/>
            </w:pPr>
            <w:r>
              <w:rPr/>
              <w:t>ARTICLE V CAPITAL ACCOUNTS; ALLOCATIONS; TAX MATTERS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rHeight w:val="120" w:hRule="atLeast"/>
        </w:trPr>
        <w:tc>
          <w:tcPr>
            <w:tcW w:w="356" w:type="dxa"/>
            <w:tcBorders/>
            <w:vAlign w:val="center"/>
          </w:tcPr>
          <w:p>
            <w:pPr>
              <w:pStyle w:val="TableContents"/>
              <w:bidi w:val="0"/>
              <w:spacing w:before="0" w:after="283"/>
              <w:jc w:val="left"/>
              <w:rPr>
                <w:sz w:val="4"/>
                <w:szCs w:val="4"/>
              </w:rPr>
            </w:pPr>
            <w:r>
              <w:rPr>
                <w:sz w:val="4"/>
                <w:szCs w:val="4"/>
              </w:rPr>
            </w:r>
          </w:p>
        </w:tc>
        <w:tc>
          <w:tcPr>
            <w:tcW w:w="1826" w:type="dxa"/>
            <w:gridSpan w:val="2"/>
            <w:tcBorders/>
            <w:vAlign w:val="center"/>
          </w:tcPr>
          <w:p>
            <w:pPr>
              <w:pStyle w:val="TableContents"/>
              <w:bidi w:val="0"/>
              <w:spacing w:before="0" w:after="283"/>
              <w:jc w:val="left"/>
              <w:rPr>
                <w:sz w:val="4"/>
                <w:szCs w:val="4"/>
              </w:rPr>
            </w:pPr>
            <w:r>
              <w:rPr>
                <w:sz w:val="4"/>
                <w:szCs w:val="4"/>
              </w:rPr>
            </w:r>
          </w:p>
        </w:tc>
        <w:tc>
          <w:tcPr>
            <w:tcW w:w="7271"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5.01.</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Capital Accounts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5.02.</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Allocations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35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07" w:type="dxa"/>
            <w:tcBorders/>
          </w:tcPr>
          <w:p>
            <w:pPr>
              <w:pStyle w:val="TableContents"/>
              <w:bidi w:val="0"/>
              <w:spacing w:before="0" w:after="283"/>
              <w:jc w:val="left"/>
              <w:rPr/>
            </w:pPr>
            <w:r>
              <w:rPr/>
              <w:t>Section 5.03.</w:t>
            </w:r>
          </w:p>
        </w:tc>
        <w:tc>
          <w:tcPr>
            <w:tcW w:w="170"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pPr>
            <w:r>
              <w:rPr/>
              <w:t>Regulatory Allocations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6"/>
        <w:gridCol w:w="123"/>
        <w:gridCol w:w="1546"/>
        <w:gridCol w:w="165"/>
        <w:gridCol w:w="7641"/>
        <w:gridCol w:w="165"/>
        <w:gridCol w:w="60"/>
        <w:gridCol w:w="265"/>
        <w:gridCol w:w="64"/>
      </w:tblGrid>
      <w:tr>
        <w:trPr/>
        <w:tc>
          <w:tcPr>
            <w:tcW w:w="17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64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Final Allocations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Tax Allocations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and Reimbursement for Payments on Behalf of a Member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5"/>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5"/>
            <w:tcBorders/>
          </w:tcPr>
          <w:p>
            <w:pPr>
              <w:pStyle w:val="TableContents"/>
              <w:bidi w:val="0"/>
              <w:spacing w:before="0" w:after="283"/>
              <w:jc w:val="left"/>
              <w:rPr/>
            </w:pPr>
            <w:r>
              <w:rPr/>
              <w:t>ARTICLE VI MANAGEMENT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76" w:type="dxa"/>
            <w:tcBorders/>
            <w:vAlign w:val="center"/>
          </w:tcPr>
          <w:p>
            <w:pPr>
              <w:pStyle w:val="TableContents"/>
              <w:bidi w:val="0"/>
              <w:spacing w:before="0" w:after="283"/>
              <w:jc w:val="left"/>
              <w:rPr>
                <w:sz w:val="4"/>
                <w:szCs w:val="4"/>
              </w:rPr>
            </w:pPr>
            <w:r>
              <w:rPr>
                <w:sz w:val="4"/>
                <w:szCs w:val="4"/>
              </w:rPr>
            </w:r>
          </w:p>
        </w:tc>
        <w:tc>
          <w:tcPr>
            <w:tcW w:w="1669" w:type="dxa"/>
            <w:gridSpan w:val="2"/>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Authority of Manager; Officer Delegation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Actions of the Manager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No Removal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Vacancies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Between the Company and the Manager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Reimbursement for Expenses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Delegation of Authority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of Liability and Duties of Manager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5"/>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5"/>
            <w:tcBorders/>
          </w:tcPr>
          <w:p>
            <w:pPr>
              <w:pStyle w:val="TableContents"/>
              <w:bidi w:val="0"/>
              <w:spacing w:before="0" w:after="283"/>
              <w:jc w:val="left"/>
              <w:rPr/>
            </w:pPr>
            <w:r>
              <w:rPr/>
              <w:t>ARTICLE VII RIGHTS AND OBLIGATIONS OF MEMBERS AND MANAGER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76" w:type="dxa"/>
            <w:tcBorders/>
            <w:vAlign w:val="center"/>
          </w:tcPr>
          <w:p>
            <w:pPr>
              <w:pStyle w:val="TableContents"/>
              <w:bidi w:val="0"/>
              <w:spacing w:before="0" w:after="283"/>
              <w:jc w:val="left"/>
              <w:rPr>
                <w:sz w:val="4"/>
                <w:szCs w:val="4"/>
              </w:rPr>
            </w:pPr>
            <w:r>
              <w:rPr>
                <w:sz w:val="4"/>
                <w:szCs w:val="4"/>
              </w:rPr>
            </w:r>
          </w:p>
        </w:tc>
        <w:tc>
          <w:tcPr>
            <w:tcW w:w="1669" w:type="dxa"/>
            <w:gridSpan w:val="2"/>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of Liability and Duties of Members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Lack of Authority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No Right of Partition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Inspection Rights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Board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5"/>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5"/>
            <w:tcBorders/>
          </w:tcPr>
          <w:p>
            <w:pPr>
              <w:pStyle w:val="TableContents"/>
              <w:bidi w:val="0"/>
              <w:spacing w:before="0" w:after="283"/>
              <w:jc w:val="left"/>
              <w:rPr/>
            </w:pPr>
            <w:r>
              <w:rPr/>
              <w:t>ARTICLE VIII BOOKS, RECORDS, ACCOUNTING AND REPORTS, AFFIRMATIVE COVENANTS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76" w:type="dxa"/>
            <w:tcBorders/>
            <w:vAlign w:val="center"/>
          </w:tcPr>
          <w:p>
            <w:pPr>
              <w:pStyle w:val="TableContents"/>
              <w:bidi w:val="0"/>
              <w:spacing w:before="0" w:after="283"/>
              <w:jc w:val="left"/>
              <w:rPr>
                <w:sz w:val="4"/>
                <w:szCs w:val="4"/>
              </w:rPr>
            </w:pPr>
            <w:r>
              <w:rPr>
                <w:sz w:val="4"/>
                <w:szCs w:val="4"/>
              </w:rPr>
            </w:r>
          </w:p>
        </w:tc>
        <w:tc>
          <w:tcPr>
            <w:tcW w:w="1669" w:type="dxa"/>
            <w:gridSpan w:val="2"/>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Records and Accounting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Fiscal Year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9651" w:type="dxa"/>
            <w:gridSpan w:val="5"/>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gridSpan w:val="5"/>
            <w:tcBorders/>
          </w:tcPr>
          <w:p>
            <w:pPr>
              <w:pStyle w:val="TableContents"/>
              <w:bidi w:val="0"/>
              <w:spacing w:before="0" w:after="283"/>
              <w:jc w:val="left"/>
              <w:rPr/>
            </w:pPr>
            <w:r>
              <w:rPr/>
              <w:t>ARTICLE IX TAX MATTERS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76" w:type="dxa"/>
            <w:tcBorders/>
            <w:vAlign w:val="center"/>
          </w:tcPr>
          <w:p>
            <w:pPr>
              <w:pStyle w:val="TableContents"/>
              <w:bidi w:val="0"/>
              <w:spacing w:before="0" w:after="283"/>
              <w:jc w:val="left"/>
              <w:rPr>
                <w:sz w:val="4"/>
                <w:szCs w:val="4"/>
              </w:rPr>
            </w:pPr>
            <w:r>
              <w:rPr>
                <w:sz w:val="4"/>
                <w:szCs w:val="4"/>
              </w:rPr>
            </w:r>
          </w:p>
        </w:tc>
        <w:tc>
          <w:tcPr>
            <w:tcW w:w="1669" w:type="dxa"/>
            <w:gridSpan w:val="2"/>
            <w:tcBorders/>
            <w:vAlign w:val="center"/>
          </w:tcPr>
          <w:p>
            <w:pPr>
              <w:pStyle w:val="TableContents"/>
              <w:bidi w:val="0"/>
              <w:spacing w:before="0" w:after="283"/>
              <w:jc w:val="left"/>
              <w:rPr>
                <w:sz w:val="4"/>
                <w:szCs w:val="4"/>
              </w:rPr>
            </w:pPr>
            <w:r>
              <w:rPr>
                <w:sz w:val="4"/>
                <w:szCs w:val="4"/>
              </w:rPr>
            </w:r>
          </w:p>
        </w:tc>
        <w:tc>
          <w:tcPr>
            <w:tcW w:w="7806"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Tax Returns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Tax Elections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Reimbursement for Certain Taxes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5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65" w:type="dxa"/>
            <w:tcBorders/>
            <w:vAlign w:val="bottom"/>
          </w:tcPr>
          <w:p>
            <w:pPr>
              <w:pStyle w:val="TableContents"/>
              <w:bidi w:val="0"/>
              <w:spacing w:before="0" w:after="283"/>
              <w:jc w:val="left"/>
              <w:rPr/>
            </w:pPr>
            <w:r>
              <w:rPr/>
              <w:t>  </w:t>
            </w:r>
          </w:p>
        </w:tc>
        <w:tc>
          <w:tcPr>
            <w:tcW w:w="7641" w:type="dxa"/>
            <w:tcBorders/>
          </w:tcPr>
          <w:p>
            <w:pPr>
              <w:pStyle w:val="TableContents"/>
              <w:bidi w:val="0"/>
              <w:spacing w:before="0" w:after="0"/>
              <w:jc w:val="left"/>
              <w:rPr>
                <w:rFonts w:ascii="Times New Roman" w:hAnsi="Times New Roman"/>
                <w:sz w:val="20"/>
              </w:rPr>
            </w:pPr>
            <w:r>
              <w:rPr>
                <w:rFonts w:ascii="Times New Roman" w:hAnsi="Times New Roman"/>
                <w:sz w:val="20"/>
              </w:rPr>
              <w:t>Tax Controversies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9"/>
        <w:gridCol w:w="123"/>
        <w:gridCol w:w="1696"/>
        <w:gridCol w:w="165"/>
        <w:gridCol w:w="7492"/>
        <w:gridCol w:w="165"/>
        <w:gridCol w:w="60"/>
        <w:gridCol w:w="261"/>
        <w:gridCol w:w="64"/>
      </w:tblGrid>
      <w:tr>
        <w:trPr/>
        <w:tc>
          <w:tcPr>
            <w:tcW w:w="17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49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5" w:type="dxa"/>
            <w:gridSpan w:val="5"/>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5"/>
            <w:tcBorders/>
          </w:tcPr>
          <w:p>
            <w:pPr>
              <w:pStyle w:val="TableContents"/>
              <w:bidi w:val="0"/>
              <w:spacing w:before="0" w:after="283"/>
              <w:jc w:val="left"/>
              <w:rPr/>
            </w:pPr>
            <w:r>
              <w:rPr/>
              <w:t>ARTICLE X RESTRICTIONS ON TRANSFER OF UNITS; CERTAIN TRANSACTIONS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79" w:type="dxa"/>
            <w:tcBorders/>
            <w:vAlign w:val="center"/>
          </w:tcPr>
          <w:p>
            <w:pPr>
              <w:pStyle w:val="TableContents"/>
              <w:bidi w:val="0"/>
              <w:spacing w:before="0" w:after="283"/>
              <w:jc w:val="left"/>
              <w:rPr>
                <w:sz w:val="4"/>
                <w:szCs w:val="4"/>
              </w:rPr>
            </w:pPr>
            <w:r>
              <w:rPr>
                <w:sz w:val="4"/>
                <w:szCs w:val="4"/>
              </w:rPr>
            </w:r>
          </w:p>
        </w:tc>
        <w:tc>
          <w:tcPr>
            <w:tcW w:w="1819" w:type="dxa"/>
            <w:gridSpan w:val="2"/>
            <w:tcBorders/>
            <w:vAlign w:val="center"/>
          </w:tcPr>
          <w:p>
            <w:pPr>
              <w:pStyle w:val="TableContents"/>
              <w:bidi w:val="0"/>
              <w:spacing w:before="0" w:after="283"/>
              <w:jc w:val="left"/>
              <w:rPr>
                <w:sz w:val="4"/>
                <w:szCs w:val="4"/>
              </w:rPr>
            </w:pPr>
            <w:r>
              <w:rPr>
                <w:sz w:val="4"/>
                <w:szCs w:val="4"/>
              </w:rPr>
            </w:r>
          </w:p>
        </w:tc>
        <w:tc>
          <w:tcPr>
            <w:tcW w:w="7657"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Transfers by Members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Permitted Transfers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Units Legend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Transfer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Assignee’s Rights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Assignor’s Rights and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Overriding Provisions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Spousal Consent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Certain Transactions with respect to PubCo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5"/>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5"/>
            <w:tcBorders/>
          </w:tcPr>
          <w:p>
            <w:pPr>
              <w:pStyle w:val="TableContents"/>
              <w:bidi w:val="0"/>
              <w:spacing w:before="0" w:after="283"/>
              <w:jc w:val="left"/>
              <w:rPr/>
            </w:pPr>
            <w:r>
              <w:rPr/>
              <w:t>ARTICLE XI REDEMPTION AND DIRECT EXCHANGE RIGHTS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179" w:type="dxa"/>
            <w:tcBorders/>
            <w:vAlign w:val="center"/>
          </w:tcPr>
          <w:p>
            <w:pPr>
              <w:pStyle w:val="TableContents"/>
              <w:bidi w:val="0"/>
              <w:spacing w:before="0" w:after="283"/>
              <w:jc w:val="left"/>
              <w:rPr>
                <w:sz w:val="4"/>
                <w:szCs w:val="4"/>
              </w:rPr>
            </w:pPr>
            <w:r>
              <w:rPr>
                <w:sz w:val="4"/>
                <w:szCs w:val="4"/>
              </w:rPr>
            </w:r>
          </w:p>
        </w:tc>
        <w:tc>
          <w:tcPr>
            <w:tcW w:w="1819" w:type="dxa"/>
            <w:gridSpan w:val="2"/>
            <w:tcBorders/>
            <w:vAlign w:val="center"/>
          </w:tcPr>
          <w:p>
            <w:pPr>
              <w:pStyle w:val="TableContents"/>
              <w:bidi w:val="0"/>
              <w:spacing w:before="0" w:after="283"/>
              <w:jc w:val="left"/>
              <w:rPr>
                <w:sz w:val="4"/>
                <w:szCs w:val="4"/>
              </w:rPr>
            </w:pPr>
            <w:r>
              <w:rPr>
                <w:sz w:val="4"/>
                <w:szCs w:val="4"/>
              </w:rPr>
            </w:r>
          </w:p>
        </w:tc>
        <w:tc>
          <w:tcPr>
            <w:tcW w:w="7657"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Redemption Right of a Member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Election and Contribution of PubCo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Direct Exchange Right of PubCo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Reservation of shares of Class A Common Stock; Listing; Certificate of PubCo</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Exercise of Redemption or Direct Exchange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Tax Treatment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Company Exchange and Redemption Right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Policies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Management Holdings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5"/>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5"/>
            <w:tcBorders/>
          </w:tcPr>
          <w:p>
            <w:pPr>
              <w:pStyle w:val="TableContents"/>
              <w:bidi w:val="0"/>
              <w:spacing w:before="0" w:after="283"/>
              <w:jc w:val="left"/>
              <w:rPr/>
            </w:pPr>
            <w:r>
              <w:rPr/>
              <w:t>ARTICLE XII ADMISSION OF MEMBERS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120" w:hRule="atLeast"/>
        </w:trPr>
        <w:tc>
          <w:tcPr>
            <w:tcW w:w="179" w:type="dxa"/>
            <w:tcBorders/>
            <w:vAlign w:val="center"/>
          </w:tcPr>
          <w:p>
            <w:pPr>
              <w:pStyle w:val="TableContents"/>
              <w:bidi w:val="0"/>
              <w:spacing w:before="0" w:after="283"/>
              <w:jc w:val="left"/>
              <w:rPr>
                <w:sz w:val="4"/>
                <w:szCs w:val="4"/>
              </w:rPr>
            </w:pPr>
            <w:r>
              <w:rPr>
                <w:sz w:val="4"/>
                <w:szCs w:val="4"/>
              </w:rPr>
            </w:r>
          </w:p>
        </w:tc>
        <w:tc>
          <w:tcPr>
            <w:tcW w:w="1819" w:type="dxa"/>
            <w:gridSpan w:val="2"/>
            <w:tcBorders/>
            <w:vAlign w:val="center"/>
          </w:tcPr>
          <w:p>
            <w:pPr>
              <w:pStyle w:val="TableContents"/>
              <w:bidi w:val="0"/>
              <w:spacing w:before="0" w:after="283"/>
              <w:jc w:val="left"/>
              <w:rPr>
                <w:sz w:val="4"/>
                <w:szCs w:val="4"/>
              </w:rPr>
            </w:pPr>
            <w:r>
              <w:rPr>
                <w:sz w:val="4"/>
                <w:szCs w:val="4"/>
              </w:rPr>
            </w:r>
          </w:p>
        </w:tc>
        <w:tc>
          <w:tcPr>
            <w:tcW w:w="7657"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Substituted Members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Additional Members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5"/>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5"/>
            <w:tcBorders/>
          </w:tcPr>
          <w:p>
            <w:pPr>
              <w:pStyle w:val="TableContents"/>
              <w:bidi w:val="0"/>
              <w:spacing w:before="0" w:after="283"/>
              <w:jc w:val="left"/>
              <w:rPr/>
            </w:pPr>
            <w:r>
              <w:rPr/>
              <w:t>ARTICLE XIII WITHDRAWAL AND RESIGNATION; TERMINATION OF RIGHTS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120" w:hRule="atLeast"/>
        </w:trPr>
        <w:tc>
          <w:tcPr>
            <w:tcW w:w="179" w:type="dxa"/>
            <w:tcBorders/>
            <w:vAlign w:val="center"/>
          </w:tcPr>
          <w:p>
            <w:pPr>
              <w:pStyle w:val="TableContents"/>
              <w:bidi w:val="0"/>
              <w:spacing w:before="0" w:after="283"/>
              <w:jc w:val="left"/>
              <w:rPr>
                <w:sz w:val="4"/>
                <w:szCs w:val="4"/>
              </w:rPr>
            </w:pPr>
            <w:r>
              <w:rPr>
                <w:sz w:val="4"/>
                <w:szCs w:val="4"/>
              </w:rPr>
            </w:r>
          </w:p>
        </w:tc>
        <w:tc>
          <w:tcPr>
            <w:tcW w:w="1819" w:type="dxa"/>
            <w:gridSpan w:val="2"/>
            <w:tcBorders/>
            <w:vAlign w:val="center"/>
          </w:tcPr>
          <w:p>
            <w:pPr>
              <w:pStyle w:val="TableContents"/>
              <w:bidi w:val="0"/>
              <w:spacing w:before="0" w:after="283"/>
              <w:jc w:val="left"/>
              <w:rPr>
                <w:sz w:val="4"/>
                <w:szCs w:val="4"/>
              </w:rPr>
            </w:pPr>
            <w:r>
              <w:rPr>
                <w:sz w:val="4"/>
                <w:szCs w:val="4"/>
              </w:rPr>
            </w:r>
          </w:p>
        </w:tc>
        <w:tc>
          <w:tcPr>
            <w:tcW w:w="7657"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Withdrawal and Resignation of Members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5"/>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5"/>
            <w:tcBorders/>
          </w:tcPr>
          <w:p>
            <w:pPr>
              <w:pStyle w:val="TableContents"/>
              <w:bidi w:val="0"/>
              <w:spacing w:before="0" w:after="283"/>
              <w:jc w:val="left"/>
              <w:rPr/>
            </w:pPr>
            <w:r>
              <w:rPr/>
              <w:t>ARTICLE XIV DISSOLUTION AND LIQUIDATION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120" w:hRule="atLeast"/>
        </w:trPr>
        <w:tc>
          <w:tcPr>
            <w:tcW w:w="179" w:type="dxa"/>
            <w:tcBorders/>
            <w:vAlign w:val="center"/>
          </w:tcPr>
          <w:p>
            <w:pPr>
              <w:pStyle w:val="TableContents"/>
              <w:bidi w:val="0"/>
              <w:spacing w:before="0" w:after="283"/>
              <w:jc w:val="left"/>
              <w:rPr>
                <w:sz w:val="4"/>
                <w:szCs w:val="4"/>
              </w:rPr>
            </w:pPr>
            <w:r>
              <w:rPr>
                <w:sz w:val="4"/>
                <w:szCs w:val="4"/>
              </w:rPr>
            </w:r>
          </w:p>
        </w:tc>
        <w:tc>
          <w:tcPr>
            <w:tcW w:w="1819" w:type="dxa"/>
            <w:gridSpan w:val="2"/>
            <w:tcBorders/>
            <w:vAlign w:val="center"/>
          </w:tcPr>
          <w:p>
            <w:pPr>
              <w:pStyle w:val="TableContents"/>
              <w:bidi w:val="0"/>
              <w:spacing w:before="0" w:after="283"/>
              <w:jc w:val="left"/>
              <w:rPr>
                <w:sz w:val="4"/>
                <w:szCs w:val="4"/>
              </w:rPr>
            </w:pPr>
            <w:r>
              <w:rPr>
                <w:sz w:val="4"/>
                <w:szCs w:val="4"/>
              </w:rPr>
            </w:r>
          </w:p>
        </w:tc>
        <w:tc>
          <w:tcPr>
            <w:tcW w:w="7657"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Dissolution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Winding up</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Deferment Distribution in Kind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 of Certificate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Reasonable Time for Winding Up</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79"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96"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165" w:type="dxa"/>
            <w:tcBorders/>
            <w:vAlign w:val="bottom"/>
          </w:tcPr>
          <w:p>
            <w:pPr>
              <w:pStyle w:val="TableContents"/>
              <w:bidi w:val="0"/>
              <w:spacing w:before="0" w:after="283"/>
              <w:jc w:val="left"/>
              <w:rPr/>
            </w:pPr>
            <w:r>
              <w:rPr/>
              <w:t>  </w:t>
            </w:r>
          </w:p>
        </w:tc>
        <w:tc>
          <w:tcPr>
            <w:tcW w:w="7492" w:type="dxa"/>
            <w:tcBorders/>
          </w:tcPr>
          <w:p>
            <w:pPr>
              <w:pStyle w:val="TableContents"/>
              <w:bidi w:val="0"/>
              <w:spacing w:before="0" w:after="0"/>
              <w:jc w:val="left"/>
              <w:rPr>
                <w:rFonts w:ascii="Times New Roman" w:hAnsi="Times New Roman"/>
                <w:sz w:val="20"/>
              </w:rPr>
            </w:pPr>
            <w:r>
              <w:rPr>
                <w:rFonts w:ascii="Times New Roman" w:hAnsi="Times New Roman"/>
                <w:sz w:val="20"/>
              </w:rPr>
              <w:t>Return of Capital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6"/>
        <w:gridCol w:w="122"/>
        <w:gridCol w:w="1679"/>
        <w:gridCol w:w="163"/>
        <w:gridCol w:w="7518"/>
        <w:gridCol w:w="163"/>
        <w:gridCol w:w="60"/>
        <w:gridCol w:w="260"/>
        <w:gridCol w:w="64"/>
      </w:tblGrid>
      <w:tr>
        <w:trPr/>
        <w:tc>
          <w:tcPr>
            <w:tcW w:w="1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7518"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8" w:type="dxa"/>
            <w:gridSpan w:val="5"/>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9658" w:type="dxa"/>
            <w:gridSpan w:val="5"/>
            <w:tcBorders/>
          </w:tcPr>
          <w:p>
            <w:pPr>
              <w:pStyle w:val="TableContents"/>
              <w:bidi w:val="0"/>
              <w:spacing w:before="0" w:after="283"/>
              <w:jc w:val="left"/>
              <w:rPr/>
            </w:pPr>
            <w:r>
              <w:rPr/>
              <w:t>ARTICLE XV GENERAL PROVISIONS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120" w:hRule="atLeast"/>
        </w:trPr>
        <w:tc>
          <w:tcPr>
            <w:tcW w:w="176" w:type="dxa"/>
            <w:tcBorders/>
            <w:vAlign w:val="center"/>
          </w:tcPr>
          <w:p>
            <w:pPr>
              <w:pStyle w:val="TableContents"/>
              <w:bidi w:val="0"/>
              <w:spacing w:before="0" w:after="283"/>
              <w:jc w:val="left"/>
              <w:rPr>
                <w:sz w:val="4"/>
                <w:szCs w:val="4"/>
              </w:rPr>
            </w:pPr>
            <w:r>
              <w:rPr>
                <w:sz w:val="4"/>
                <w:szCs w:val="4"/>
              </w:rPr>
            </w:r>
          </w:p>
        </w:tc>
        <w:tc>
          <w:tcPr>
            <w:tcW w:w="1801" w:type="dxa"/>
            <w:gridSpan w:val="2"/>
            <w:tcBorders/>
            <w:vAlign w:val="center"/>
          </w:tcPr>
          <w:p>
            <w:pPr>
              <w:pStyle w:val="TableContents"/>
              <w:bidi w:val="0"/>
              <w:spacing w:before="0" w:after="283"/>
              <w:jc w:val="left"/>
              <w:rPr>
                <w:sz w:val="4"/>
                <w:szCs w:val="4"/>
              </w:rPr>
            </w:pPr>
            <w:r>
              <w:rPr>
                <w:sz w:val="4"/>
                <w:szCs w:val="4"/>
              </w:rPr>
            </w:r>
          </w:p>
        </w:tc>
        <w:tc>
          <w:tcPr>
            <w:tcW w:w="7681"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Power of Attorney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Amendments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Title to Company Assets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Addresses and Notices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 Intended Beneficiaries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Creditors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15.10.</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15.11.</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15.12.</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15.13.</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Execution and Delivery Electronic Signature and Electronic Transmission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15.14.</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Right of Offset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15.15.</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15.16.</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7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9" w:type="dxa"/>
            <w:tcBorders/>
          </w:tcPr>
          <w:p>
            <w:pPr>
              <w:pStyle w:val="TableContents"/>
              <w:bidi w:val="0"/>
              <w:spacing w:before="0" w:after="0"/>
              <w:jc w:val="left"/>
              <w:rPr>
                <w:rFonts w:ascii="Times New Roman" w:hAnsi="Times New Roman"/>
                <w:sz w:val="20"/>
              </w:rPr>
            </w:pPr>
            <w:r>
              <w:rPr>
                <w:rFonts w:ascii="Times New Roman" w:hAnsi="Times New Roman"/>
                <w:sz w:val="20"/>
              </w:rPr>
              <w:t>Section 15.17.</w:t>
            </w:r>
          </w:p>
        </w:tc>
        <w:tc>
          <w:tcPr>
            <w:tcW w:w="163" w:type="dxa"/>
            <w:tcBorders/>
            <w:vAlign w:val="bottom"/>
          </w:tcPr>
          <w:p>
            <w:pPr>
              <w:pStyle w:val="TableContents"/>
              <w:bidi w:val="0"/>
              <w:spacing w:before="0" w:after="283"/>
              <w:jc w:val="left"/>
              <w:rPr/>
            </w:pPr>
            <w:r>
              <w:rPr/>
              <w:t>  </w:t>
            </w:r>
          </w:p>
        </w:tc>
        <w:tc>
          <w:tcPr>
            <w:tcW w:w="7518" w:type="dxa"/>
            <w:tcBorders/>
          </w:tcPr>
          <w:p>
            <w:pPr>
              <w:pStyle w:val="TableContents"/>
              <w:bidi w:val="0"/>
              <w:spacing w:before="0" w:after="0"/>
              <w:jc w:val="left"/>
              <w:rPr>
                <w:rFonts w:ascii="Times New Roman" w:hAnsi="Times New Roman"/>
                <w:sz w:val="20"/>
              </w:rPr>
            </w:pPr>
            <w:r>
              <w:rPr>
                <w:rFonts w:ascii="Times New Roman" w:hAnsi="Times New Roman"/>
                <w:sz w:val="20"/>
              </w:rPr>
              <w:t>Descriptive Headings; Interpretation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240" w:after="0"/>
        <w:jc w:val="left"/>
        <w:rPr>
          <w:rFonts w:ascii="Times New Roman" w:hAnsi="Times New Roman"/>
          <w:sz w:val="20"/>
        </w:rPr>
      </w:pPr>
      <w:r>
        <w:rPr>
          <w:rFonts w:ascii="Times New Roman" w:hAnsi="Times New Roman"/>
          <w:sz w:val="20"/>
        </w:rPr>
        <w:t xml:space="preserve">Schedule 1 – Schedule of Pre-IPO Members </w:t>
      </w:r>
    </w:p>
    <w:p>
      <w:pPr>
        <w:pStyle w:val="TextBody"/>
        <w:bidi w:val="0"/>
        <w:spacing w:before="0" w:after="0"/>
        <w:jc w:val="left"/>
        <w:rPr>
          <w:rFonts w:ascii="Times New Roman" w:hAnsi="Times New Roman"/>
          <w:sz w:val="20"/>
        </w:rPr>
      </w:pPr>
      <w:r>
        <w:rPr>
          <w:rFonts w:ascii="Times New Roman" w:hAnsi="Times New Roman"/>
          <w:sz w:val="20"/>
        </w:rPr>
        <w:t xml:space="preserve">Schedule 2 – Schedule of Members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240" w:after="0"/>
        <w:jc w:val="left"/>
        <w:rPr>
          <w:rFonts w:ascii="Times New Roman" w:hAnsi="Times New Roman"/>
          <w:sz w:val="20"/>
        </w:rPr>
      </w:pPr>
      <w:r>
        <w:rPr>
          <w:rFonts w:ascii="Times New Roman" w:hAnsi="Times New Roman"/>
          <w:sz w:val="20"/>
        </w:rPr>
        <w:t xml:space="preserve">Exhibit A – Form of Joinder </w:t>
      </w:r>
    </w:p>
    <w:p>
      <w:pPr>
        <w:pStyle w:val="TextBody"/>
        <w:bidi w:val="0"/>
        <w:spacing w:before="0" w:after="0"/>
        <w:jc w:val="left"/>
        <w:rPr>
          <w:rFonts w:ascii="Times New Roman" w:hAnsi="Times New Roman"/>
          <w:sz w:val="20"/>
        </w:rPr>
      </w:pPr>
      <w:r>
        <w:rPr>
          <w:rFonts w:ascii="Times New Roman" w:hAnsi="Times New Roman"/>
          <w:sz w:val="20"/>
        </w:rPr>
        <w:t xml:space="preserve">Exhibit B – Form of Agreement and Consent of Spouse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COMPANY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LIMITED LIABILITY COMPANY AGREEMENT (as the same may be amended, restated, supplemented or otherwise modified from time to time, this “</w:t>
      </w:r>
      <w:r>
        <w:rPr>
          <w:rFonts w:ascii="Times New Roman" w:hAnsi="Times New Roman"/>
          <w:b/>
          <w:i/>
          <w:sz w:val="20"/>
        </w:rPr>
        <w:t>Agreement</w:t>
      </w:r>
      <w:r>
        <w:rPr>
          <w:rFonts w:ascii="Times New Roman" w:hAnsi="Times New Roman"/>
          <w:sz w:val="20"/>
        </w:rPr>
        <w:t>”) of SOLV Energy Holdings LLC, a Delaware limited liability company (the “</w:t>
      </w:r>
      <w:r>
        <w:rPr>
          <w:rFonts w:ascii="Times New Roman" w:hAnsi="Times New Roman"/>
          <w:b/>
          <w:i/>
          <w:sz w:val="20"/>
        </w:rPr>
        <w:t>Company</w:t>
      </w:r>
      <w:r>
        <w:rPr>
          <w:rFonts w:ascii="Times New Roman" w:hAnsi="Times New Roman"/>
          <w:sz w:val="20"/>
        </w:rPr>
        <w:t>”)</w:t>
      </w:r>
      <w:r>
        <w:rPr>
          <w:rFonts w:ascii="Times New Roman" w:hAnsi="Times New Roman"/>
          <w:i/>
          <w:sz w:val="20"/>
        </w:rPr>
        <w:t>,</w:t>
      </w:r>
      <w:r>
        <w:rPr>
          <w:rFonts w:ascii="Times New Roman" w:hAnsi="Times New Roman"/>
          <w:sz w:val="20"/>
        </w:rPr>
        <w:t> dated as of February 10, 2026 (the “</w:t>
      </w:r>
      <w:r>
        <w:rPr>
          <w:rFonts w:ascii="Times New Roman" w:hAnsi="Times New Roman"/>
          <w:b/>
          <w:i/>
          <w:sz w:val="20"/>
        </w:rPr>
        <w:t>Effective Date</w:t>
      </w:r>
      <w:r>
        <w:rPr>
          <w:rFonts w:ascii="Times New Roman" w:hAnsi="Times New Roman"/>
          <w:sz w:val="20"/>
        </w:rPr>
        <w:t>”)</w:t>
      </w:r>
      <w:r>
        <w:rPr>
          <w:rFonts w:ascii="Times New Roman" w:hAnsi="Times New Roman"/>
          <w:i/>
          <w:sz w:val="20"/>
        </w:rPr>
        <w:t>,</w:t>
      </w:r>
      <w:r>
        <w:rPr>
          <w:rFonts w:ascii="Times New Roman" w:hAnsi="Times New Roman"/>
          <w:sz w:val="20"/>
        </w:rPr>
        <w:t> is entered into by and among the Company; SOLV Energy, Inc., a Delaware corporation (“</w:t>
      </w:r>
      <w:r>
        <w:rPr>
          <w:rFonts w:ascii="Times New Roman" w:hAnsi="Times New Roman"/>
          <w:b/>
          <w:i/>
          <w:sz w:val="20"/>
        </w:rPr>
        <w:t>PubCo</w:t>
      </w:r>
      <w:r>
        <w:rPr>
          <w:rFonts w:ascii="Times New Roman" w:hAnsi="Times New Roman"/>
          <w:sz w:val="20"/>
        </w:rPr>
        <w:t>”); SOLV Manager Sub Inc., a Delaware corporation (“</w:t>
      </w:r>
      <w:r>
        <w:rPr>
          <w:rFonts w:ascii="Times New Roman" w:hAnsi="Times New Roman"/>
          <w:b/>
          <w:i/>
          <w:sz w:val="20"/>
        </w:rPr>
        <w:t>Manager Sub</w:t>
      </w:r>
      <w:r>
        <w:rPr>
          <w:rFonts w:ascii="Times New Roman" w:hAnsi="Times New Roman"/>
          <w:sz w:val="20"/>
        </w:rPr>
        <w:t>”), as the managing member of the Company; SOLV Energy Management Holdings LP, a Delaware limited partnership (“</w:t>
      </w:r>
      <w:r>
        <w:rPr>
          <w:rFonts w:ascii="Times New Roman" w:hAnsi="Times New Roman"/>
          <w:b/>
          <w:i/>
          <w:sz w:val="20"/>
        </w:rPr>
        <w:t>Management Holdings</w:t>
      </w:r>
      <w:r>
        <w:rPr>
          <w:rFonts w:ascii="Times New Roman" w:hAnsi="Times New Roman"/>
          <w:sz w:val="20"/>
        </w:rPr>
        <w:t xml:space="preserve">”); and each of the other Members (as defined herein). Unless the context otherwise requires, capitalized terms used herein have the respective meaning ascribed to them in </w:t>
      </w:r>
      <w:r>
        <w:rPr>
          <w:rFonts w:ascii="Times New Roman" w:hAnsi="Times New Roman"/>
          <w:sz w:val="20"/>
          <w:u w:val="single"/>
        </w:rPr>
        <w:t>Article I</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was formed as a limited liability company with the name “ASP SRE Intermediate Holdings LLC”, pursuant to and in accordance with the Delaware Act by the filing of the Certificate with the Secretary of State of the State of Delaware pursuant to Section 18-201 of the Delaware Act on August 26, 2021;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Agreement and Plan of Merger, dated October 7, 2024, by and between the Company and ASP Endeavor Acquisition LLC, a Delaware limited liability company (“</w:t>
      </w:r>
      <w:r>
        <w:rPr>
          <w:rFonts w:ascii="Times New Roman" w:hAnsi="Times New Roman"/>
          <w:b/>
          <w:i/>
          <w:sz w:val="20"/>
        </w:rPr>
        <w:t>CS Acquisition</w:t>
      </w:r>
      <w:r>
        <w:rPr>
          <w:rFonts w:ascii="Times New Roman" w:hAnsi="Times New Roman"/>
          <w:sz w:val="20"/>
        </w:rPr>
        <w:t>”), CS Acquisition merged with and into the Company (the “</w:t>
      </w:r>
      <w:r>
        <w:rPr>
          <w:rFonts w:ascii="Times New Roman" w:hAnsi="Times New Roman"/>
          <w:b/>
          <w:i/>
          <w:sz w:val="20"/>
        </w:rPr>
        <w:t>Merger</w:t>
      </w:r>
      <w:r>
        <w:rPr>
          <w:rFonts w:ascii="Times New Roman" w:hAnsi="Times New Roman"/>
          <w:sz w:val="20"/>
        </w:rPr>
        <w:t xml:space="preserve">”), the separate existence of CS Acquisition ceased, and the Company continued as the surviving entity and succeeded to and assumed all of the assets, rights, interests, powers, properties, debts, liabilities and obligations of CS Acquisition;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Merger, the name of the Company was changed to “AS Renewable Technologies Holdings LLC” on the date of consummation thereof, and the name of the Company was subsequently changed to “SOLV Energy Holdings LLC” pursuant to the filing of a Certificate of Amendment with the Secretary of State of Delaware on January 27, 2025; </w:t>
      </w:r>
    </w:p>
    <w:p>
      <w:pPr>
        <w:pStyle w:val="TextBody"/>
        <w:bidi w:val="0"/>
        <w:spacing w:before="240" w:after="0"/>
        <w:jc w:val="left"/>
        <w:rPr>
          <w:rFonts w:ascii="Times New Roman" w:hAnsi="Times New Roman"/>
          <w:sz w:val="20"/>
        </w:rPr>
      </w:pPr>
      <w:r>
        <w:rPr>
          <w:rFonts w:ascii="Times New Roman" w:hAnsi="Times New Roman"/>
          <w:sz w:val="20"/>
        </w:rPr>
        <w:t>WHEREAS, prior to the Reorganization (as defined below), the Company was governed by that certain Limited Liability Company Agreement of the Company, dated as of August 26, 2021 (as amended, restated, amended and restated, supplemented or otherwise modified from time to time prior to the effectiveness of this Agreement, together with all schedules, exhibits and annexes thereto, the “</w:t>
      </w:r>
      <w:r>
        <w:rPr>
          <w:rFonts w:ascii="Times New Roman" w:hAnsi="Times New Roman"/>
          <w:b/>
          <w:i/>
          <w:sz w:val="20"/>
        </w:rPr>
        <w:t>Existing LLC Agreement</w:t>
      </w:r>
      <w:r>
        <w:rPr>
          <w:rFonts w:ascii="Times New Roman" w:hAnsi="Times New Roman"/>
          <w:sz w:val="20"/>
        </w:rPr>
        <w:t>”)</w:t>
      </w:r>
      <w:r>
        <w:rPr>
          <w:rFonts w:ascii="Times New Roman" w:hAnsi="Times New Roman"/>
          <w:i/>
          <w:sz w:val="20"/>
        </w:rPr>
        <w:t>,</w:t>
      </w:r>
      <w:r>
        <w:rPr>
          <w:rFonts w:ascii="Times New Roman" w:hAnsi="Times New Roman"/>
          <w:sz w:val="20"/>
        </w:rPr>
        <w:t> which SOLV Energy Parent Holdings LP, a Delaware limited partnership (“</w:t>
      </w:r>
      <w:r>
        <w:rPr>
          <w:rFonts w:ascii="Times New Roman" w:hAnsi="Times New Roman"/>
          <w:b/>
          <w:i/>
          <w:sz w:val="20"/>
        </w:rPr>
        <w:t>Parent Holdings</w:t>
      </w:r>
      <w:r>
        <w:rPr>
          <w:rFonts w:ascii="Times New Roman" w:hAnsi="Times New Roman"/>
          <w:sz w:val="20"/>
        </w:rPr>
        <w:t>”), executed in its capacity as the member (the “</w:t>
      </w:r>
      <w:r>
        <w:rPr>
          <w:rFonts w:ascii="Times New Roman" w:hAnsi="Times New Roman"/>
          <w:b/>
          <w:i/>
          <w:sz w:val="20"/>
        </w:rPr>
        <w:t>Existing Member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connection with the IPO, the parties thereto have agreed to consummate certain transactions (the “</w:t>
      </w:r>
      <w:r>
        <w:rPr>
          <w:rFonts w:ascii="Times New Roman" w:hAnsi="Times New Roman"/>
          <w:b/>
          <w:i/>
          <w:sz w:val="20"/>
        </w:rPr>
        <w:t>Reorganization</w:t>
      </w:r>
      <w:r>
        <w:rPr>
          <w:rFonts w:ascii="Times New Roman" w:hAnsi="Times New Roman"/>
          <w:sz w:val="20"/>
        </w:rPr>
        <w:t>”), including (i) the liquidation of Parent Holdings and the distribution of certain of its assets (including the Common Units (as defined herein)) to its limited partners, including Management Holdings, pursuant to which each limited partner thereof will become a Member (the “</w:t>
      </w:r>
      <w:r>
        <w:rPr>
          <w:rFonts w:ascii="Times New Roman" w:hAnsi="Times New Roman"/>
          <w:b/>
          <w:i/>
          <w:sz w:val="20"/>
        </w:rPr>
        <w:t>Parent Holdings Liquidation</w:t>
      </w:r>
      <w:r>
        <w:rPr>
          <w:rFonts w:ascii="Times New Roman" w:hAnsi="Times New Roman"/>
          <w:sz w:val="20"/>
        </w:rPr>
        <w:t>”, and such Members, the “</w:t>
      </w:r>
      <w:r>
        <w:rPr>
          <w:rFonts w:ascii="Times New Roman" w:hAnsi="Times New Roman"/>
          <w:b/>
          <w:i/>
          <w:sz w:val="20"/>
        </w:rPr>
        <w:t>LP Members</w:t>
      </w:r>
      <w:r>
        <w:rPr>
          <w:rFonts w:ascii="Times New Roman" w:hAnsi="Times New Roman"/>
          <w:sz w:val="20"/>
        </w:rPr>
        <w:t xml:space="preserve">”), (ii) the contribution (A) by the LP Members of nominal cash to PubCo in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Class B Common Stock (as defined herein) and (B) by the AS Aggregators of a portion of their Common Units to PubCo, pursuant to which PubCo will become a Member, in exchange for shares of Class A Common Stock (as defined herein) (collectively, the “</w:t>
      </w:r>
      <w:r>
        <w:rPr>
          <w:rFonts w:ascii="Times New Roman" w:hAnsi="Times New Roman"/>
          <w:b/>
          <w:i/>
          <w:sz w:val="20"/>
        </w:rPr>
        <w:t>PubCo Contributions</w:t>
      </w:r>
      <w:r>
        <w:rPr>
          <w:rFonts w:ascii="Times New Roman" w:hAnsi="Times New Roman"/>
          <w:sz w:val="20"/>
        </w:rPr>
        <w:t xml:space="preserve">”), (iii) the indirect distribution of Common Units to the AS Blockers and the AS Fund VIII GP (as defined herein) (with the AS Fund VIII GP contributing the Common Units so distributed to it to GP NewCo (as defined herein)), pursuant to which each AS Blocker and GP NewCo will become Members (the AS Blockers and GP NewCo, together with the LP Members, PubCo and such other Persons as set forth on </w:t>
      </w:r>
      <w:r>
        <w:rPr>
          <w:rFonts w:ascii="Times New Roman" w:hAnsi="Times New Roman"/>
          <w:sz w:val="20"/>
          <w:u w:val="single"/>
        </w:rPr>
        <w:t>Schedule 1</w:t>
      </w:r>
      <w:r>
        <w:rPr>
          <w:rFonts w:ascii="Times New Roman" w:hAnsi="Times New Roman"/>
          <w:sz w:val="20"/>
        </w:rPr>
        <w:t>, the “</w:t>
      </w:r>
      <w:r>
        <w:rPr>
          <w:rFonts w:ascii="Times New Roman" w:hAnsi="Times New Roman"/>
          <w:b/>
          <w:i/>
          <w:sz w:val="20"/>
        </w:rPr>
        <w:t>Pre-IPO Members</w:t>
      </w:r>
      <w:r>
        <w:rPr>
          <w:rFonts w:ascii="Times New Roman" w:hAnsi="Times New Roman"/>
          <w:sz w:val="20"/>
        </w:rPr>
        <w:t>”, and such distribution, together with the Parent Holdings Liquidation, the “</w:t>
      </w:r>
      <w:r>
        <w:rPr>
          <w:rFonts w:ascii="Times New Roman" w:hAnsi="Times New Roman"/>
          <w:b/>
          <w:i/>
          <w:sz w:val="20"/>
        </w:rPr>
        <w:t>IPO Liquidating Distributions</w:t>
      </w:r>
      <w:r>
        <w:rPr>
          <w:rFonts w:ascii="Times New Roman" w:hAnsi="Times New Roman"/>
          <w:sz w:val="20"/>
        </w:rPr>
        <w:t>”), (iv) the merger of Parent Holdings with and into the Company, pursuant to which the separate existence of Parent Holdings will cease, the Company will continue as the surviving entity and succeed to and assume any assets, rights, interests, powers, properties, debts, liabilities and obligations of Parent Holdings, and, in connection therewith, the cancellation of the Recapitalized PubCo Shares, and (v) the contributions of the AS Blockers and GP NewCo to PubCo, pursuant to which each will become a wholly owned subsidiary of PubCo (the “</w:t>
      </w:r>
      <w:r>
        <w:rPr>
          <w:rFonts w:ascii="Times New Roman" w:hAnsi="Times New Roman"/>
          <w:b/>
          <w:i/>
          <w:sz w:val="20"/>
        </w:rPr>
        <w:t>Blocker Contributions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simultaneously with and contingent upon the consummation of the Reorganization, but immediately prior to the Parent Holdings Liquidation, (i) the Company will reclassify its limited liability company interests to a single class of Common Units (the “</w:t>
      </w:r>
      <w:r>
        <w:rPr>
          <w:rFonts w:ascii="Times New Roman" w:hAnsi="Times New Roman"/>
          <w:b/>
          <w:i/>
          <w:sz w:val="20"/>
        </w:rPr>
        <w:t>Recapitalization</w:t>
      </w:r>
      <w:r>
        <w:rPr>
          <w:rFonts w:ascii="Times New Roman" w:hAnsi="Times New Roman"/>
          <w:sz w:val="20"/>
        </w:rPr>
        <w:t>”) and (ii) PubCo will recapitalize its stock into two classes of shares, Class A Common Stock and Class B Common Stock (the shares of Class A Common Stock into which the nominal shares of PubCo common stock issued and outstanding as of immediately prior to such recapitalization will be recapitalized, the “</w:t>
      </w:r>
      <w:r>
        <w:rPr>
          <w:rFonts w:ascii="Times New Roman" w:hAnsi="Times New Roman"/>
          <w:b/>
          <w:i/>
          <w:sz w:val="20"/>
        </w:rPr>
        <w:t>Recapitalized PubCo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immediately following the Recapitalization, the PubCo Contributions and the IPO Liquidating Distributions, the Pre-IPO Members and their respective Common Units were as listed on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IPO, PubCo will sell shares of its Class A Common Stock to public investors in the IPO and will use the net proceeds received from the IPO (the “</w:t>
      </w:r>
      <w:r>
        <w:rPr>
          <w:rFonts w:ascii="Times New Roman" w:hAnsi="Times New Roman"/>
          <w:b/>
          <w:i/>
          <w:sz w:val="20"/>
        </w:rPr>
        <w:t>IPO Net Proceeds</w:t>
      </w:r>
      <w:r>
        <w:rPr>
          <w:rFonts w:ascii="Times New Roman" w:hAnsi="Times New Roman"/>
          <w:sz w:val="20"/>
        </w:rPr>
        <w:t xml:space="preserve">”) to purchase newly issued Common Units from the Company; </w:t>
      </w:r>
    </w:p>
    <w:p>
      <w:pPr>
        <w:pStyle w:val="TextBody"/>
        <w:bidi w:val="0"/>
        <w:spacing w:before="240" w:after="0"/>
        <w:jc w:val="left"/>
        <w:rPr>
          <w:rFonts w:ascii="Times New Roman" w:hAnsi="Times New Roman"/>
          <w:sz w:val="20"/>
        </w:rPr>
      </w:pPr>
      <w:r>
        <w:rPr>
          <w:rFonts w:ascii="Times New Roman" w:hAnsi="Times New Roman"/>
          <w:sz w:val="20"/>
        </w:rPr>
        <w:t>WHEREAS, PubCo may issue additional shares of Class A Common Stock in connection with the IPO as a result of the exercise by the underwriters of their over-allotment option (the “</w:t>
      </w:r>
      <w:r>
        <w:rPr>
          <w:rFonts w:ascii="Times New Roman" w:hAnsi="Times New Roman"/>
          <w:b/>
          <w:i/>
          <w:sz w:val="20"/>
        </w:rPr>
        <w:t>Over-Allotment Option</w:t>
      </w:r>
      <w:r>
        <w:rPr>
          <w:rFonts w:ascii="Times New Roman" w:hAnsi="Times New Roman"/>
          <w:sz w:val="20"/>
        </w:rPr>
        <w:t>”) and, if the Over-Allotment Option is exercised in whole or in part, any additional net proceeds (the “</w:t>
      </w:r>
      <w:r>
        <w:rPr>
          <w:rFonts w:ascii="Times New Roman" w:hAnsi="Times New Roman"/>
          <w:b/>
          <w:i/>
          <w:sz w:val="20"/>
        </w:rPr>
        <w:t>Over-Allotment Option Net Proceeds</w:t>
      </w:r>
      <w:r>
        <w:rPr>
          <w:rFonts w:ascii="Times New Roman" w:hAnsi="Times New Roman"/>
          <w:sz w:val="20"/>
        </w:rPr>
        <w:t xml:space="preserve">”) shall be used by PubCo to purchase additional newly issued Common Units from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foregoing matters, the Company and the Members desire to continue the Company without dissolution and, simultaneously with but contingent upon the consummation of the Reorganization, amend and restate the Existing LLC Agreement in its entirety as of the Effective Date to reflect, among other things, (a) the Recapitalization, (b) the IPO Liquidating Distributions, (c) the PubCo Contributions, (d) the addition of PubCo and Manager Sub as Members and the designation of Manager Sub as sole Manager of the Company, and (e) the other rights and obligations of the Members, the Company, the Manager and PubCo, in each case, as provided and agreed upon in the terms of this Agreement as of the Effective Date, at which time the Existing LLC Agreement shall be superseded entirely by this Agreement and shall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mutual covenants contained herein and other good and valuable consideration, the receipt and sufficiency of which are hereby acknowledged, the Existing LLC Agreement is hereby amended and restated in its entirety and the parties hereto, each intending to be legally bound, each hereby agrees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definitions shall be applied to the terms used in this Agreement for all purposes, unless otherwise clearly indicated to the contrary. </w:t>
      </w:r>
    </w:p>
    <w:p>
      <w:pPr>
        <w:pStyle w:val="TextBody"/>
        <w:bidi w:val="0"/>
        <w:spacing w:before="240" w:after="0"/>
        <w:jc w:val="left"/>
        <w:rPr/>
      </w:pPr>
      <w:r>
        <w:rPr/>
        <w:t>“</w:t>
      </w:r>
      <w:r>
        <w:rPr>
          <w:rFonts w:ascii="Times New Roman" w:hAnsi="Times New Roman"/>
          <w:b/>
          <w:i/>
          <w:sz w:val="20"/>
        </w:rPr>
        <w:t>Additional Member</w:t>
      </w:r>
      <w:r>
        <w:rPr>
          <w:rFonts w:ascii="Times New Roman" w:hAnsi="Times New Roman"/>
          <w:sz w:val="20"/>
        </w:rPr>
        <w:t xml:space="preserve">” has the meaning set forth in </w:t>
      </w:r>
      <w:r>
        <w:rPr>
          <w:rFonts w:ascii="Times New Roman" w:hAnsi="Times New Roman"/>
          <w:sz w:val="20"/>
          <w:u w:val="single"/>
        </w:rPr>
        <w:t>Section 12.02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Adjusted Capital Account Deficit</w:t>
      </w:r>
      <w:r>
        <w:rPr>
          <w:rFonts w:ascii="Times New Roman" w:hAnsi="Times New Roman"/>
          <w:sz w:val="20"/>
        </w:rPr>
        <w:t xml:space="preserve">” means, with respect to the Capital Account of any Member as of the end of any Taxable Year, the amount by which the balance in such Capital Account is less than zero. For this purpose, such Member’s Capital Account balance shall be: </w:t>
      </w:r>
    </w:p>
    <w:p>
      <w:pPr>
        <w:pStyle w:val="TextBody"/>
        <w:bidi w:val="0"/>
        <w:spacing w:before="120" w:after="0"/>
        <w:jc w:val="left"/>
        <w:rPr>
          <w:rFonts w:ascii="Times New Roman" w:hAnsi="Times New Roman"/>
          <w:sz w:val="20"/>
        </w:rPr>
      </w:pPr>
      <w:r>
        <w:rPr>
          <w:rFonts w:ascii="Times New Roman" w:hAnsi="Times New Roman"/>
          <w:sz w:val="20"/>
        </w:rPr>
        <w:t>(a) reduced for any items described in Treasury Regulation Section 1.704-1(b)(2)(ii)(</w:t>
      </w:r>
      <w:r>
        <w:rPr>
          <w:rFonts w:ascii="Times New Roman" w:hAnsi="Times New Roman"/>
          <w:i/>
          <w:sz w:val="20"/>
        </w:rPr>
        <w:t>d</w:t>
      </w:r>
      <w:r>
        <w:rPr>
          <w:rFonts w:ascii="Times New Roman" w:hAnsi="Times New Roman"/>
          <w:sz w:val="20"/>
        </w:rPr>
        <w:t xml:space="preserve">)(4), (5), and (6); and </w:t>
      </w:r>
    </w:p>
    <w:p>
      <w:pPr>
        <w:pStyle w:val="TextBody"/>
        <w:bidi w:val="0"/>
        <w:spacing w:before="240" w:after="0"/>
        <w:jc w:val="left"/>
        <w:rPr>
          <w:rFonts w:ascii="Times New Roman" w:hAnsi="Times New Roman"/>
          <w:sz w:val="20"/>
        </w:rPr>
      </w:pPr>
      <w:r>
        <w:rPr>
          <w:rFonts w:ascii="Times New Roman" w:hAnsi="Times New Roman"/>
          <w:sz w:val="20"/>
        </w:rPr>
        <w:t xml:space="preserve">(b) increased for any amount such Member is obligated to contribute or is treated as being obligated to contribute to the Company pursuant to Treasury Regulation Section 1.704-1(b)(2)(ii)(c) (relating to partner liabilities to a partnership) or 1.704-2(g)(1) and 1.704-2(i) (relating to minimum gain). </w:t>
      </w:r>
    </w:p>
    <w:p>
      <w:pPr>
        <w:pStyle w:val="TextBody"/>
        <w:bidi w:val="0"/>
        <w:spacing w:before="240" w:after="0"/>
        <w:jc w:val="left"/>
        <w:rPr/>
      </w:pPr>
      <w:r>
        <w:rPr/>
        <w:t>“</w:t>
      </w:r>
      <w:r>
        <w:rPr>
          <w:rFonts w:ascii="Times New Roman" w:hAnsi="Times New Roman"/>
          <w:b/>
          <w:i/>
          <w:sz w:val="20"/>
        </w:rPr>
        <w:t>Admission Date</w:t>
      </w:r>
      <w:r>
        <w:rPr>
          <w:rFonts w:ascii="Times New Roman" w:hAnsi="Times New Roman"/>
          <w:sz w:val="20"/>
        </w:rPr>
        <w:t xml:space="preserve">” has the meaning set forth in </w:t>
      </w:r>
      <w:r>
        <w:rPr>
          <w:rFonts w:ascii="Times New Roman" w:hAnsi="Times New Roman"/>
          <w:sz w:val="20"/>
          <w:u w:val="single"/>
        </w:rPr>
        <w:t>Section 10.06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(and, with a correlative meaning, “</w:t>
      </w:r>
      <w:r>
        <w:rPr>
          <w:rFonts w:ascii="Times New Roman" w:hAnsi="Times New Roman"/>
          <w:b/>
          <w:i/>
          <w:sz w:val="20"/>
        </w:rPr>
        <w:t>Affiliated</w:t>
      </w:r>
      <w:r>
        <w:rPr>
          <w:rFonts w:ascii="Times New Roman" w:hAnsi="Times New Roman"/>
          <w:sz w:val="20"/>
        </w:rPr>
        <w:t xml:space="preserve">”) means, with respect to a specified Person, each other Person that directly, or indirectly through one or more intermediaries, Controls or is Controlled by, or is under common Control with, the Person specified; </w:t>
      </w:r>
      <w:r>
        <w:rPr>
          <w:rFonts w:ascii="Times New Roman" w:hAnsi="Times New Roman"/>
          <w:i/>
          <w:sz w:val="20"/>
        </w:rPr>
        <w:t>provided</w:t>
      </w:r>
      <w:r>
        <w:rPr>
          <w:rFonts w:ascii="Times New Roman" w:hAnsi="Times New Roman"/>
          <w:sz w:val="20"/>
        </w:rPr>
        <w:t xml:space="preserve"> that no Member nor any Affiliate of any Member shall be deemed to be an Affiliate of any other Member or any of its Affiliates solely by virtue of such Members’ Units.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American Securities</w:t>
      </w:r>
      <w:r>
        <w:rPr>
          <w:rFonts w:ascii="Times New Roman" w:hAnsi="Times New Roman"/>
          <w:sz w:val="20"/>
        </w:rPr>
        <w:t xml:space="preserve">” means American Securities LLC and any successor thereto. </w:t>
      </w:r>
    </w:p>
    <w:p>
      <w:pPr>
        <w:pStyle w:val="TextBody"/>
        <w:bidi w:val="0"/>
        <w:spacing w:before="240" w:after="0"/>
        <w:jc w:val="left"/>
        <w:rPr/>
      </w:pPr>
      <w:r>
        <w:rPr/>
        <w:t>“</w:t>
      </w:r>
      <w:r>
        <w:rPr>
          <w:rFonts w:ascii="Times New Roman" w:hAnsi="Times New Roman"/>
          <w:b/>
          <w:i/>
          <w:sz w:val="20"/>
        </w:rPr>
        <w:t>AS Aggregators</w:t>
      </w:r>
      <w:r>
        <w:rPr>
          <w:rFonts w:ascii="Times New Roman" w:hAnsi="Times New Roman"/>
          <w:sz w:val="20"/>
        </w:rPr>
        <w:t xml:space="preserve">” means, collectively, ASP SOLV Aggregator LP and ASP Endeavor Investco LP (or, in each case, any successor entity that is an AS Person). </w:t>
      </w:r>
    </w:p>
    <w:p>
      <w:pPr>
        <w:pStyle w:val="TextBody"/>
        <w:bidi w:val="0"/>
        <w:spacing w:before="240" w:after="0"/>
        <w:jc w:val="left"/>
        <w:rPr/>
      </w:pPr>
      <w:r>
        <w:rPr/>
        <w:t>“</w:t>
      </w:r>
      <w:r>
        <w:rPr>
          <w:rFonts w:ascii="Times New Roman" w:hAnsi="Times New Roman"/>
          <w:b/>
          <w:i/>
          <w:sz w:val="20"/>
        </w:rPr>
        <w:t>AS Blockers</w:t>
      </w:r>
      <w:r>
        <w:rPr>
          <w:rFonts w:ascii="Times New Roman" w:hAnsi="Times New Roman"/>
          <w:sz w:val="20"/>
        </w:rPr>
        <w:t xml:space="preserve">” means, collectively, (i) Manager Sub, which on the date hereof and following the Blocker Contribution was converted from a Delaware limited partnership named ASP VIII SOLV LP to a Delaware corporation pursuant to the filing of a Certificate of Conversion and Certificate of Incorporation with the Secretary of State of Delaware, and (ii) SOLV Sub 2 Inc., which on the date hereof and following the Blocker Contribution was converted from a Delaware limited partnership named ASP VIII CSE LP to a Delaware corporation pursuant to the filing of a Certificate of Conversion and Certificate of Incorporation with the Secretary of State of Delaware (and, in each case, any successors thereto, including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AS Fund VIII GP</w:t>
      </w:r>
      <w:r>
        <w:rPr>
          <w:rFonts w:ascii="Times New Roman" w:hAnsi="Times New Roman"/>
          <w:sz w:val="20"/>
        </w:rPr>
        <w:t xml:space="preserve">” means American Securities Associates VIII, LLC. </w:t>
      </w:r>
    </w:p>
    <w:p>
      <w:pPr>
        <w:pStyle w:val="TextBody"/>
        <w:bidi w:val="0"/>
        <w:spacing w:before="240" w:after="0"/>
        <w:jc w:val="left"/>
        <w:rPr/>
      </w:pPr>
      <w:r>
        <w:rPr/>
        <w:t>“</w:t>
      </w:r>
      <w:r>
        <w:rPr>
          <w:rFonts w:ascii="Times New Roman" w:hAnsi="Times New Roman"/>
          <w:b/>
          <w:i/>
          <w:sz w:val="20"/>
        </w:rPr>
        <w:t>AS Persons</w:t>
      </w:r>
      <w:r>
        <w:rPr>
          <w:rFonts w:ascii="Times New Roman" w:hAnsi="Times New Roman"/>
          <w:sz w:val="20"/>
        </w:rPr>
        <w:t xml:space="preserve">” means, collectively, (a) the AS Aggregators, (b) any general or limited partnership, corporation or limited liability company having as a general partner, controlling equity holder or managing member (whether directly or indirectly) American Securities, a Person who is a member of American Securities or an Affiliate of American Securities or any such Person, or (c) any successor of any of the foregoing; </w:t>
      </w:r>
      <w:r>
        <w:rPr>
          <w:rFonts w:ascii="Times New Roman" w:hAnsi="Times New Roman"/>
          <w:sz w:val="20"/>
          <w:u w:val="single"/>
        </w:rPr>
        <w:t>provided</w:t>
      </w:r>
      <w:r>
        <w:rPr>
          <w:rFonts w:ascii="Times New Roman" w:hAnsi="Times New Roman"/>
          <w:sz w:val="20"/>
        </w:rPr>
        <w:t xml:space="preserve"> that “AS Persons” shall not include PubCo or its Subsidiaries or Management Holdings. </w:t>
      </w:r>
    </w:p>
    <w:p>
      <w:pPr>
        <w:pStyle w:val="TextBody"/>
        <w:bidi w:val="0"/>
        <w:spacing w:before="240" w:after="0"/>
        <w:jc w:val="left"/>
        <w:rPr/>
      </w:pPr>
      <w:r>
        <w:rPr/>
        <w:t>“</w:t>
      </w:r>
      <w:r>
        <w:rPr>
          <w:rFonts w:ascii="Times New Roman" w:hAnsi="Times New Roman"/>
          <w:b/>
          <w:i/>
          <w:sz w:val="20"/>
        </w:rPr>
        <w:t>AS Redemption</w:t>
      </w:r>
      <w:r>
        <w:rPr>
          <w:rFonts w:ascii="Times New Roman" w:hAnsi="Times New Roman"/>
          <w:sz w:val="20"/>
        </w:rPr>
        <w:t xml:space="preserve">” has the meaning set forth in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AS Representative</w:t>
      </w:r>
      <w:r>
        <w:rPr>
          <w:rFonts w:ascii="Times New Roman" w:hAnsi="Times New Roman"/>
          <w:sz w:val="20"/>
        </w:rPr>
        <w:t xml:space="preserve">” means ASP Manager Corp. or such other Person designated by American Securities. </w:t>
      </w:r>
    </w:p>
    <w:p>
      <w:pPr>
        <w:pStyle w:val="TextBody"/>
        <w:bidi w:val="0"/>
        <w:spacing w:before="240" w:after="0"/>
        <w:jc w:val="left"/>
        <w:rPr/>
      </w:pPr>
      <w:r>
        <w:rPr/>
        <w:t>“</w:t>
      </w:r>
      <w:r>
        <w:rPr>
          <w:rFonts w:ascii="Times New Roman" w:hAnsi="Times New Roman"/>
          <w:b/>
          <w:i/>
          <w:sz w:val="20"/>
        </w:rPr>
        <w:t>AS Sale Percentage</w:t>
      </w:r>
      <w:r>
        <w:rPr>
          <w:rFonts w:ascii="Times New Roman" w:hAnsi="Times New Roman"/>
          <w:sz w:val="20"/>
        </w:rPr>
        <w:t xml:space="preserve">” has the meaning set forth in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Assignee</w:t>
      </w:r>
      <w:r>
        <w:rPr>
          <w:rFonts w:ascii="Times New Roman" w:hAnsi="Times New Roman"/>
          <w:sz w:val="20"/>
        </w:rPr>
        <w:t xml:space="preserve">” means a Person to whom a Unit has been transferred but who has not become a Member pursuant to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Assumed Tax Liability</w:t>
      </w:r>
      <w:r>
        <w:rPr>
          <w:rFonts w:ascii="Times New Roman" w:hAnsi="Times New Roman"/>
          <w:sz w:val="20"/>
        </w:rPr>
        <w:t xml:space="preserve">” means, with respect to any Member for any Taxable Year, an amount equal to the product of (i) the Assumed Tax Rate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(A) the net taxable income or gain of the Company, as determined for U.S. federal income tax purposes, allocated to such Member for such Taxable Year, less (but not less than zero) (B) the cumulative net taxable losses of the Company, as determined for U.S. federal income tax purposes, allocated to such Member for all prior Taxable Years (or portions thereof) commencing on or after the Effective Date, to the extent any such prior losses are available to reduce such income or gain and have not previously been taken into account in the calculation of Assumed Tax Liability for any prior period (or portion thereof) commencing on or after the Effective Date, in each case, as reasonably determined by the Manager; provided that, in the computation of each Member’s Assumed Tax Liability, any adjustments under Section 743(b) of the Code and, for the avoidance of doubt, any allocations under Code Section 704(c) and the Treasury Regulations thereunder shall be taken into account. </w:t>
      </w:r>
    </w:p>
    <w:p>
      <w:pPr>
        <w:pStyle w:val="TextBody"/>
        <w:bidi w:val="0"/>
        <w:spacing w:before="240" w:after="0"/>
        <w:jc w:val="left"/>
        <w:rPr/>
      </w:pPr>
      <w:r>
        <w:rPr/>
        <w:t>“</w:t>
      </w:r>
      <w:r>
        <w:rPr>
          <w:rFonts w:ascii="Times New Roman" w:hAnsi="Times New Roman"/>
          <w:b/>
          <w:i/>
          <w:sz w:val="20"/>
        </w:rPr>
        <w:t>Assumed Tax Rate</w:t>
      </w:r>
      <w:r>
        <w:rPr>
          <w:rFonts w:ascii="Times New Roman" w:hAnsi="Times New Roman"/>
          <w:sz w:val="20"/>
        </w:rPr>
        <w:t xml:space="preserve">” means, with respect to any Member for any Taxable Year, the highest combined marginal rate of U.S. federal, state and local income tax applicable to an individual, or, if higher, a corporation, resident in New York, New York, including any tax rate imposed under Section 1411 of the Code, determined by taking into account the character of the taxable income or gain allocated to such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Bankruptcy</w:t>
      </w:r>
      <w:r>
        <w:rPr>
          <w:rFonts w:ascii="Times New Roman" w:hAnsi="Times New Roman"/>
          <w:sz w:val="20"/>
        </w:rPr>
        <w:t xml:space="preserve">” means, with respect to any Person, the occurrence of any of the following events: (a) the filing of an application by such Person for, or a consent to, the appointment of a trustee or custodian of such Person’s assets; (b) the filing by such Person of a voluntary petition in Bankruptcy or the seeking of relief under Title 11 of the United States Code, as now constituted or hereafter amended, or the filing of a pleading in any court of record admitting in writing such Person’s inability to pay its debts as they become due; (c) the failure of such Person to pay its debts as such debts become due; (d) the making by such Person of a general assignment for the benefit of creditors; (e) the filing by such Person of an answer admitting the material allegations of, or such Person’s consenting to, or defaulting in answering, a Bankruptcy petition filed against him in any Bankruptcy proceeding or petition seeking relief under Title 11 of the United States Code, as now constituted or as hereafter amended; or (f) the entry of an order, judgment or decree by any court of competent jurisdiction adjudicating such Person a bankrupt or insolvent or for relief in respect of such Person or appointing a trustee or custodian of such Person’s assets and the continuance of such order, judgment or decree unstayed and in effect for a period of sixty (60) consecutive calendar days. </w:t>
      </w:r>
    </w:p>
    <w:p>
      <w:pPr>
        <w:pStyle w:val="TextBody"/>
        <w:bidi w:val="0"/>
        <w:spacing w:before="240" w:after="0"/>
        <w:jc w:val="left"/>
        <w:rPr/>
      </w:pPr>
      <w:r>
        <w:rPr/>
        <w:t>“</w:t>
      </w:r>
      <w:r>
        <w:rPr>
          <w:rFonts w:ascii="Times New Roman" w:hAnsi="Times New Roman"/>
          <w:b/>
          <w:i/>
          <w:sz w:val="20"/>
        </w:rPr>
        <w:t>Base Rate</w:t>
      </w:r>
      <w:r>
        <w:rPr>
          <w:rFonts w:ascii="Times New Roman" w:hAnsi="Times New Roman"/>
          <w:sz w:val="20"/>
        </w:rPr>
        <w:t xml:space="preserve">” means, on any date, a variable rate per annum equal to the rate of interest most recently published by </w:t>
      </w:r>
      <w:r>
        <w:rPr>
          <w:rFonts w:ascii="Times New Roman" w:hAnsi="Times New Roman"/>
          <w:i/>
          <w:sz w:val="20"/>
        </w:rPr>
        <w:t>The Wall Street Journal</w:t>
      </w:r>
      <w:r>
        <w:rPr>
          <w:rFonts w:ascii="Times New Roman" w:hAnsi="Times New Roman"/>
          <w:sz w:val="20"/>
        </w:rPr>
        <w:t xml:space="preserve"> as the “prime rate” at large U.S. money center banks. </w:t>
      </w:r>
    </w:p>
    <w:p>
      <w:pPr>
        <w:pStyle w:val="TextBody"/>
        <w:bidi w:val="0"/>
        <w:spacing w:before="240" w:after="0"/>
        <w:jc w:val="left"/>
        <w:rPr/>
      </w:pPr>
      <w:r>
        <w:rPr/>
        <w:t>“</w:t>
      </w:r>
      <w:r>
        <w:rPr>
          <w:rFonts w:ascii="Times New Roman" w:hAnsi="Times New Roman"/>
          <w:b/>
          <w:i/>
          <w:sz w:val="20"/>
        </w:rPr>
        <w:t>Blocker Contributions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Book Value</w:t>
      </w:r>
      <w:r>
        <w:rPr>
          <w:rFonts w:ascii="Times New Roman" w:hAnsi="Times New Roman"/>
          <w:sz w:val="20"/>
        </w:rPr>
        <w:t>” means, with respect to any property of the Company, the Company’s adjusted basis for U.S. federal income tax purposes, adjusted from time to time to reflect the adjustments required or permitted by Treasury Regulation Section 1.704-1(b)(2)(iv)(</w:t>
      </w:r>
      <w:r>
        <w:rPr>
          <w:rFonts w:ascii="Times New Roman" w:hAnsi="Times New Roman"/>
          <w:i/>
          <w:sz w:val="20"/>
        </w:rPr>
        <w:t>d</w:t>
      </w:r>
      <w:r>
        <w:rPr>
          <w:rFonts w:ascii="Times New Roman" w:hAnsi="Times New Roman"/>
          <w:sz w:val="20"/>
        </w:rPr>
        <w:t xml:space="preserve">)-(g) (or any other relevant provisions of the Treasury Regulations under Section 704(b) of the Code).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Sunday or day on which banks located in New York City, New York or San Diego, California are authorized or required by Law to close. </w:t>
      </w:r>
    </w:p>
    <w:p>
      <w:pPr>
        <w:pStyle w:val="TextBody"/>
        <w:bidi w:val="0"/>
        <w:spacing w:before="240" w:after="0"/>
        <w:jc w:val="left"/>
        <w:rPr/>
      </w:pPr>
      <w:r>
        <w:rPr/>
        <w:t>“</w:t>
      </w:r>
      <w:r>
        <w:rPr>
          <w:rFonts w:ascii="Times New Roman" w:hAnsi="Times New Roman"/>
          <w:b/>
          <w:i/>
          <w:sz w:val="20"/>
        </w:rPr>
        <w:t>Capital Account</w:t>
      </w:r>
      <w:r>
        <w:rPr>
          <w:rFonts w:ascii="Times New Roman" w:hAnsi="Times New Roman"/>
          <w:sz w:val="20"/>
        </w:rPr>
        <w:t xml:space="preserve">” means the capital account maintained for a Member in accordance with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Capital Contribution</w:t>
      </w:r>
      <w:r>
        <w:rPr>
          <w:rFonts w:ascii="Times New Roman" w:hAnsi="Times New Roman"/>
          <w:sz w:val="20"/>
        </w:rPr>
        <w:t xml:space="preserve">” means, with respect to any Member, the amount of any cash, cash equivalents, promissory obligations or the Fair Market Value of other property that such Member (or such Member’s predecessor) contributes (or is deemed to contribute) to the Company pursuant to </w:t>
      </w:r>
      <w:r>
        <w:rPr>
          <w:rFonts w:ascii="Times New Roman" w:hAnsi="Times New Roman"/>
          <w:sz w:val="20"/>
          <w:u w:val="single"/>
        </w:rPr>
        <w:t>Article III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i/>
          <w:sz w:val="20"/>
        </w:rPr>
        <w:t>Cash Settlement</w:t>
      </w:r>
      <w:r>
        <w:rPr>
          <w:rFonts w:ascii="Times New Roman" w:hAnsi="Times New Roman"/>
          <w:sz w:val="20"/>
        </w:rPr>
        <w:t xml:space="preserve">” means immediately available funds in U.S. dollars in an amount equal to the Redeemed Units Equivalent. </w:t>
      </w:r>
    </w:p>
    <w:p>
      <w:pPr>
        <w:pStyle w:val="TextBody"/>
        <w:bidi w:val="0"/>
        <w:spacing w:before="240" w:after="0"/>
        <w:jc w:val="left"/>
        <w:rPr/>
      </w:pPr>
      <w:r>
        <w:rPr/>
        <w:t>“</w:t>
      </w:r>
      <w:r>
        <w:rPr>
          <w:rFonts w:ascii="Times New Roman" w:hAnsi="Times New Roman"/>
          <w:b/>
          <w:i/>
          <w:sz w:val="20"/>
        </w:rPr>
        <w:t>Certificate</w:t>
      </w:r>
      <w:r>
        <w:rPr>
          <w:rFonts w:ascii="Times New Roman" w:hAnsi="Times New Roman"/>
          <w:sz w:val="20"/>
        </w:rPr>
        <w:t xml:space="preserve">” means the Company’s Certificate of Formation as filed with the Secretary of State of the State of Delaware, as amended or amended and restated from time to time. </w:t>
      </w:r>
    </w:p>
    <w:p>
      <w:pPr>
        <w:pStyle w:val="TextBody"/>
        <w:bidi w:val="0"/>
        <w:spacing w:before="240" w:after="0"/>
        <w:jc w:val="left"/>
        <w:rPr/>
      </w:pPr>
      <w:r>
        <w:rPr/>
        <w:t>“</w:t>
      </w:r>
      <w:r>
        <w:rPr>
          <w:rFonts w:ascii="Times New Roman" w:hAnsi="Times New Roman"/>
          <w:b/>
          <w:i/>
          <w:sz w:val="20"/>
        </w:rPr>
        <w:t>Change of Control</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(1) any “person” or “group” (within the meaning of Sections 13(d) and 14(d) of the Exchange Act, but excluding (x) any employee benefit plan of such person and its subsidiaries, and any person or entity acting in its capacity as trustee, agent or other fiduciary or administrator of any such plan, (y) the Permitted Transferees and (z) AS Persons) becomes the “beneficial owner” (within the meaning of Rules 13d-3 and 13d-5 under the Exchange Act), directly or indirectly, of shares of Class A Common Stock, Class B Common Stock, preferred stock and/or any other class or classes of capital stock of PubCo (if any) representing in the aggregate more than fifty percent (50%) of the voting power of all of the outstanding shares of capital stock of PubCo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there is consummated a merger or consolidation of PubCo with any other corporation or entity, and, immediately after the consummation of such merger or consolidation, the voting securities of PubCo immediately prior to such merger or consolidation do not continue to represent, or are not converted into, more than fifty percent (50%) of the combined voting power of the then outstanding voting securities of the Person resulting from such merger or consolidation or, if the surviving company is a Subsidiary, the ultimate parent thereof; </w:t>
      </w:r>
    </w:p>
    <w:p>
      <w:pPr>
        <w:pStyle w:val="TextBody"/>
        <w:bidi w:val="0"/>
        <w:spacing w:before="240" w:after="0"/>
        <w:jc w:val="left"/>
        <w:rPr>
          <w:rFonts w:ascii="Times New Roman" w:hAnsi="Times New Roman"/>
          <w:sz w:val="20"/>
        </w:rPr>
      </w:pPr>
      <w:r>
        <w:rPr>
          <w:rFonts w:ascii="Times New Roman" w:hAnsi="Times New Roman"/>
          <w:sz w:val="20"/>
        </w:rPr>
        <w:t xml:space="preserve">(3) the stockholders of PubCo approve a plan of complete liquidation or dissolution of PubCo or there is consummated an agreement or series of related agreements for the sale or other disposition, directly or indirectly, by PubCo of all or substantially all of PubCo’s assets (including a sale of all or substantially all of the assets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(4) Manager Sub (x) ceases to be (directly or indirectly) the sole managing member of the Company (unless PubCo or a wholly owned Subsidiary thereof becomes the sole managing member of the Company immediately after such cessation, in which case this </w:t>
      </w:r>
      <w:r>
        <w:rPr>
          <w:rFonts w:ascii="Times New Roman" w:hAnsi="Times New Roman"/>
          <w:sz w:val="20"/>
          <w:u w:val="single"/>
        </w:rPr>
        <w:t>clause (4)</w:t>
      </w:r>
      <w:r>
        <w:rPr>
          <w:rFonts w:ascii="Times New Roman" w:hAnsi="Times New Roman"/>
          <w:sz w:val="20"/>
        </w:rPr>
        <w:t xml:space="preserve"> shall thereafter be applied by reference to PubCo or such Subsidiary, as applicable, </w:t>
      </w:r>
      <w:r>
        <w:rPr>
          <w:rFonts w:ascii="Times New Roman" w:hAnsi="Times New Roman"/>
          <w:i/>
          <w:sz w:val="20"/>
        </w:rPr>
        <w:t>mutatis mutandis</w:t>
      </w:r>
      <w:r>
        <w:rPr>
          <w:rFonts w:ascii="Times New Roman" w:hAnsi="Times New Roman"/>
          <w:sz w:val="20"/>
        </w:rPr>
        <w:t xml:space="preserve">) or (y) ceases to be (directly or indirectly) wholly owned by PubCo.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“Change of Control” shall not be deemed to have occurred by virtue of the consummation of any transaction or series of integrated transactions immediately following which the beneficial holders of the Class A Common Stock, Class B Common Stock, preferred stock and/or any other class or classes of capital stock of PubCo immediately prior to such transaction or series of transactions continue to have substantially the same proportionate ownership in and voting control over, and own substantially all of the shares of, an entity which owns all or substantially all of the assets of PubCo immediately following such transaction or series of transactions. </w:t>
      </w:r>
    </w:p>
    <w:p>
      <w:pPr>
        <w:pStyle w:val="TextBody"/>
        <w:bidi w:val="0"/>
        <w:spacing w:before="240" w:after="0"/>
        <w:jc w:val="left"/>
        <w:rPr/>
      </w:pPr>
      <w:r>
        <w:rPr/>
        <w:t>“</w:t>
      </w:r>
      <w:r>
        <w:rPr>
          <w:rFonts w:ascii="Times New Roman" w:hAnsi="Times New Roman"/>
          <w:b/>
          <w:i/>
          <w:sz w:val="20"/>
        </w:rPr>
        <w:t>Change of Control Date</w:t>
      </w:r>
      <w:r>
        <w:rPr>
          <w:rFonts w:ascii="Times New Roman" w:hAnsi="Times New Roman"/>
          <w:sz w:val="20"/>
        </w:rPr>
        <w:t xml:space="preserve">” has the meaning set forth in </w:t>
      </w:r>
      <w:r>
        <w:rPr>
          <w:rFonts w:ascii="Times New Roman" w:hAnsi="Times New Roman"/>
          <w:sz w:val="20"/>
          <w:u w:val="single"/>
        </w:rPr>
        <w:t>Section 10.09(a)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Change of Control Transaction</w:t>
      </w:r>
      <w:r>
        <w:rPr>
          <w:rFonts w:ascii="Times New Roman" w:hAnsi="Times New Roman"/>
          <w:sz w:val="20"/>
        </w:rPr>
        <w:t xml:space="preserve">” means any Change of Control that was approved by the Corporate Board prior to such Change of Control.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means the shares of Class A common stock, par value $0.0001 per share, of PubCo. </w:t>
      </w:r>
    </w:p>
    <w:p>
      <w:pPr>
        <w:pStyle w:val="TextBody"/>
        <w:bidi w:val="0"/>
        <w:spacing w:before="240" w:after="0"/>
        <w:jc w:val="left"/>
        <w:rPr/>
      </w:pPr>
      <w:r>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xml:space="preserve">” means the shares of Class B Common Stock, par value $0.0001 per share, of PubCo.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United States Internal Revenue Code of 1986, as amended. Unless the context requires otherwise, any reference herein to a specific section of the Code shall be deemed to include any corresponding provisions of future Law as in effect for the relevant taxable period. </w:t>
      </w:r>
    </w:p>
    <w:p>
      <w:pPr>
        <w:pStyle w:val="TextBody"/>
        <w:bidi w:val="0"/>
        <w:spacing w:before="240" w:after="0"/>
        <w:jc w:val="left"/>
        <w:rPr/>
      </w:pPr>
      <w:r>
        <w:rPr/>
        <w:t>“</w:t>
      </w:r>
      <w:r>
        <w:rPr>
          <w:rFonts w:ascii="Times New Roman" w:hAnsi="Times New Roman"/>
          <w:b/>
          <w:i/>
          <w:sz w:val="20"/>
        </w:rPr>
        <w:t>Common Unit</w:t>
      </w:r>
      <w:r>
        <w:rPr>
          <w:rFonts w:ascii="Times New Roman" w:hAnsi="Times New Roman"/>
          <w:sz w:val="20"/>
        </w:rPr>
        <w:t xml:space="preserve">” means a Unit designated as a “Common Unit” and having the rights and obligations specified with respect to the Common Units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Common Unit Redemption Price</w:t>
      </w:r>
      <w:r>
        <w:rPr>
          <w:rFonts w:ascii="Times New Roman" w:hAnsi="Times New Roman"/>
          <w:sz w:val="20"/>
        </w:rPr>
        <w:t xml:space="preserve">” means, with respect to any Redemption that occurs with net proceeds from any substantially contemporaneous Secondary Offering, the price per share for which shares of Class A Common Stock are sold to the public (or, in the case of a Secondary Offering that is a variable price re-offer, to the underwriter(s)) in the applicable Secondary Offering, after taking into account any Discount, as applicable. If the Class A Common Stock no longer trades on the Stock Exchange or any other securities exchange or automated or electronic quotation system as of any particular Redemption Date, then PubCo (through the Corporate Board) shall determine the Common Unit Redemption Price in good faith. </w:t>
      </w:r>
    </w:p>
    <w:p>
      <w:pPr>
        <w:pStyle w:val="TextBody"/>
        <w:bidi w:val="0"/>
        <w:spacing w:before="240" w:after="0"/>
        <w:jc w:val="left"/>
        <w:rPr/>
      </w:pPr>
      <w:r>
        <w:rPr/>
        <w:t>“</w:t>
      </w:r>
      <w:r>
        <w:rPr>
          <w:rFonts w:ascii="Times New Roman" w:hAnsi="Times New Roman"/>
          <w:b/>
          <w:i/>
          <w:sz w:val="20"/>
        </w:rPr>
        <w:t>Common Unitholder</w:t>
      </w:r>
      <w:r>
        <w:rPr>
          <w:rFonts w:ascii="Times New Roman" w:hAnsi="Times New Roman"/>
          <w:sz w:val="20"/>
        </w:rPr>
        <w:t xml:space="preserve">” means a Member who is the registered holder of Common Units.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Company Redemption Right</w:t>
      </w:r>
      <w:r>
        <w:rPr>
          <w:rFonts w:ascii="Times New Roman" w:hAnsi="Times New Roman"/>
          <w:sz w:val="20"/>
        </w:rPr>
        <w:t xml:space="preserve">” has the meaning set forth in </w:t>
      </w:r>
      <w:r>
        <w:rPr>
          <w:rFonts w:ascii="Times New Roman" w:hAnsi="Times New Roman"/>
          <w:sz w:val="20"/>
          <w:u w:val="single"/>
        </w:rPr>
        <w:t>Section 11.07(c)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Confidential Information</w:t>
      </w:r>
      <w:r>
        <w:rPr>
          <w:rFonts w:ascii="Times New Roman" w:hAnsi="Times New Roman"/>
          <w:sz w:val="20"/>
        </w:rPr>
        <w:t xml:space="preserve">” has the meaning set forth in </w:t>
      </w:r>
      <w:r>
        <w:rPr>
          <w:rFonts w:ascii="Times New Roman" w:hAnsi="Times New Roman"/>
          <w:sz w:val="20"/>
          <w:u w:val="single"/>
        </w:rPr>
        <w:t>Section 15.02(a)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Control</w:t>
      </w:r>
      <w:r>
        <w:rPr>
          <w:rFonts w:ascii="Times New Roman" w:hAnsi="Times New Roman"/>
          <w:sz w:val="20"/>
        </w:rPr>
        <w:t xml:space="preserve">” means possession, directly or indirectly, of power to direct or cause the direction of management or policies of a Person, whether through ownership of voting securities, by contract or otherwise. </w:t>
      </w:r>
    </w:p>
    <w:p>
      <w:pPr>
        <w:pStyle w:val="TextBody"/>
        <w:bidi w:val="0"/>
        <w:spacing w:before="240" w:after="0"/>
        <w:jc w:val="left"/>
        <w:rPr/>
      </w:pPr>
      <w:r>
        <w:rPr/>
        <w:t>“</w:t>
      </w:r>
      <w:r>
        <w:rPr>
          <w:rFonts w:ascii="Times New Roman" w:hAnsi="Times New Roman"/>
          <w:b/>
          <w:i/>
          <w:sz w:val="20"/>
        </w:rPr>
        <w:t>Corporate Board</w:t>
      </w:r>
      <w:r>
        <w:rPr>
          <w:rFonts w:ascii="Times New Roman" w:hAnsi="Times New Roman"/>
          <w:sz w:val="20"/>
        </w:rPr>
        <w:t xml:space="preserve">” means the board of directors of PubCo. </w:t>
      </w:r>
    </w:p>
    <w:p>
      <w:pPr>
        <w:pStyle w:val="TextBody"/>
        <w:bidi w:val="0"/>
        <w:spacing w:before="240" w:after="0"/>
        <w:jc w:val="left"/>
        <w:rPr/>
      </w:pPr>
      <w:r>
        <w:rPr/>
        <w:t>“</w:t>
      </w:r>
      <w:r>
        <w:rPr>
          <w:rFonts w:ascii="Times New Roman" w:hAnsi="Times New Roman"/>
          <w:b/>
          <w:i/>
          <w:sz w:val="20"/>
        </w:rPr>
        <w:t>Corporate Equity Incentive Plan</w:t>
      </w:r>
      <w:r>
        <w:rPr>
          <w:rFonts w:ascii="Times New Roman" w:hAnsi="Times New Roman"/>
          <w:sz w:val="20"/>
        </w:rPr>
        <w:t xml:space="preserve">” means the Equity Incentive Plan of PubCo, as the same may be amended, restated, amended and restated, supplemented or otherwise modified from time to time, and any other equity incentive plan adopted by PubCo. </w:t>
      </w:r>
    </w:p>
    <w:p>
      <w:pPr>
        <w:pStyle w:val="TextBody"/>
        <w:bidi w:val="0"/>
        <w:spacing w:before="240" w:after="0"/>
        <w:jc w:val="left"/>
        <w:rPr/>
      </w:pPr>
      <w:r>
        <w:rPr/>
        <w:t>“</w:t>
      </w:r>
      <w:r>
        <w:rPr>
          <w:rFonts w:ascii="Times New Roman" w:hAnsi="Times New Roman"/>
          <w:b/>
          <w:i/>
          <w:sz w:val="20"/>
        </w:rPr>
        <w:t>Corresponding Involuntary Transfer</w:t>
      </w:r>
      <w:r>
        <w:rPr>
          <w:rFonts w:ascii="Times New Roman" w:hAnsi="Times New Roman"/>
          <w:sz w:val="20"/>
        </w:rPr>
        <w:t xml:space="preserve">” means any Transfer of Corresponding Management Units resulting from (i) any seizure under levy of attachment or execution, (ii) any Bankruptcy (whether voluntary or involuntary) or (iii) any Transfer to a state or to a public officer or agency pursuant to any statute pertaining to escheat or abandoned property. </w:t>
      </w:r>
    </w:p>
    <w:p>
      <w:pPr>
        <w:pStyle w:val="TextBody"/>
        <w:bidi w:val="0"/>
        <w:spacing w:before="240" w:after="0"/>
        <w:jc w:val="left"/>
        <w:rPr/>
      </w:pPr>
      <w:r>
        <w:rPr/>
        <w:t>“</w:t>
      </w:r>
      <w:r>
        <w:rPr>
          <w:rFonts w:ascii="Times New Roman" w:hAnsi="Times New Roman"/>
          <w:b/>
          <w:i/>
          <w:sz w:val="20"/>
        </w:rPr>
        <w:t>Corresponding Management Unit</w:t>
      </w:r>
      <w:r>
        <w:rPr>
          <w:rFonts w:ascii="Times New Roman" w:hAnsi="Times New Roman"/>
          <w:sz w:val="20"/>
        </w:rPr>
        <w:t xml:space="preserve">” means a Management Holdings Interest held by a Management Holdings Partner that corresponds to a Common Unit held by Management Holdings. </w:t>
      </w:r>
    </w:p>
    <w:p>
      <w:pPr>
        <w:pStyle w:val="TextBody"/>
        <w:bidi w:val="0"/>
        <w:spacing w:before="240" w:after="0"/>
        <w:jc w:val="left"/>
        <w:rPr/>
      </w:pPr>
      <w:r>
        <w:rPr/>
        <w:t>“</w:t>
      </w:r>
      <w:r>
        <w:rPr>
          <w:rFonts w:ascii="Times New Roman" w:hAnsi="Times New Roman"/>
          <w:b/>
          <w:i/>
          <w:sz w:val="20"/>
        </w:rPr>
        <w:t>Corresponding Rights</w:t>
      </w:r>
      <w:r>
        <w:rPr>
          <w:rFonts w:ascii="Times New Roman" w:hAnsi="Times New Roman"/>
          <w:sz w:val="20"/>
        </w:rPr>
        <w:t>” means any rights issued with respect to a share of Class A Common Stock or Class B Common Stock pursuant to a “</w:t>
      </w:r>
      <w:r>
        <w:rPr>
          <w:rFonts w:ascii="Times New Roman" w:hAnsi="Times New Roman"/>
          <w:b/>
          <w:i/>
          <w:sz w:val="20"/>
        </w:rPr>
        <w:t>poison pill</w:t>
      </w:r>
      <w:r>
        <w:rPr>
          <w:rFonts w:ascii="Times New Roman" w:hAnsi="Times New Roman"/>
          <w:sz w:val="20"/>
        </w:rPr>
        <w:t xml:space="preserve">” or similar stockholder rights plan approved by the Corporate Board. </w:t>
      </w:r>
    </w:p>
    <w:p>
      <w:pPr>
        <w:pStyle w:val="TextBody"/>
        <w:bidi w:val="0"/>
        <w:spacing w:before="240" w:after="0"/>
        <w:jc w:val="left"/>
        <w:rPr/>
      </w:pPr>
      <w:r>
        <w:rPr/>
        <w:t>“</w:t>
      </w:r>
      <w:r>
        <w:rPr>
          <w:rFonts w:ascii="Times New Roman" w:hAnsi="Times New Roman"/>
          <w:b/>
          <w:i/>
          <w:sz w:val="20"/>
        </w:rPr>
        <w:t>Credit Agreements</w:t>
      </w:r>
      <w:r>
        <w:rPr>
          <w:rFonts w:ascii="Times New Roman" w:hAnsi="Times New Roman"/>
          <w:sz w:val="20"/>
        </w:rPr>
        <w:t xml:space="preserve">” means any promissory note, mortgage, loan agreement, indenture or similar instrument or agreement to which PubCo, the Company or any of their respective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PubCo, the Company or any of their respective Subsidiaries owes such obligation is not an Affiliate of the Company. </w:t>
      </w:r>
    </w:p>
    <w:p>
      <w:pPr>
        <w:pStyle w:val="TextBody"/>
        <w:bidi w:val="0"/>
        <w:spacing w:before="240" w:after="0"/>
        <w:jc w:val="left"/>
        <w:rPr/>
      </w:pPr>
      <w:r>
        <w:rPr/>
        <w:t>“</w:t>
      </w:r>
      <w:r>
        <w:rPr>
          <w:rFonts w:ascii="Times New Roman" w:hAnsi="Times New Roman"/>
          <w:b/>
          <w:i/>
          <w:sz w:val="20"/>
        </w:rPr>
        <w:t>CS Acquisition</w:t>
      </w:r>
      <w:r>
        <w:rPr>
          <w:rFonts w:ascii="Times New Roman" w:hAnsi="Times New Roman"/>
          <w:sz w:val="20"/>
        </w:rPr>
        <w:t xml:space="preserve">” has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Delaware Act</w:t>
      </w:r>
      <w:r>
        <w:rPr>
          <w:rFonts w:ascii="Times New Roman" w:hAnsi="Times New Roman"/>
          <w:sz w:val="20"/>
        </w:rPr>
        <w:t xml:space="preserve">” means the Delaware Limited Liability Company Act, 6 Del. C. § 18-101, </w:t>
      </w:r>
      <w:r>
        <w:rPr>
          <w:rFonts w:ascii="Times New Roman" w:hAnsi="Times New Roman"/>
          <w:i/>
          <w:sz w:val="20"/>
        </w:rPr>
        <w:t>et seq</w:t>
      </w:r>
      <w:r>
        <w:rPr>
          <w:rFonts w:ascii="Times New Roman" w:hAnsi="Times New Roman"/>
          <w:sz w:val="20"/>
        </w:rPr>
        <w:t xml:space="preserve">., as it may be amended from time to time, and any successor thereto. </w:t>
      </w:r>
    </w:p>
    <w:p>
      <w:pPr>
        <w:pStyle w:val="TextBody"/>
        <w:bidi w:val="0"/>
        <w:spacing w:before="240" w:after="0"/>
        <w:jc w:val="left"/>
        <w:rPr/>
      </w:pPr>
      <w:r>
        <w:rPr/>
        <w:t>“</w:t>
      </w:r>
      <w:r>
        <w:rPr>
          <w:rFonts w:ascii="Times New Roman" w:hAnsi="Times New Roman"/>
          <w:b/>
          <w:i/>
          <w:sz w:val="20"/>
        </w:rPr>
        <w:t>Direct Exchange</w:t>
      </w:r>
      <w:r>
        <w:rPr>
          <w:rFonts w:ascii="Times New Roman" w:hAnsi="Times New Roman"/>
          <w:sz w:val="20"/>
        </w:rPr>
        <w:t xml:space="preserve">” has the meaning set forth in </w:t>
      </w:r>
      <w:r>
        <w:rPr>
          <w:rFonts w:ascii="Times New Roman" w:hAnsi="Times New Roman"/>
          <w:sz w:val="20"/>
          <w:u w:val="single"/>
        </w:rPr>
        <w:t>Section 11.03(a)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Discount</w:t>
      </w:r>
      <w:r>
        <w:rPr>
          <w:rFonts w:ascii="Times New Roman" w:hAnsi="Times New Roman"/>
          <w:sz w:val="20"/>
        </w:rPr>
        <w:t xml:space="preserve">” has the meaning set forth in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Distributable Cash</w:t>
      </w:r>
      <w:r>
        <w:rPr>
          <w:rFonts w:ascii="Times New Roman" w:hAnsi="Times New Roman"/>
          <w:sz w:val="20"/>
        </w:rPr>
        <w:t xml:space="preserve">” means, as of any relevant date on which a determination is being made by the Manager regarding a potential distribution pursuant to </w:t>
      </w:r>
      <w:r>
        <w:rPr>
          <w:rFonts w:ascii="Times New Roman" w:hAnsi="Times New Roman"/>
          <w:sz w:val="20"/>
          <w:u w:val="single"/>
        </w:rPr>
        <w:t>Section 4.01(a)</w:t>
      </w:r>
      <w:r>
        <w:rPr>
          <w:rFonts w:ascii="Times New Roman" w:hAnsi="Times New Roman"/>
          <w:sz w:val="20"/>
        </w:rPr>
        <w:t xml:space="preserve">, the amount of cash that could be distributed by the Company for such purposes in accordance with the Credit Agreements (and without otherwise violating any applicable provisions of any of the Credit Agreements). </w:t>
      </w:r>
    </w:p>
    <w:p>
      <w:pPr>
        <w:pStyle w:val="TextBody"/>
        <w:bidi w:val="0"/>
        <w:spacing w:before="240" w:after="0"/>
        <w:jc w:val="left"/>
        <w:rPr/>
      </w:pPr>
      <w:r>
        <w:rPr/>
        <w:t>“</w:t>
      </w:r>
      <w:r>
        <w:rPr>
          <w:rFonts w:ascii="Times New Roman" w:hAnsi="Times New Roman"/>
          <w:b/>
          <w:i/>
          <w:sz w:val="20"/>
        </w:rPr>
        <w:t>Distribution</w:t>
      </w:r>
      <w:r>
        <w:rPr>
          <w:rFonts w:ascii="Times New Roman" w:hAnsi="Times New Roman"/>
          <w:sz w:val="20"/>
        </w:rPr>
        <w:t>” (and, with a correlative meaning, “</w:t>
      </w:r>
      <w:r>
        <w:rPr>
          <w:rFonts w:ascii="Times New Roman" w:hAnsi="Times New Roman"/>
          <w:b/>
          <w:i/>
          <w:sz w:val="20"/>
        </w:rPr>
        <w:t>Distribute</w:t>
      </w:r>
      <w:r>
        <w:rPr>
          <w:rFonts w:ascii="Times New Roman" w:hAnsi="Times New Roman"/>
          <w:sz w:val="20"/>
        </w:rPr>
        <w:t xml:space="preserve">”) means each distribution made by the Company to a Member with respect to such Member’s Units, whether in cash, property or securities of the Company and whether by liquidating distribution or otherwise;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none of the following shall be a Distribution: any recapitalization that does not result in the distribution of cash or property to Members or any exchange of securities of the Company, and any subdivision (by Unit split or otherwise) or any combination (by reverse Unit split or otherwise) of any outstanding Units. </w:t>
      </w:r>
    </w:p>
    <w:p>
      <w:pPr>
        <w:pStyle w:val="TextBody"/>
        <w:bidi w:val="0"/>
        <w:spacing w:before="240" w:after="0"/>
        <w:jc w:val="left"/>
        <w:rPr/>
      </w:pPr>
      <w:r>
        <w:rPr/>
        <w:t>“</w:t>
      </w:r>
      <w:r>
        <w:rPr>
          <w:rFonts w:ascii="Times New Roman" w:hAnsi="Times New Roman"/>
          <w:b/>
          <w:i/>
          <w:sz w:val="20"/>
        </w:rPr>
        <w:t>Effective Date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Election Notice</w:t>
      </w:r>
      <w:r>
        <w:rPr>
          <w:rFonts w:ascii="Times New Roman" w:hAnsi="Times New Roman"/>
          <w:sz w:val="20"/>
        </w:rPr>
        <w:t xml:space="preserve">” has the meaning set forth in </w:t>
      </w:r>
      <w:r>
        <w:rPr>
          <w:rFonts w:ascii="Times New Roman" w:hAnsi="Times New Roman"/>
          <w:sz w:val="20"/>
          <w:u w:val="single"/>
        </w:rPr>
        <w:t>Section 11.01(c)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Eligible Units</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Employee</w:t>
      </w:r>
      <w:r>
        <w:rPr>
          <w:rFonts w:ascii="Times New Roman" w:hAnsi="Times New Roman"/>
          <w:sz w:val="20"/>
        </w:rPr>
        <w:t xml:space="preserve">” means an employee of, or other service provider (including any management member whether or not treated as an employee for the purposes of U.S. federal income tax) to, the Company or any of its Subsidiaries, in each case acting in such capacity. </w:t>
      </w:r>
    </w:p>
    <w:p>
      <w:pPr>
        <w:pStyle w:val="TextBody"/>
        <w:bidi w:val="0"/>
        <w:spacing w:before="240" w:after="0"/>
        <w:jc w:val="left"/>
        <w:rPr/>
      </w:pPr>
      <w:r>
        <w:rPr/>
        <w:t>“</w:t>
      </w:r>
      <w:r>
        <w:rPr>
          <w:rFonts w:ascii="Times New Roman" w:hAnsi="Times New Roman"/>
          <w:b/>
          <w:i/>
          <w:sz w:val="20"/>
        </w:rPr>
        <w:t>Equity Securities</w:t>
      </w:r>
      <w:r>
        <w:rPr>
          <w:rFonts w:ascii="Times New Roman" w:hAnsi="Times New Roman"/>
          <w:sz w:val="20"/>
        </w:rPr>
        <w:t xml:space="preserve">” means (a) Units or other equity interests in the Company or any Subsidiary of the Company (including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or exchangeable into Units or other equity interests in the Company or any Subsidiary of the Company, and (c) warrants, options or other rights to purchase or otherwise acquire Units or other equity interests in the Company or any Subsidiary of the Company. </w:t>
      </w:r>
    </w:p>
    <w:p>
      <w:pPr>
        <w:pStyle w:val="TextBody"/>
        <w:bidi w:val="0"/>
        <w:spacing w:before="240" w:after="0"/>
        <w:jc w:val="left"/>
        <w:rPr/>
      </w:pPr>
      <w:r>
        <w:rPr/>
        <w:t>“</w:t>
      </w:r>
      <w:r>
        <w:rPr>
          <w:rFonts w:ascii="Times New Roman" w:hAnsi="Times New Roman"/>
          <w:b/>
          <w:i/>
          <w:sz w:val="20"/>
        </w:rPr>
        <w:t>Event of Withdrawal</w:t>
      </w:r>
      <w:r>
        <w:rPr>
          <w:rFonts w:ascii="Times New Roman" w:hAnsi="Times New Roman"/>
          <w:sz w:val="20"/>
        </w:rPr>
        <w:t xml:space="preserve">” means the Bankruptcy or dissolution of a Member or the occurrence of any other event that terminates the continued membership of a Member in the Company. “Event of Withdrawal” shall not include an event that (a) terminates the existence of a Member for income tax purposes (including (i) a change in entity classification of a Member under Treasury Regulations Section 301.7701-3, (ii) a sale of assets by, or liquidation of, a Member pursuant to an election under Code Sections 336 or 338,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Excess Assets</w:t>
      </w:r>
      <w:r>
        <w:rPr>
          <w:rFonts w:ascii="Times New Roman" w:hAnsi="Times New Roman"/>
          <w:sz w:val="20"/>
        </w:rPr>
        <w:t xml:space="preserve">” has the meaning set forth in </w:t>
      </w:r>
      <w:r>
        <w:rPr>
          <w:rFonts w:ascii="Times New Roman" w:hAnsi="Times New Roman"/>
          <w:sz w:val="20"/>
          <w:u w:val="single"/>
        </w:rPr>
        <w:t>Section 3.04(c)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Excess Cash</w:t>
      </w:r>
      <w:r>
        <w:rPr>
          <w:rFonts w:ascii="Times New Roman" w:hAnsi="Times New Roman"/>
          <w:sz w:val="20"/>
        </w:rPr>
        <w:t xml:space="preserve">” has the meaning set forth in </w:t>
      </w:r>
      <w:r>
        <w:rPr>
          <w:rFonts w:ascii="Times New Roman" w:hAnsi="Times New Roman"/>
          <w:sz w:val="20"/>
          <w:u w:val="single"/>
        </w:rPr>
        <w:t>Section 3.04(c)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Excess Loan Receivables</w:t>
      </w:r>
      <w:r>
        <w:rPr>
          <w:rFonts w:ascii="Times New Roman" w:hAnsi="Times New Roman"/>
          <w:sz w:val="20"/>
        </w:rPr>
        <w:t xml:space="preserve">” has the meaning set forth in </w:t>
      </w:r>
      <w:r>
        <w:rPr>
          <w:rFonts w:ascii="Times New Roman" w:hAnsi="Times New Roman"/>
          <w:sz w:val="20"/>
          <w:u w:val="single"/>
        </w:rPr>
        <w:t>Section 3.04(c)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U.S. Securities Exchange Act of 1934, as amended, and any applicable rules and regulations promulgated thereunder, and any successor to such statute, rules or regulations. </w:t>
      </w:r>
    </w:p>
    <w:p>
      <w:pPr>
        <w:pStyle w:val="TextBody"/>
        <w:bidi w:val="0"/>
        <w:spacing w:before="240" w:after="0"/>
        <w:jc w:val="left"/>
        <w:rPr/>
      </w:pPr>
      <w:r>
        <w:rPr/>
        <w:t>“</w:t>
      </w:r>
      <w:r>
        <w:rPr>
          <w:rFonts w:ascii="Times New Roman" w:hAnsi="Times New Roman"/>
          <w:b/>
          <w:i/>
          <w:sz w:val="20"/>
        </w:rPr>
        <w:t>Exchange Election Notice</w:t>
      </w:r>
      <w:r>
        <w:rPr>
          <w:rFonts w:ascii="Times New Roman" w:hAnsi="Times New Roman"/>
          <w:sz w:val="20"/>
        </w:rPr>
        <w:t xml:space="preserve">” has the meaning set forth in </w:t>
      </w:r>
      <w:r>
        <w:rPr>
          <w:rFonts w:ascii="Times New Roman" w:hAnsi="Times New Roman"/>
          <w:sz w:val="20"/>
          <w:u w:val="single"/>
        </w:rPr>
        <w:t>Section 11.03(b)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Existing LLC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Existing Member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Fair Market Value</w:t>
      </w:r>
      <w:r>
        <w:rPr>
          <w:rFonts w:ascii="Times New Roman" w:hAnsi="Times New Roman"/>
          <w:sz w:val="20"/>
        </w:rPr>
        <w:t xml:space="preserve">” of a specific asset of the Company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Times New Roman" w:hAnsi="Times New Roman"/>
          <w:sz w:val="20"/>
          <w:u w:val="single"/>
        </w:rPr>
        <w:t>Section 14.02,</w:t>
      </w:r>
      <w:r>
        <w:rPr>
          <w:rFonts w:ascii="Times New Roman" w:hAnsi="Times New Roman"/>
          <w:sz w:val="20"/>
        </w:rPr>
        <w:t xml:space="preserve"> the Liquidators) in its good faith judgment using all factors, information and data it deems to be pertinent. </w:t>
      </w:r>
    </w:p>
    <w:p>
      <w:pPr>
        <w:pStyle w:val="TextBody"/>
        <w:bidi w:val="0"/>
        <w:spacing w:before="240" w:after="0"/>
        <w:jc w:val="left"/>
        <w:rPr/>
      </w:pPr>
      <w:r>
        <w:rPr/>
        <w:t>“</w:t>
      </w:r>
      <w:r>
        <w:rPr>
          <w:rFonts w:ascii="Times New Roman" w:hAnsi="Times New Roman"/>
          <w:b/>
          <w:i/>
          <w:sz w:val="20"/>
        </w:rPr>
        <w:t>Fiscal Period</w:t>
      </w:r>
      <w:r>
        <w:rPr>
          <w:rFonts w:ascii="Times New Roman" w:hAnsi="Times New Roman"/>
          <w:sz w:val="20"/>
        </w:rPr>
        <w:t xml:space="preserve">” means any interim accounting period within a Taxable Year established by the Manager and which is permitted or required by Section 706 of the Code. </w:t>
      </w:r>
    </w:p>
    <w:p>
      <w:pPr>
        <w:pStyle w:val="TextBody"/>
        <w:bidi w:val="0"/>
        <w:spacing w:before="240" w:after="0"/>
        <w:jc w:val="left"/>
        <w:rPr/>
      </w:pPr>
      <w:r>
        <w:rPr/>
        <w:t>“</w:t>
      </w:r>
      <w:r>
        <w:rPr>
          <w:rFonts w:ascii="Times New Roman" w:hAnsi="Times New Roman"/>
          <w:b/>
          <w:i/>
          <w:sz w:val="20"/>
        </w:rPr>
        <w:t>Fiscal Year</w:t>
      </w:r>
      <w:r>
        <w:rPr>
          <w:rFonts w:ascii="Times New Roman" w:hAnsi="Times New Roman"/>
          <w:sz w:val="20"/>
        </w:rPr>
        <w:t xml:space="preserve">” means the Company’s annual accounting period established pursuant to </w:t>
      </w:r>
      <w:r>
        <w:rPr>
          <w:rFonts w:ascii="Times New Roman" w:hAnsi="Times New Roman"/>
          <w:sz w:val="20"/>
          <w:u w:val="single"/>
        </w:rPr>
        <w:t>Section 8.02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Governmental Entity</w:t>
      </w:r>
      <w:r>
        <w:rPr>
          <w:rFonts w:ascii="Times New Roman" w:hAnsi="Times New Roman"/>
          <w:sz w:val="20"/>
        </w:rPr>
        <w:t xml:space="preserve">” means (a) the United States of America, (b) any other sovereign nation, (c) any state, province, district, territory or other political subdivision of (a) or (b) of this definition, including any county, municipal or other local subdivision of the foregoing, or (d) any agency, arbitrator or arbitral body, authority, board, body, bureau, commission, court, department, entity, instrumentality, organization or tribunal exercising executive, legislative, judicial, regulatory or administrative functions of government on behalf of (a), (b) or (c) of this definition. </w:t>
      </w:r>
    </w:p>
    <w:p>
      <w:pPr>
        <w:pStyle w:val="TextBody"/>
        <w:bidi w:val="0"/>
        <w:spacing w:before="240" w:after="0"/>
        <w:jc w:val="left"/>
        <w:rPr/>
      </w:pPr>
      <w:r>
        <w:rPr/>
        <w:t>“</w:t>
      </w:r>
      <w:r>
        <w:rPr>
          <w:rFonts w:ascii="Times New Roman" w:hAnsi="Times New Roman"/>
          <w:b/>
          <w:i/>
          <w:sz w:val="20"/>
        </w:rPr>
        <w:t>GP NewCo</w:t>
      </w:r>
      <w:r>
        <w:rPr>
          <w:rFonts w:ascii="Times New Roman" w:hAnsi="Times New Roman"/>
          <w:sz w:val="20"/>
        </w:rPr>
        <w:t xml:space="preserve">” means SOLV Sub 3 Inc., a Delaware corporation. </w:t>
      </w:r>
    </w:p>
    <w:p>
      <w:pPr>
        <w:pStyle w:val="TextBody"/>
        <w:bidi w:val="0"/>
        <w:spacing w:before="240" w:after="0"/>
        <w:jc w:val="left"/>
        <w:rPr/>
      </w:pPr>
      <w:r>
        <w:rPr/>
        <w:t>“</w:t>
      </w:r>
      <w:r>
        <w:rPr>
          <w:rFonts w:ascii="Times New Roman" w:hAnsi="Times New Roman"/>
          <w:b/>
          <w:i/>
          <w:sz w:val="20"/>
        </w:rPr>
        <w:t>Indemnified Person</w:t>
      </w:r>
      <w:r>
        <w:rPr>
          <w:rFonts w:ascii="Times New Roman" w:hAnsi="Times New Roman"/>
          <w:sz w:val="20"/>
        </w:rPr>
        <w:t xml:space="preserve">” has the meaning set forth in </w:t>
      </w:r>
      <w:r>
        <w:rPr>
          <w:rFonts w:ascii="Times New Roman" w:hAnsi="Times New Roman"/>
          <w:sz w:val="20"/>
          <w:u w:val="single"/>
        </w:rPr>
        <w:t>Section 7.04(a)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Investment Company Act</w:t>
      </w:r>
      <w:r>
        <w:rPr>
          <w:rFonts w:ascii="Times New Roman" w:hAnsi="Times New Roman"/>
          <w:sz w:val="20"/>
        </w:rPr>
        <w:t xml:space="preserve">” means the U.S. Investment Company Act of 1940,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Involuntary Transfer</w:t>
      </w:r>
      <w:r>
        <w:rPr>
          <w:rFonts w:ascii="Times New Roman" w:hAnsi="Times New Roman"/>
          <w:sz w:val="20"/>
        </w:rPr>
        <w:t xml:space="preserve">” means any Transfer of Units by a Member resulting from (i) any seizure under levy of attachment or execution, (ii) any Bankruptcy (whether voluntary or involuntary) or (iii) any Transfer to a state or to a public officer or agency pursuant to any statute pertaining to escheat or abandoned property. </w:t>
      </w:r>
    </w:p>
    <w:p>
      <w:pPr>
        <w:pStyle w:val="TextBody"/>
        <w:bidi w:val="0"/>
        <w:spacing w:before="240" w:after="0"/>
        <w:jc w:val="left"/>
        <w:rPr/>
      </w:pPr>
      <w:r>
        <w:rPr/>
        <w:t>“</w:t>
      </w:r>
      <w:r>
        <w:rPr>
          <w:rFonts w:ascii="Times New Roman" w:hAnsi="Times New Roman"/>
          <w:b/>
          <w:i/>
          <w:sz w:val="20"/>
        </w:rPr>
        <w:t>IPO</w:t>
      </w:r>
      <w:r>
        <w:rPr>
          <w:rFonts w:ascii="Times New Roman" w:hAnsi="Times New Roman"/>
          <w:sz w:val="20"/>
        </w:rPr>
        <w:t xml:space="preserve">” means the initial underwritten public offering of shares of PubCo’s Class A Common Stock. </w:t>
      </w:r>
    </w:p>
    <w:p>
      <w:pPr>
        <w:pStyle w:val="TextBody"/>
        <w:bidi w:val="0"/>
        <w:spacing w:before="240" w:after="0"/>
        <w:jc w:val="left"/>
        <w:rPr/>
      </w:pPr>
      <w:r>
        <w:rPr/>
        <w:t>“</w:t>
      </w:r>
      <w:r>
        <w:rPr>
          <w:rFonts w:ascii="Times New Roman" w:hAnsi="Times New Roman"/>
          <w:b/>
          <w:i/>
          <w:sz w:val="20"/>
        </w:rPr>
        <w:t>IPO Common Unit Subscription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IPO Liquidating Distributions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IPO Net Proceeds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Joinder</w:t>
      </w:r>
      <w:r>
        <w:rPr>
          <w:rFonts w:ascii="Times New Roman" w:hAnsi="Times New Roman"/>
          <w:sz w:val="20"/>
        </w:rPr>
        <w:t xml:space="preserve">” means a joinder to this Agreement, in form and substance substantially similar to </w:t>
      </w:r>
      <w:r>
        <w:rPr>
          <w:rFonts w:ascii="Times New Roman" w:hAnsi="Times New Roman"/>
          <w:sz w:val="20"/>
          <w:u w:val="single"/>
        </w:rPr>
        <w:t>Exhibit A</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means all laws, statutes, ordinances, rules and regulations of any Governmental Entity. </w:t>
      </w:r>
    </w:p>
    <w:p>
      <w:pPr>
        <w:pStyle w:val="TextBody"/>
        <w:bidi w:val="0"/>
        <w:spacing w:before="240" w:after="0"/>
        <w:jc w:val="left"/>
        <w:rPr/>
      </w:pPr>
      <w:r>
        <w:rPr/>
        <w:t>“</w:t>
      </w:r>
      <w:r>
        <w:rPr>
          <w:rFonts w:ascii="Times New Roman" w:hAnsi="Times New Roman"/>
          <w:b/>
          <w:i/>
          <w:sz w:val="20"/>
        </w:rPr>
        <w:t>Liquidator</w:t>
      </w:r>
      <w:r>
        <w:rPr>
          <w:rFonts w:ascii="Times New Roman" w:hAnsi="Times New Roman"/>
          <w:sz w:val="20"/>
        </w:rPr>
        <w:t xml:space="preserve">” has the meaning set forth in </w:t>
      </w:r>
      <w:r>
        <w:rPr>
          <w:rFonts w:ascii="Times New Roman" w:hAnsi="Times New Roman"/>
          <w:sz w:val="20"/>
          <w:u w:val="single"/>
        </w:rPr>
        <w:t>Section 14.02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Losses</w:t>
      </w:r>
      <w:r>
        <w:rPr>
          <w:rFonts w:ascii="Times New Roman" w:hAnsi="Times New Roman"/>
          <w:sz w:val="20"/>
        </w:rPr>
        <w:t xml:space="preserve">” means items of loss or deduction of the Company determined according to </w:t>
      </w:r>
      <w:r>
        <w:rPr>
          <w:rFonts w:ascii="Times New Roman" w:hAnsi="Times New Roman"/>
          <w:sz w:val="20"/>
          <w:u w:val="single"/>
        </w:rPr>
        <w:t>Section 5.01(b)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LP Members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Management Co-Redemption</w:t>
      </w:r>
      <w:r>
        <w:rPr>
          <w:rFonts w:ascii="Times New Roman" w:hAnsi="Times New Roman"/>
          <w:sz w:val="20"/>
        </w:rPr>
        <w:t xml:space="preserve">” has the meaning set forth in </w:t>
      </w:r>
      <w:r>
        <w:rPr>
          <w:rFonts w:ascii="Times New Roman" w:hAnsi="Times New Roman"/>
          <w:sz w:val="20"/>
          <w:u w:val="single"/>
        </w:rPr>
        <w:t>Section 11.01(b)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Management Elective Redemption Date</w:t>
      </w:r>
      <w:r>
        <w:rPr>
          <w:rFonts w:ascii="Times New Roman" w:hAnsi="Times New Roman"/>
          <w:sz w:val="20"/>
        </w:rPr>
        <w:t xml:space="preserve">” means the earlier to occur of (i) the date upon which AS Persons, collectively, own (directly or indirectly) less than twenty percent (20%) of the aggregate economic interests in the Company and (ii) the third anniversary of the closing of the IPO. </w:t>
      </w:r>
    </w:p>
    <w:p>
      <w:pPr>
        <w:pStyle w:val="TextBody"/>
        <w:bidi w:val="0"/>
        <w:spacing w:before="240" w:after="0"/>
        <w:jc w:val="left"/>
        <w:rPr/>
      </w:pPr>
      <w:r>
        <w:rPr/>
        <w:t>“</w:t>
      </w:r>
      <w:r>
        <w:rPr>
          <w:rFonts w:ascii="Times New Roman" w:hAnsi="Times New Roman"/>
          <w:b/>
          <w:i/>
          <w:sz w:val="20"/>
        </w:rPr>
        <w:t>Management Holdings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Management Holdings Action</w:t>
      </w:r>
      <w:r>
        <w:rPr>
          <w:rFonts w:ascii="Times New Roman" w:hAnsi="Times New Roman"/>
          <w:sz w:val="20"/>
        </w:rPr>
        <w:t xml:space="preserve">” has the meaning set forth in </w:t>
      </w:r>
      <w:r>
        <w:rPr>
          <w:rFonts w:ascii="Times New Roman" w:hAnsi="Times New Roman"/>
          <w:sz w:val="20"/>
          <w:u w:val="single"/>
        </w:rPr>
        <w:t>Section 11.09(a)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Management Holdings Agreement</w:t>
      </w:r>
      <w:r>
        <w:rPr>
          <w:rFonts w:ascii="Times New Roman" w:hAnsi="Times New Roman"/>
          <w:sz w:val="20"/>
        </w:rPr>
        <w:t xml:space="preserve">” means that certain Third Amended and Restated Limited Partnership Agreement of Management Holdings, dated as of the Effective Date (as it may be amended, restated, amended and restated, supplemented or otherwise modified from time to time). </w:t>
      </w:r>
    </w:p>
    <w:p>
      <w:pPr>
        <w:pStyle w:val="TextBody"/>
        <w:bidi w:val="0"/>
        <w:spacing w:before="240" w:after="0"/>
        <w:jc w:val="left"/>
        <w:rPr/>
      </w:pPr>
      <w:r>
        <w:rPr/>
        <w:t>“</w:t>
      </w:r>
      <w:r>
        <w:rPr>
          <w:rFonts w:ascii="Times New Roman" w:hAnsi="Times New Roman"/>
          <w:b/>
          <w:i/>
          <w:sz w:val="20"/>
        </w:rPr>
        <w:t>Management Holdings Contribution</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Management Holdings Interest</w:t>
      </w:r>
      <w:r>
        <w:rPr>
          <w:rFonts w:ascii="Times New Roman" w:hAnsi="Times New Roman"/>
          <w:sz w:val="20"/>
        </w:rPr>
        <w:t xml:space="preserve">” means a common unit in Management Holdings owned by a Management Holdings Partner. </w:t>
      </w:r>
    </w:p>
    <w:p>
      <w:pPr>
        <w:pStyle w:val="TextBody"/>
        <w:bidi w:val="0"/>
        <w:spacing w:before="240" w:after="0"/>
        <w:jc w:val="left"/>
        <w:rPr/>
      </w:pPr>
      <w:r>
        <w:rPr/>
        <w:t>“</w:t>
      </w:r>
      <w:r>
        <w:rPr>
          <w:rFonts w:ascii="Times New Roman" w:hAnsi="Times New Roman"/>
          <w:b/>
          <w:i/>
          <w:sz w:val="20"/>
        </w:rPr>
        <w:t>Management Holdings Partner</w:t>
      </w:r>
      <w:r>
        <w:rPr>
          <w:rFonts w:ascii="Times New Roman" w:hAnsi="Times New Roman"/>
          <w:sz w:val="20"/>
        </w:rPr>
        <w:t xml:space="preserve">” means a limited partner of Management Holdings.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Manager</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Manager Sub</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Market Price</w:t>
      </w:r>
      <w:r>
        <w:rPr>
          <w:rFonts w:ascii="Times New Roman" w:hAnsi="Times New Roman"/>
          <w:sz w:val="20"/>
        </w:rPr>
        <w:t xml:space="preserve">”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in the principal consolidated transaction reporting system with respect to securities listed or admitted to trading on the Stock Exchange or, if the Class A Common Stock is not listed or admitted to trading on the Stock Exchange, as reported on the principal consolidated transaction reporting system with respect to securities listed on the principal 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 </w:t>
      </w:r>
    </w:p>
    <w:p>
      <w:pPr>
        <w:pStyle w:val="TextBody"/>
        <w:bidi w:val="0"/>
        <w:spacing w:before="240" w:after="0"/>
        <w:jc w:val="left"/>
        <w:rPr/>
      </w:pPr>
      <w:r>
        <w:rPr/>
        <w:t>“</w:t>
      </w:r>
      <w:r>
        <w:rPr>
          <w:rFonts w:ascii="Times New Roman" w:hAnsi="Times New Roman"/>
          <w:b/>
          <w:i/>
          <w:sz w:val="20"/>
        </w:rPr>
        <w:t>Member</w:t>
      </w:r>
      <w:r>
        <w:rPr>
          <w:rFonts w:ascii="Times New Roman" w:hAnsi="Times New Roman"/>
          <w:sz w:val="20"/>
        </w:rPr>
        <w:t xml:space="preserve">” means, as of any date of determination, (a) each of the members named on the Schedule of Members and (b) any Person admitted to the Company as a Substituted Member or Additional Member in accordance with </w:t>
      </w:r>
      <w:r>
        <w:rPr>
          <w:rFonts w:ascii="Times New Roman" w:hAnsi="Times New Roman"/>
          <w:sz w:val="20"/>
          <w:u w:val="single"/>
        </w:rPr>
        <w:t>Article XII</w:t>
      </w:r>
      <w:r>
        <w:rPr>
          <w:rFonts w:ascii="Times New Roman" w:hAnsi="Times New Roman"/>
          <w:sz w:val="20"/>
        </w:rPr>
        <w:t xml:space="preserve">, but in each case only so long as such Person is shown or, subject to </w:t>
      </w:r>
      <w:r>
        <w:rPr>
          <w:rFonts w:ascii="Times New Roman" w:hAnsi="Times New Roman"/>
          <w:sz w:val="20"/>
          <w:u w:val="single"/>
        </w:rPr>
        <w:t>Section 10.07(a)</w:t>
      </w:r>
      <w:r>
        <w:rPr>
          <w:rFonts w:ascii="Times New Roman" w:hAnsi="Times New Roman"/>
          <w:sz w:val="20"/>
        </w:rPr>
        <w:t xml:space="preserve">, deemed shown on the Company’s books and records as the owner of one or more Units, each in its capacity as a member of the Company. </w:t>
      </w:r>
    </w:p>
    <w:p>
      <w:pPr>
        <w:pStyle w:val="TextBody"/>
        <w:bidi w:val="0"/>
        <w:spacing w:before="240" w:after="0"/>
        <w:jc w:val="left"/>
        <w:rPr/>
      </w:pPr>
      <w:r>
        <w:rPr/>
        <w:t>“</w:t>
      </w:r>
      <w:r>
        <w:rPr>
          <w:rFonts w:ascii="Times New Roman" w:hAnsi="Times New Roman"/>
          <w:b/>
          <w:i/>
          <w:sz w:val="20"/>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Minimum Gain</w:t>
      </w:r>
      <w:r>
        <w:rPr>
          <w:rFonts w:ascii="Times New Roman" w:hAnsi="Times New Roman"/>
          <w:sz w:val="20"/>
        </w:rPr>
        <w:t>” means “</w:t>
      </w:r>
      <w:r>
        <w:rPr>
          <w:rFonts w:ascii="Times New Roman" w:hAnsi="Times New Roman"/>
          <w:b/>
          <w:i/>
          <w:sz w:val="20"/>
        </w:rPr>
        <w:t>partnership minimum gain</w:t>
      </w:r>
      <w:r>
        <w:rPr>
          <w:rFonts w:ascii="Times New Roman" w:hAnsi="Times New Roman"/>
          <w:sz w:val="20"/>
        </w:rPr>
        <w:t xml:space="preserve">” determined pursuant to Treasury Regulation Section 1.704-2(d). </w:t>
      </w:r>
    </w:p>
    <w:p>
      <w:pPr>
        <w:pStyle w:val="TextBody"/>
        <w:bidi w:val="0"/>
        <w:spacing w:before="240" w:after="0"/>
        <w:jc w:val="left"/>
        <w:rPr/>
      </w:pPr>
      <w:r>
        <w:rPr/>
        <w:t>“</w:t>
      </w:r>
      <w:r>
        <w:rPr>
          <w:rFonts w:ascii="Times New Roman" w:hAnsi="Times New Roman"/>
          <w:b/>
          <w:i/>
          <w:sz w:val="20"/>
        </w:rPr>
        <w:t>Minimum Redemption Threshold</w:t>
      </w:r>
      <w:r>
        <w:rPr>
          <w:rFonts w:ascii="Times New Roman" w:hAnsi="Times New Roman"/>
          <w:sz w:val="20"/>
        </w:rPr>
        <w:t xml:space="preserve">” means the lesser of (i) 2000 Eligible Units and (ii) all of a Member’s remaining Eligible Units (in each case, subject to appropriate and equitable adjustment for any subdivision (by any Common Unit split, Common Unit distribution, reclassification, division, recapitalization or similar event) or combination (by reverse Common Unit split, reclassification, division, recapitalization or similar event) of the Common Units). </w:t>
      </w:r>
    </w:p>
    <w:p>
      <w:pPr>
        <w:pStyle w:val="TextBody"/>
        <w:bidi w:val="0"/>
        <w:spacing w:before="240" w:after="0"/>
        <w:jc w:val="left"/>
        <w:rPr/>
      </w:pPr>
      <w:r>
        <w:rPr/>
        <w:t>“</w:t>
      </w:r>
      <w:r>
        <w:rPr>
          <w:rFonts w:ascii="Times New Roman" w:hAnsi="Times New Roman"/>
          <w:b/>
          <w:i/>
          <w:sz w:val="20"/>
        </w:rPr>
        <w:t>Net Loss</w:t>
      </w:r>
      <w:r>
        <w:rPr>
          <w:rFonts w:ascii="Times New Roman" w:hAnsi="Times New Roman"/>
          <w:sz w:val="20"/>
        </w:rPr>
        <w:t xml:space="preserve">” means, with respect to a Taxable Year or other Fiscal Period, the excess if any, of Losses for such Taxable Year or other Fiscal Period over Profits for such Taxable Year or other Fiscal Period (excluding Profits and Losses specially allocated pursuant to </w:t>
      </w:r>
      <w:r>
        <w:rPr>
          <w:rFonts w:ascii="Times New Roman" w:hAnsi="Times New Roman"/>
          <w:sz w:val="20"/>
          <w:u w:val="single"/>
        </w:rPr>
        <w:t>Section 5.03</w:t>
      </w:r>
      <w:r>
        <w:rPr>
          <w:rFonts w:ascii="Times New Roman" w:hAnsi="Times New Roman"/>
          <w:sz w:val="20"/>
        </w:rPr>
        <w:t xml:space="preserve"> and </w:t>
      </w:r>
      <w:r>
        <w:rPr>
          <w:rFonts w:ascii="Times New Roman" w:hAnsi="Times New Roman"/>
          <w:sz w:val="20"/>
          <w:u w:val="single"/>
        </w:rPr>
        <w:t>Section 5.04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Net Profit</w:t>
      </w:r>
      <w:r>
        <w:rPr>
          <w:rFonts w:ascii="Times New Roman" w:hAnsi="Times New Roman"/>
          <w:sz w:val="20"/>
        </w:rPr>
        <w:t xml:space="preserve">” means, with respect to a Taxable Year or other Fiscal Period, the excess if any, of Profits for such Taxable Year or other Fiscal Period over Losses for such Taxable Year or other Fiscal Period (excluding Profits and Losses specially allocated pursuant to </w:t>
      </w:r>
      <w:r>
        <w:rPr>
          <w:rFonts w:ascii="Times New Roman" w:hAnsi="Times New Roman"/>
          <w:sz w:val="20"/>
          <w:u w:val="single"/>
        </w:rPr>
        <w:t>Section 5.03</w:t>
      </w:r>
      <w:r>
        <w:rPr>
          <w:rFonts w:ascii="Times New Roman" w:hAnsi="Times New Roman"/>
          <w:sz w:val="20"/>
        </w:rPr>
        <w:t xml:space="preserve"> and </w:t>
      </w:r>
      <w:r>
        <w:rPr>
          <w:rFonts w:ascii="Times New Roman" w:hAnsi="Times New Roman"/>
          <w:sz w:val="20"/>
          <w:u w:val="single"/>
        </w:rPr>
        <w:t>Section 5.04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Non-PubCo Member</w:t>
      </w:r>
      <w:r>
        <w:rPr>
          <w:rFonts w:ascii="Times New Roman" w:hAnsi="Times New Roman"/>
          <w:sz w:val="20"/>
        </w:rPr>
        <w:t xml:space="preserve">” means any Member that is not a PubCo Member.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has the meaning set forth in </w:t>
      </w:r>
      <w:r>
        <w:rPr>
          <w:rFonts w:ascii="Times New Roman" w:hAnsi="Times New Roman"/>
          <w:sz w:val="20"/>
          <w:u w:val="single"/>
        </w:rPr>
        <w:t>Section 6.01(b)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Optionee</w:t>
      </w:r>
      <w:r>
        <w:rPr>
          <w:rFonts w:ascii="Times New Roman" w:hAnsi="Times New Roman"/>
          <w:sz w:val="20"/>
        </w:rPr>
        <w:t xml:space="preserve">” means a Person to whom a stock option is granted under any Corporate Equity Incentive Plan. </w:t>
      </w:r>
    </w:p>
    <w:p>
      <w:pPr>
        <w:pStyle w:val="TextBody"/>
        <w:bidi w:val="0"/>
        <w:spacing w:before="240" w:after="0"/>
        <w:jc w:val="left"/>
        <w:rPr/>
      </w:pPr>
      <w:r>
        <w:rPr/>
        <w:t>“</w:t>
      </w:r>
      <w:r>
        <w:rPr>
          <w:rFonts w:ascii="Times New Roman" w:hAnsi="Times New Roman"/>
          <w:b/>
          <w:i/>
          <w:sz w:val="20"/>
        </w:rPr>
        <w:t>Other Agreements</w:t>
      </w:r>
      <w:r>
        <w:rPr>
          <w:rFonts w:ascii="Times New Roman" w:hAnsi="Times New Roman"/>
          <w:sz w:val="20"/>
        </w:rPr>
        <w:t xml:space="preserve">” has the meaning set forth in </w:t>
      </w:r>
      <w:r>
        <w:rPr>
          <w:rFonts w:ascii="Times New Roman" w:hAnsi="Times New Roman"/>
          <w:sz w:val="20"/>
          <w:u w:val="single"/>
        </w:rPr>
        <w:t>Section 10.04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Over-Allotment Contribution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Over-Allotment Option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Over-Allotment Option Net Proceeds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Parent Holdings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Parent Holdings Liquidation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Partner Nonrecourse Debt Minimum Gain</w:t>
      </w:r>
      <w:r>
        <w:rPr>
          <w:rFonts w:ascii="Times New Roman" w:hAnsi="Times New Roman"/>
          <w:sz w:val="20"/>
        </w:rPr>
        <w:t xml:space="preserve">” has the meaning given to “partner nonrecourse debt minimum gain” in Treasury Regulation Section 1.704-2(i). </w:t>
      </w:r>
    </w:p>
    <w:p>
      <w:pPr>
        <w:pStyle w:val="TextBody"/>
        <w:bidi w:val="0"/>
        <w:spacing w:before="240" w:after="0"/>
        <w:jc w:val="left"/>
        <w:rPr/>
      </w:pPr>
      <w:r>
        <w:rPr/>
        <w:t>“</w:t>
      </w:r>
      <w:r>
        <w:rPr>
          <w:rFonts w:ascii="Times New Roman" w:hAnsi="Times New Roman"/>
          <w:b/>
          <w:i/>
          <w:sz w:val="20"/>
        </w:rPr>
        <w:t>Partnership Representative</w:t>
      </w:r>
      <w:r>
        <w:rPr>
          <w:rFonts w:ascii="Times New Roman" w:hAnsi="Times New Roman"/>
          <w:sz w:val="20"/>
        </w:rPr>
        <w:t xml:space="preserve">” has the meaning set forth in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Partnership Tax Audit Rules</w:t>
      </w:r>
      <w:r>
        <w:rPr>
          <w:rFonts w:ascii="Times New Roman" w:hAnsi="Times New Roman"/>
          <w:sz w:val="20"/>
        </w:rPr>
        <w:t xml:space="preserve">” means Code Sections 6221 through 6241, together with any guidance issued thereunder or successor provisions and any similar provision of state or local tax laws. </w:t>
      </w:r>
    </w:p>
    <w:p>
      <w:pPr>
        <w:pStyle w:val="TextBody"/>
        <w:bidi w:val="0"/>
        <w:spacing w:before="240" w:after="0"/>
        <w:jc w:val="left"/>
        <w:rPr/>
      </w:pPr>
      <w:r>
        <w:rPr/>
        <w:t>“</w:t>
      </w:r>
      <w:r>
        <w:rPr>
          <w:rFonts w:ascii="Times New Roman" w:hAnsi="Times New Roman"/>
          <w:b/>
          <w:i/>
          <w:sz w:val="20"/>
        </w:rPr>
        <w:t>Percentage Interest</w:t>
      </w:r>
      <w:r>
        <w:rPr>
          <w:rFonts w:ascii="Times New Roman" w:hAnsi="Times New Roman"/>
          <w:sz w:val="20"/>
        </w:rPr>
        <w:t xml:space="preserve">” means, as among an individual class of Units and with respect to a Member at a particular time, such Member’s percentage interest in the Company determined by dividing the number of such Member’s Units of such class by the total number of Units of all Members of such class at such time. The Percentage Interests of the Members, in the aggregate, shall always equal exactly 100.0000%. The Manager may make adjustments, as necessary, to ensure that the Percentage Interests of the Members, in the aggregate, equal exactly 100.0000%. </w:t>
      </w:r>
    </w:p>
    <w:p>
      <w:pPr>
        <w:pStyle w:val="TextBody"/>
        <w:bidi w:val="0"/>
        <w:spacing w:before="240" w:after="0"/>
        <w:jc w:val="left"/>
        <w:rPr/>
      </w:pPr>
      <w:r>
        <w:rPr/>
        <w:t>“</w:t>
      </w:r>
      <w:r>
        <w:rPr>
          <w:rFonts w:ascii="Times New Roman" w:hAnsi="Times New Roman"/>
          <w:b/>
          <w:i/>
          <w:sz w:val="20"/>
        </w:rPr>
        <w:t>Permitted Redemption</w:t>
      </w:r>
      <w:r>
        <w:rPr>
          <w:rFonts w:ascii="Times New Roman" w:hAnsi="Times New Roman"/>
          <w:sz w:val="20"/>
        </w:rPr>
        <w:t xml:space="preserve">” means any of the following (determined as of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 a Redemption that is part of a “block transfer” within the meaning of Treasury Regulations Section 1.7704-1(e)(2) (for this purpose, treating Manager (or if the Manager is a disregarded entity, its regarded owner for U.S. federal income tax purposes) as a “general partner” within the meaning of Treasury Regulations Section 1.7704-1(k)(1)); </w:t>
      </w:r>
    </w:p>
    <w:p>
      <w:pPr>
        <w:pStyle w:val="TextBody"/>
        <w:bidi w:val="0"/>
        <w:spacing w:before="240" w:after="0"/>
        <w:jc w:val="left"/>
        <w:rPr>
          <w:rFonts w:ascii="Times New Roman" w:hAnsi="Times New Roman"/>
          <w:sz w:val="20"/>
        </w:rPr>
      </w:pPr>
      <w:r>
        <w:rPr>
          <w:rFonts w:ascii="Times New Roman" w:hAnsi="Times New Roman"/>
          <w:sz w:val="20"/>
        </w:rPr>
        <w:t xml:space="preserve">(ii) a Redemption that is in connection with a PubCo Offer; </w:t>
      </w:r>
      <w:r>
        <w:rPr>
          <w:rFonts w:ascii="Times New Roman" w:hAnsi="Times New Roman"/>
          <w:i/>
          <w:sz w:val="20"/>
        </w:rPr>
        <w:t>provided</w:t>
      </w:r>
      <w:r>
        <w:rPr>
          <w:rFonts w:ascii="Times New Roman" w:hAnsi="Times New Roman"/>
          <w:sz w:val="20"/>
        </w:rPr>
        <w:t xml:space="preserve">, that any such Redemption pursuant to this </w:t>
      </w:r>
      <w:r>
        <w:rPr>
          <w:rFonts w:ascii="Times New Roman" w:hAnsi="Times New Roman"/>
          <w:sz w:val="20"/>
          <w:u w:val="single"/>
        </w:rPr>
        <w:t>clause (ii)</w:t>
      </w:r>
      <w:r>
        <w:rPr>
          <w:rFonts w:ascii="Times New Roman" w:hAnsi="Times New Roman"/>
          <w:sz w:val="20"/>
        </w:rPr>
        <w:t xml:space="preserve"> shall be effective immediately prior to the consummation of the closing of the PubCo Offer date (and, for the avoidance of doubt, shall not be effective if such PubCo Offer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Management Co-Redemption; or </w:t>
      </w:r>
    </w:p>
    <w:p>
      <w:pPr>
        <w:pStyle w:val="TextBody"/>
        <w:bidi w:val="0"/>
        <w:spacing w:before="240" w:after="0"/>
        <w:jc w:val="left"/>
        <w:rPr>
          <w:rFonts w:ascii="Times New Roman" w:hAnsi="Times New Roman"/>
          <w:sz w:val="20"/>
        </w:rPr>
      </w:pPr>
      <w:r>
        <w:rPr>
          <w:rFonts w:ascii="Times New Roman" w:hAnsi="Times New Roman"/>
          <w:sz w:val="20"/>
        </w:rPr>
        <w:t xml:space="preserve">(iv) a Redemption that is permitted by PubCo, in its sole discretion, in connection with circumstances not otherwise set forth herein, if PubCo determines, after consultation with Tax Counsel, that the Company would not reasonably be expected to be treated as a “publicly traded partnership” under Section 7704 of the Code (or any successor or similar provision) as a result of or in connection with such Redemption. </w:t>
      </w:r>
    </w:p>
    <w:p>
      <w:pPr>
        <w:pStyle w:val="TextBody"/>
        <w:bidi w:val="0"/>
        <w:spacing w:before="240" w:after="0"/>
        <w:jc w:val="left"/>
        <w:rPr/>
      </w:pPr>
      <w:r>
        <w:rPr/>
        <w:t>“</w:t>
      </w:r>
      <w:r>
        <w:rPr>
          <w:rFonts w:ascii="Times New Roman" w:hAnsi="Times New Roman"/>
          <w:b/>
          <w:i/>
          <w:sz w:val="20"/>
        </w:rPr>
        <w:t>Permitted Transfer</w:t>
      </w:r>
      <w:r>
        <w:rPr>
          <w:rFonts w:ascii="Times New Roman" w:hAnsi="Times New Roman"/>
          <w:sz w:val="20"/>
        </w:rPr>
        <w:t xml:space="preserve">” has the meaning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Permitted Transferee</w:t>
      </w:r>
      <w:r>
        <w:rPr>
          <w:rFonts w:ascii="Times New Roman" w:hAnsi="Times New Roman"/>
          <w:sz w:val="20"/>
        </w:rPr>
        <w:t xml:space="preserve">” has the meaning set forth in </w:t>
      </w:r>
      <w:r>
        <w:rPr>
          <w:rFonts w:ascii="Times New Roman" w:hAnsi="Times New Roman"/>
          <w:sz w:val="20"/>
          <w:u w:val="single"/>
        </w:rPr>
        <w:t>Section 10.02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any corporation, partnership, limited liability company, trust, unincorporated organization, association, joint venture or any other organization or entity, whether or not a legal entity. </w:t>
      </w:r>
    </w:p>
    <w:p>
      <w:pPr>
        <w:pStyle w:val="TextBody"/>
        <w:bidi w:val="0"/>
        <w:spacing w:before="240" w:after="0"/>
        <w:jc w:val="left"/>
        <w:rPr/>
      </w:pPr>
      <w:r>
        <w:rPr/>
        <w:t>“</w:t>
      </w:r>
      <w:r>
        <w:rPr>
          <w:rFonts w:ascii="Times New Roman" w:hAnsi="Times New Roman"/>
          <w:b/>
          <w:i/>
          <w:sz w:val="20"/>
        </w:rPr>
        <w:t>Placement Agent Discount</w:t>
      </w:r>
      <w:r>
        <w:rPr>
          <w:rFonts w:ascii="Times New Roman" w:hAnsi="Times New Roman"/>
          <w:sz w:val="20"/>
        </w:rPr>
        <w:t xml:space="preserve">” has the meaning set forth in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Pre-IPO Member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Private Placement Safe Harbor</w:t>
      </w:r>
      <w:r>
        <w:rPr>
          <w:rFonts w:ascii="Times New Roman" w:hAnsi="Times New Roman"/>
          <w:sz w:val="20"/>
        </w:rPr>
        <w:t xml:space="preserve">” means the “private placement” safe harbor set forth in Treasury Regulations Section 1.7704-1(h)(1). </w:t>
      </w:r>
    </w:p>
    <w:p>
      <w:pPr>
        <w:pStyle w:val="TextBody"/>
        <w:bidi w:val="0"/>
        <w:spacing w:before="240" w:after="0"/>
        <w:jc w:val="left"/>
        <w:rPr/>
      </w:pPr>
      <w:r>
        <w:rPr/>
        <w:t>“</w:t>
      </w:r>
      <w:r>
        <w:rPr>
          <w:rFonts w:ascii="Times New Roman" w:hAnsi="Times New Roman"/>
          <w:b/>
          <w:i/>
          <w:sz w:val="20"/>
        </w:rPr>
        <w:t>Private Sale</w:t>
      </w:r>
      <w:r>
        <w:rPr>
          <w:rFonts w:ascii="Times New Roman" w:hAnsi="Times New Roman"/>
          <w:sz w:val="20"/>
        </w:rPr>
        <w:t xml:space="preserve">” means a private sale of shares of Class A Common Stock by PubCo. </w:t>
      </w:r>
    </w:p>
    <w:p>
      <w:pPr>
        <w:pStyle w:val="TextBody"/>
        <w:bidi w:val="0"/>
        <w:spacing w:before="240" w:after="0"/>
        <w:jc w:val="left"/>
        <w:rPr/>
      </w:pPr>
      <w:r>
        <w:rPr/>
        <w:t>“</w:t>
      </w:r>
      <w:r>
        <w:rPr>
          <w:rFonts w:ascii="Times New Roman" w:hAnsi="Times New Roman"/>
          <w:b/>
          <w:i/>
          <w:sz w:val="20"/>
        </w:rPr>
        <w:t>Pro rata,</w:t>
      </w:r>
      <w:r>
        <w:rPr>
          <w:rFonts w:ascii="Times New Roman" w:hAnsi="Times New Roman"/>
          <w:sz w:val="20"/>
        </w:rPr>
        <w:t>” “</w:t>
      </w:r>
      <w:r>
        <w:rPr>
          <w:rFonts w:ascii="Times New Roman" w:hAnsi="Times New Roman"/>
          <w:b/>
          <w:i/>
          <w:sz w:val="20"/>
        </w:rPr>
        <w:t>pro rata portion,</w:t>
      </w:r>
      <w:r>
        <w:rPr>
          <w:rFonts w:ascii="Times New Roman" w:hAnsi="Times New Roman"/>
          <w:sz w:val="20"/>
        </w:rPr>
        <w:t>” “</w:t>
      </w:r>
      <w:r>
        <w:rPr>
          <w:rFonts w:ascii="Times New Roman" w:hAnsi="Times New Roman"/>
          <w:b/>
          <w:i/>
          <w:sz w:val="20"/>
        </w:rPr>
        <w:t>according to their interests,</w:t>
      </w:r>
      <w:r>
        <w:rPr>
          <w:rFonts w:ascii="Times New Roman" w:hAnsi="Times New Roman"/>
          <w:sz w:val="20"/>
        </w:rPr>
        <w:t>” “</w:t>
      </w:r>
      <w:r>
        <w:rPr>
          <w:rFonts w:ascii="Times New Roman" w:hAnsi="Times New Roman"/>
          <w:b/>
          <w:i/>
          <w:sz w:val="20"/>
        </w:rPr>
        <w:t>ratably,</w:t>
      </w:r>
      <w:r>
        <w:rPr>
          <w:rFonts w:ascii="Times New Roman" w:hAnsi="Times New Roman"/>
          <w:sz w:val="20"/>
        </w:rPr>
        <w:t>” “</w:t>
      </w:r>
      <w:r>
        <w:rPr>
          <w:rFonts w:ascii="Times New Roman" w:hAnsi="Times New Roman"/>
          <w:b/>
          <w:i/>
          <w:sz w:val="20"/>
        </w:rPr>
        <w:t>proportionately,</w:t>
      </w:r>
      <w:r>
        <w:rPr>
          <w:rFonts w:ascii="Times New Roman" w:hAnsi="Times New Roman"/>
          <w:sz w:val="20"/>
        </w:rPr>
        <w:t>” “</w:t>
      </w:r>
      <w:r>
        <w:rPr>
          <w:rFonts w:ascii="Times New Roman" w:hAnsi="Times New Roman"/>
          <w:b/>
          <w:i/>
          <w:sz w:val="20"/>
        </w:rPr>
        <w:t>proportional,</w:t>
      </w:r>
      <w:r>
        <w:rPr>
          <w:rFonts w:ascii="Times New Roman" w:hAnsi="Times New Roman"/>
          <w:sz w:val="20"/>
        </w:rPr>
        <w:t>” “</w:t>
      </w:r>
      <w:r>
        <w:rPr>
          <w:rFonts w:ascii="Times New Roman" w:hAnsi="Times New Roman"/>
          <w:b/>
          <w:i/>
          <w:sz w:val="20"/>
        </w:rPr>
        <w:t>in proportion to,</w:t>
      </w:r>
      <w:r>
        <w:rPr>
          <w:rFonts w:ascii="Times New Roman" w:hAnsi="Times New Roman"/>
          <w:sz w:val="20"/>
        </w:rPr>
        <w:t>” “</w:t>
      </w:r>
      <w:r>
        <w:rPr>
          <w:rFonts w:ascii="Times New Roman" w:hAnsi="Times New Roman"/>
          <w:b/>
          <w:i/>
          <w:sz w:val="20"/>
        </w:rPr>
        <w:t>based on the number of Units held,</w:t>
      </w:r>
      <w:r>
        <w:rPr>
          <w:rFonts w:ascii="Times New Roman" w:hAnsi="Times New Roman"/>
          <w:sz w:val="20"/>
        </w:rPr>
        <w:t>” “</w:t>
      </w:r>
      <w:r>
        <w:rPr>
          <w:rFonts w:ascii="Times New Roman" w:hAnsi="Times New Roman"/>
          <w:b/>
          <w:i/>
          <w:sz w:val="20"/>
        </w:rPr>
        <w:t>based upon the percentage of Units held,</w:t>
      </w:r>
      <w:r>
        <w:rPr>
          <w:rFonts w:ascii="Times New Roman" w:hAnsi="Times New Roman"/>
          <w:sz w:val="20"/>
        </w:rPr>
        <w:t>” “</w:t>
      </w:r>
      <w:r>
        <w:rPr>
          <w:rFonts w:ascii="Times New Roman" w:hAnsi="Times New Roman"/>
          <w:b/>
          <w:i/>
          <w:sz w:val="20"/>
        </w:rPr>
        <w:t>based upon the number of Units outstanding,</w:t>
      </w:r>
      <w:r>
        <w:rPr>
          <w:rFonts w:ascii="Times New Roman" w:hAnsi="Times New Roman"/>
          <w:sz w:val="20"/>
        </w:rPr>
        <w:t xml:space="preserve">” and other terms with similar meanings, when used in the context of a number of Units of the Company relative to other Units, means as amongst an individual class of Units, pro rata based upon the number of such Units within such class of Units. </w:t>
      </w:r>
    </w:p>
    <w:p>
      <w:pPr>
        <w:pStyle w:val="TextBody"/>
        <w:bidi w:val="0"/>
        <w:spacing w:before="240" w:after="0"/>
        <w:jc w:val="left"/>
        <w:rPr/>
      </w:pPr>
      <w:r>
        <w:rPr/>
        <w:t>“</w:t>
      </w:r>
      <w:r>
        <w:rPr>
          <w:rFonts w:ascii="Times New Roman" w:hAnsi="Times New Roman"/>
          <w:b/>
          <w:i/>
          <w:sz w:val="20"/>
        </w:rPr>
        <w:t>Profits</w:t>
      </w:r>
      <w:r>
        <w:rPr>
          <w:rFonts w:ascii="Times New Roman" w:hAnsi="Times New Roman"/>
          <w:sz w:val="20"/>
        </w:rPr>
        <w:t xml:space="preserve">” means items of income and gain of the Company determined according to </w:t>
      </w:r>
      <w:r>
        <w:rPr>
          <w:rFonts w:ascii="Times New Roman" w:hAnsi="Times New Roman"/>
          <w:sz w:val="20"/>
          <w:u w:val="single"/>
        </w:rPr>
        <w:t>Section 5.01(b)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PubCo</w:t>
      </w:r>
      <w:r>
        <w:rPr>
          <w:rFonts w:ascii="Times New Roman" w:hAnsi="Times New Roman"/>
          <w:sz w:val="20"/>
        </w:rPr>
        <w:t xml:space="preserve">” has the meaning set forth in the Preamble, together with its successors and assigns. </w:t>
      </w:r>
    </w:p>
    <w:p>
      <w:pPr>
        <w:pStyle w:val="TextBody"/>
        <w:bidi w:val="0"/>
        <w:spacing w:before="240" w:after="0"/>
        <w:jc w:val="left"/>
        <w:rPr/>
      </w:pPr>
      <w:r>
        <w:rPr/>
        <w:t>“</w:t>
      </w:r>
      <w:r>
        <w:rPr>
          <w:rFonts w:ascii="Times New Roman" w:hAnsi="Times New Roman"/>
          <w:b/>
          <w:i/>
          <w:sz w:val="20"/>
        </w:rPr>
        <w:t>PubCo Contributions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PubCo Offer</w:t>
      </w:r>
      <w:r>
        <w:rPr>
          <w:rFonts w:ascii="Times New Roman" w:hAnsi="Times New Roman"/>
          <w:sz w:val="20"/>
        </w:rPr>
        <w:t xml:space="preserve">” has the meaning set forth in </w:t>
      </w:r>
      <w:r>
        <w:rPr>
          <w:rFonts w:ascii="Times New Roman" w:hAnsi="Times New Roman"/>
          <w:sz w:val="20"/>
          <w:u w:val="single"/>
        </w:rPr>
        <w:t>Section 10.09(b)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PubCo Member</w:t>
      </w:r>
      <w:r>
        <w:rPr>
          <w:rFonts w:ascii="Times New Roman" w:hAnsi="Times New Roman"/>
          <w:sz w:val="20"/>
        </w:rPr>
        <w:t xml:space="preserve">” means (i) PubCo and (ii) any Subsidiary of PubCo (other than the Company or its Subsidiaries) that is or becomes a Member, including Manager Sub.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Quarterly Redemption Date</w:t>
      </w:r>
      <w:r>
        <w:rPr>
          <w:rFonts w:ascii="Times New Roman" w:hAnsi="Times New Roman"/>
          <w:sz w:val="20"/>
        </w:rPr>
        <w:t xml:space="preserve">” means, either (x) the first (1st) Business Day occurring after the sixtieth (60th) day after the expiration of the applicable Quarterly Redemption Notice Period, beginning with the first applicable Quarterly Redemption Date that will fall on or after the waiver or expiration of any contractual lock-up period relating to the shares of PubCo that may be applicable to a Member or (y) such other date as PubCo shall determine in its sole discretion; </w:t>
      </w:r>
      <w:r>
        <w:rPr>
          <w:rFonts w:ascii="Times New Roman" w:hAnsi="Times New Roman"/>
          <w:i/>
          <w:sz w:val="20"/>
        </w:rPr>
        <w:t>provided</w:t>
      </w:r>
      <w:r>
        <w:rPr>
          <w:rFonts w:ascii="Times New Roman" w:hAnsi="Times New Roman"/>
          <w:sz w:val="20"/>
        </w:rPr>
        <w:t xml:space="preserve">, that (i) such date is at least sixty (60) days after the expiration of the Quarterly Redemption Notice Period (unless PubCo is advised by Tax Counsel that a date that is less than sixty (60) days after the expiration of the Quarterly Redemption Notice Period would not reasonably be expected (at a “should” or higher level of confidence) to cause the Company to be treated as a “publicly traded partnership” under Section 7704 of the Code), (ii) PubCo shall use commercially reasonable efforts to ensure that at least one Quarterly Redemption Date occurs each fiscal quarter and (iii) PubCo shall not permit more than four Quarterly Redemption Dates to occur in a fiscal year unless advised by Tax Counsel that each Quarterly Redemption Date after the fourth Quarterly Redemption Date in a fiscal year would not reasonably be expected (at a “should” or higher level of confidence) to cause the Company to be treated as a “publicly traded partnership” under Section 7704 of the Code. </w:t>
      </w:r>
    </w:p>
    <w:p>
      <w:pPr>
        <w:pStyle w:val="TextBody"/>
        <w:bidi w:val="0"/>
        <w:spacing w:before="240" w:after="0"/>
        <w:jc w:val="left"/>
        <w:rPr/>
      </w:pPr>
      <w:r>
        <w:rPr/>
        <w:t>“</w:t>
      </w:r>
      <w:r>
        <w:rPr>
          <w:rFonts w:ascii="Times New Roman" w:hAnsi="Times New Roman"/>
          <w:b/>
          <w:i/>
          <w:sz w:val="20"/>
        </w:rPr>
        <w:t>Quarterly Redemption Notice Period</w:t>
      </w:r>
      <w:r>
        <w:rPr>
          <w:rFonts w:ascii="Times New Roman" w:hAnsi="Times New Roman"/>
          <w:sz w:val="20"/>
        </w:rPr>
        <w:t xml:space="preserve">” means, for each fiscal quarter, the period commencing on the third (3rd) Business Day after the day on which PubCo releases its earnings for the prior fiscal period, beginning with the first such date that falls on or after the waiver or expiration of any contractual lock-up period relating to the shares of PubCo that may be applicable to a Member (or such other date within such quarter as PubCo shall determine in its sole discretion) and ending five (5) Business Days thereafter. Notwithstanding the foregoing, PubCo may change the definition of Quarterly Redemption Notice Period with respect to any Quarterly Redemption Notice Period scheduled to occur in a calendar quarter subsequent to the then-current calendar quarter if (x) the revised definition provides for a Quarterly Redemption Notice Period occurring at least once in each calendar quarter, (y) the first Quarterly Redemption Notice Period pursuant to the revised definition will occur no less than ten (10) Business Days from the date written notice of such change is sent to each Member (other than a PubCo Member) and (z) the revised definition, together with the revised Quarterly Redemption Date resulting therefrom, do not materially adversely affect the ability of Non-PubCo Members to exercise their Redemption rights pursuant to this Agreement. </w:t>
      </w:r>
    </w:p>
    <w:p>
      <w:pPr>
        <w:pStyle w:val="TextBody"/>
        <w:bidi w:val="0"/>
        <w:spacing w:before="240" w:after="0"/>
        <w:jc w:val="left"/>
        <w:rPr/>
      </w:pPr>
      <w:r>
        <w:rPr/>
        <w:t>“</w:t>
      </w:r>
      <w:r>
        <w:rPr>
          <w:rFonts w:ascii="Times New Roman" w:hAnsi="Times New Roman"/>
          <w:b/>
          <w:i/>
          <w:sz w:val="20"/>
        </w:rPr>
        <w:t>Recapitalization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Recapitalized PubCo 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Redeemed Units</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Redeemed Units Equivalent</w:t>
      </w:r>
      <w:r>
        <w:rPr>
          <w:rFonts w:ascii="Times New Roman" w:hAnsi="Times New Roman"/>
          <w:sz w:val="20"/>
        </w:rPr>
        <w:t xml:space="preserve">” means the product of (a) the applicable number of Redeemed Units, </w:t>
      </w:r>
      <w:r>
        <w:rPr>
          <w:rFonts w:ascii="Times New Roman" w:hAnsi="Times New Roman"/>
          <w:i/>
          <w:sz w:val="20"/>
        </w:rPr>
        <w:t>multiplied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(b) the Common Unit Redemption Price. </w:t>
      </w:r>
    </w:p>
    <w:p>
      <w:pPr>
        <w:pStyle w:val="TextBody"/>
        <w:bidi w:val="0"/>
        <w:spacing w:before="240" w:after="0"/>
        <w:jc w:val="left"/>
        <w:rPr/>
      </w:pPr>
      <w:r>
        <w:rPr/>
        <w:t>“</w:t>
      </w:r>
      <w:r>
        <w:rPr>
          <w:rFonts w:ascii="Times New Roman" w:hAnsi="Times New Roman"/>
          <w:b/>
          <w:i/>
          <w:sz w:val="20"/>
        </w:rPr>
        <w:t>Redeeming Member</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Redemption</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Redemption Black-Out Period</w:t>
      </w:r>
      <w:r>
        <w:rPr>
          <w:rFonts w:ascii="Times New Roman" w:hAnsi="Times New Roman"/>
          <w:sz w:val="20"/>
        </w:rPr>
        <w:t xml:space="preserve">” means (i) any “black-out” or similar period under PubCo’s policies covering trading in PubCo’s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 and (ii) the period of time commencing on (x) the date of the declaration of a dividend by PubCo and ending on the first (1st) day following (y) the record date determined by the Corporate Board with respect to such dividend declared pursuant to clause (x), which period of time shall be no longer than ten (10) Business Days; </w:t>
      </w:r>
      <w:r>
        <w:rPr>
          <w:rFonts w:ascii="Times New Roman" w:hAnsi="Times New Roman"/>
          <w:i/>
          <w:sz w:val="20"/>
        </w:rPr>
        <w:t>provided</w:t>
      </w:r>
      <w:r>
        <w:rPr>
          <w:rFonts w:ascii="Times New Roman" w:hAnsi="Times New Roman"/>
          <w:sz w:val="20"/>
        </w:rPr>
        <w:t xml:space="preserve"> that in no event shall a Redemption Black-Out Period with respect to clause (ii) of the definition hereof occur more than four times per calendar year. </w:t>
      </w:r>
    </w:p>
    <w:p>
      <w:pPr>
        <w:pStyle w:val="TextBody"/>
        <w:bidi w:val="0"/>
        <w:spacing w:before="240" w:after="0"/>
        <w:jc w:val="left"/>
        <w:rPr/>
      </w:pPr>
      <w:r>
        <w:rPr/>
        <w:t>“</w:t>
      </w:r>
      <w:r>
        <w:rPr>
          <w:rFonts w:ascii="Times New Roman" w:hAnsi="Times New Roman"/>
          <w:b/>
          <w:i/>
          <w:sz w:val="20"/>
        </w:rPr>
        <w:t>Redemption Date</w:t>
      </w:r>
      <w:r>
        <w:rPr>
          <w:rFonts w:ascii="Times New Roman" w:hAnsi="Times New Roman"/>
          <w:sz w:val="20"/>
        </w:rPr>
        <w:t xml:space="preserve">” means, (i) in the case of a Permitted Redemption, a date specified by the Redeeming Member in the Redemption Notice, which shall not be less than five (5) Business Days nor more than ten (10) Business Days after delivery of such Redemption Notice (unless and to the extent that PubCo in its sole discretion agrees in writing to waive such time periods) or, if no such date is specified, a date determined by PubCo which shall not be less than five (5) Business Days nor more than ten (10) Business Days after delivery of such Redemption Notice, on which the exercise of the Redemption Right shall be completed, (ii) in the case of a Redemption pursuant to a Company Redemption Right, a date, not less than three (3) Business Days nor more than ten (10) Business Days after delivery of such Company Redemption Notice, on which exercise of the Company Redemption Right shall be completed and (iii) in any other case, the Quarterly Redemption Date; </w:t>
      </w:r>
      <w:r>
        <w:rPr>
          <w:rFonts w:ascii="Times New Roman" w:hAnsi="Times New Roman"/>
          <w:i/>
          <w:sz w:val="20"/>
        </w:rPr>
        <w:t>provided</w:t>
      </w:r>
      <w:r>
        <w:rPr>
          <w:rFonts w:ascii="Times New Roman" w:hAnsi="Times New Roman"/>
          <w:sz w:val="20"/>
        </w:rPr>
        <w:t xml:space="preserve">, that if the Redemption Date for any Redemption with respect to which PubCo elects to make a Share Settlement would otherwise fall within any Redemption Black-Out Period, then the Redemption Date shall occur on the next Business Day following the end of such Redemption Black-Out Period. </w:t>
      </w:r>
    </w:p>
    <w:p>
      <w:pPr>
        <w:pStyle w:val="TextBody"/>
        <w:bidi w:val="0"/>
        <w:spacing w:before="240" w:after="0"/>
        <w:jc w:val="left"/>
        <w:rPr/>
      </w:pPr>
      <w:r>
        <w:rPr/>
        <w:t>“</w:t>
      </w:r>
      <w:r>
        <w:rPr>
          <w:rFonts w:ascii="Times New Roman" w:hAnsi="Times New Roman"/>
          <w:b/>
          <w:i/>
          <w:sz w:val="20"/>
        </w:rPr>
        <w:t>Redemption Notice</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Redemption Right</w:t>
      </w:r>
      <w:r>
        <w:rPr>
          <w:rFonts w:ascii="Times New Roman" w:hAnsi="Times New Roman"/>
          <w:sz w:val="20"/>
        </w:rPr>
        <w:t xml:space="preserve">” has the meaning set forth in </w:t>
      </w:r>
      <w:r>
        <w:rPr>
          <w:rFonts w:ascii="Times New Roman" w:hAnsi="Times New Roman"/>
          <w:sz w:val="20"/>
          <w:u w:val="single"/>
        </w:rPr>
        <w:t>Section 11.01(a)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Registration Rights Agreement</w:t>
      </w:r>
      <w:r>
        <w:rPr>
          <w:rFonts w:ascii="Times New Roman" w:hAnsi="Times New Roman"/>
          <w:sz w:val="20"/>
        </w:rPr>
        <w:t xml:space="preserve">” means that certain Registration Rights Agreement, dated as of the Effective Date, by and among PubCo and certain Persons whose signatures are affixed thereto (together with any joinder thereto from time to time by any successor or assign to any party to such agreement) (as it may be amended from time to time in accordance with its terms). </w:t>
      </w:r>
    </w:p>
    <w:p>
      <w:pPr>
        <w:pStyle w:val="TextBody"/>
        <w:bidi w:val="0"/>
        <w:spacing w:before="240" w:after="0"/>
        <w:jc w:val="left"/>
        <w:rPr/>
      </w:pPr>
      <w:r>
        <w:rPr/>
        <w:t>“</w:t>
      </w:r>
      <w:r>
        <w:rPr>
          <w:rFonts w:ascii="Times New Roman" w:hAnsi="Times New Roman"/>
          <w:b/>
          <w:i/>
          <w:sz w:val="20"/>
        </w:rPr>
        <w:t>Reorganization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Restricted Retraction Notice</w:t>
      </w:r>
      <w:r>
        <w:rPr>
          <w:rFonts w:ascii="Times New Roman" w:hAnsi="Times New Roman"/>
          <w:sz w:val="20"/>
        </w:rPr>
        <w:t xml:space="preserve">” has the meaning set forth in </w:t>
      </w:r>
      <w:r>
        <w:rPr>
          <w:rFonts w:ascii="Times New Roman" w:hAnsi="Times New Roman"/>
          <w:sz w:val="20"/>
          <w:u w:val="single"/>
        </w:rPr>
        <w:t>Section 11.01(d)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Restricted Unit Award Agreement</w:t>
      </w:r>
      <w:r>
        <w:rPr>
          <w:rFonts w:ascii="Times New Roman" w:hAnsi="Times New Roman"/>
          <w:sz w:val="20"/>
        </w:rPr>
        <w:t xml:space="preserve">” means an agreement between any Management Holdings Partner, on the one hand, and Management Holdings, on the other hand, governing the issuance or other terms of Management Holdings Interests (or any interests which were converted into or exchanged for such Management Holdings Interests) to such Management Holdings Partner. </w:t>
      </w:r>
    </w:p>
    <w:p>
      <w:pPr>
        <w:pStyle w:val="TextBody"/>
        <w:bidi w:val="0"/>
        <w:spacing w:before="240" w:after="0"/>
        <w:jc w:val="left"/>
        <w:rPr/>
      </w:pPr>
      <w:r>
        <w:rPr/>
        <w:t>“</w:t>
      </w:r>
      <w:r>
        <w:rPr>
          <w:rFonts w:ascii="Times New Roman" w:hAnsi="Times New Roman"/>
          <w:b/>
          <w:i/>
          <w:sz w:val="20"/>
        </w:rPr>
        <w:t>Retraction Notice</w:t>
      </w:r>
      <w:r>
        <w:rPr>
          <w:rFonts w:ascii="Times New Roman" w:hAnsi="Times New Roman"/>
          <w:sz w:val="20"/>
        </w:rPr>
        <w:t xml:space="preserve">” has the meaning set forth in </w:t>
      </w:r>
      <w:r>
        <w:rPr>
          <w:rFonts w:ascii="Times New Roman" w:hAnsi="Times New Roman"/>
          <w:sz w:val="20"/>
          <w:u w:val="single"/>
        </w:rPr>
        <w:t>Section 11.01(d)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Schedule of Members</w:t>
      </w:r>
      <w:r>
        <w:rPr>
          <w:rFonts w:ascii="Times New Roman" w:hAnsi="Times New Roman"/>
          <w:sz w:val="20"/>
        </w:rPr>
        <w:t xml:space="preserve">” has the meaning set forth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SEC</w:t>
      </w:r>
      <w:r>
        <w:rPr>
          <w:rFonts w:ascii="Times New Roman" w:hAnsi="Times New Roman"/>
          <w:sz w:val="20"/>
        </w:rPr>
        <w:t xml:space="preserve">” means the U.S. Securities and Exchange Commission, including any governmental body or agency succeeding to the functions thereof. </w:t>
      </w:r>
    </w:p>
    <w:p>
      <w:pPr>
        <w:pStyle w:val="TextBody"/>
        <w:bidi w:val="0"/>
        <w:spacing w:before="240" w:after="0"/>
        <w:jc w:val="left"/>
        <w:rPr/>
      </w:pPr>
      <w:r>
        <w:rPr/>
        <w:t>“</w:t>
      </w:r>
      <w:r>
        <w:rPr>
          <w:rFonts w:ascii="Times New Roman" w:hAnsi="Times New Roman"/>
          <w:b/>
          <w:i/>
          <w:sz w:val="20"/>
        </w:rPr>
        <w:t>Secondary Offering</w:t>
      </w:r>
      <w:r>
        <w:rPr>
          <w:rFonts w:ascii="Times New Roman" w:hAnsi="Times New Roman"/>
          <w:sz w:val="20"/>
        </w:rPr>
        <w:t xml:space="preserve">” means a follow-on or secondary public offering of shares of Class A Common Stock by PubCo following the IPO.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w:t>
      </w:r>
    </w:p>
    <w:p>
      <w:pPr>
        <w:pStyle w:val="TextBody"/>
        <w:bidi w:val="0"/>
        <w:spacing w:before="240" w:after="0"/>
        <w:jc w:val="left"/>
        <w:rPr/>
      </w:pPr>
      <w:r>
        <w:rPr/>
        <w:t>“</w:t>
      </w:r>
      <w:r>
        <w:rPr>
          <w:rFonts w:ascii="Times New Roman" w:hAnsi="Times New Roman"/>
          <w:b/>
          <w:i/>
          <w:sz w:val="20"/>
        </w:rPr>
        <w:t>Share Settlement</w:t>
      </w:r>
      <w:r>
        <w:rPr>
          <w:rFonts w:ascii="Times New Roman" w:hAnsi="Times New Roman"/>
          <w:sz w:val="20"/>
        </w:rPr>
        <w:t xml:space="preserve">” means a number of shares of Class A Common Stock (together with any Corresponding Rights) equal to the number of Redeemed Units. </w:t>
      </w:r>
    </w:p>
    <w:p>
      <w:pPr>
        <w:pStyle w:val="TextBody"/>
        <w:bidi w:val="0"/>
        <w:spacing w:before="240" w:after="0"/>
        <w:jc w:val="left"/>
        <w:rPr/>
      </w:pPr>
      <w:r>
        <w:rPr/>
        <w:t>“</w:t>
      </w:r>
      <w:r>
        <w:rPr>
          <w:rFonts w:ascii="Times New Roman" w:hAnsi="Times New Roman"/>
          <w:b/>
          <w:i/>
          <w:sz w:val="20"/>
        </w:rPr>
        <w:t>Stock Exchange</w:t>
      </w:r>
      <w:r>
        <w:rPr>
          <w:rFonts w:ascii="Times New Roman" w:hAnsi="Times New Roman"/>
          <w:sz w:val="20"/>
        </w:rPr>
        <w:t xml:space="preserve">” means the Nasdaq Global Market.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are at the time owned or controlled, directly or indirectly, by any Person or one or more Subsidiaries of that Person or a combination thereof. For purposes hereof, references to a “</w:t>
      </w:r>
      <w:r>
        <w:rPr>
          <w:rFonts w:ascii="Times New Roman" w:hAnsi="Times New Roman"/>
          <w:b/>
          <w:i/>
          <w:sz w:val="20"/>
        </w:rPr>
        <w:t>Subsidiary</w:t>
      </w:r>
      <w:r>
        <w:rPr>
          <w:rFonts w:ascii="Times New Roman" w:hAnsi="Times New Roman"/>
          <w:sz w:val="20"/>
        </w:rPr>
        <w:t xml:space="preserve">” of the Company shall be given effect only at such times that the Company has one or more Subsidiaries, and, unless otherwise indicated, the term “Subsidiary” refers to a Subsidiary of the Company. </w:t>
      </w:r>
    </w:p>
    <w:p>
      <w:pPr>
        <w:pStyle w:val="TextBody"/>
        <w:bidi w:val="0"/>
        <w:spacing w:before="240" w:after="0"/>
        <w:jc w:val="left"/>
        <w:rPr/>
      </w:pPr>
      <w:r>
        <w:rPr/>
        <w:t>“</w:t>
      </w:r>
      <w:r>
        <w:rPr>
          <w:rFonts w:ascii="Times New Roman" w:hAnsi="Times New Roman"/>
          <w:b/>
          <w:i/>
          <w:sz w:val="20"/>
        </w:rPr>
        <w:t>Substituted Member</w:t>
      </w:r>
      <w:r>
        <w:rPr>
          <w:rFonts w:ascii="Times New Roman" w:hAnsi="Times New Roman"/>
          <w:sz w:val="20"/>
        </w:rPr>
        <w:t xml:space="preserve">” means a Person that is admitted as a Member to the Company pursuant to </w:t>
      </w:r>
      <w:r>
        <w:rPr>
          <w:rFonts w:ascii="Times New Roman" w:hAnsi="Times New Roman"/>
          <w:sz w:val="20"/>
          <w:u w:val="single"/>
        </w:rPr>
        <w:t>Section 12.01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 Counsel</w:t>
      </w:r>
      <w:r>
        <w:rPr>
          <w:rFonts w:ascii="Times New Roman" w:hAnsi="Times New Roman"/>
          <w:sz w:val="20"/>
        </w:rPr>
        <w:t xml:space="preserve">” means a nationally recognized law or accounting firm. </w:t>
      </w:r>
    </w:p>
    <w:p>
      <w:pPr>
        <w:pStyle w:val="TextBody"/>
        <w:bidi w:val="0"/>
        <w:spacing w:before="240" w:after="0"/>
        <w:jc w:val="left"/>
        <w:rPr/>
      </w:pPr>
      <w:r>
        <w:rPr/>
        <w:t>“</w:t>
      </w:r>
      <w:r>
        <w:rPr>
          <w:rFonts w:ascii="Times New Roman" w:hAnsi="Times New Roman"/>
          <w:b/>
          <w:i/>
          <w:sz w:val="20"/>
        </w:rPr>
        <w:t>Tax Distribution Date</w:t>
      </w:r>
      <w:r>
        <w:rPr>
          <w:rFonts w:ascii="Times New Roman" w:hAnsi="Times New Roman"/>
          <w:sz w:val="20"/>
        </w:rPr>
        <w:t xml:space="preserve">” means April 15th, June 15th, September 15th, December 15th and January 15th (or such other dates for which individuals or corporations are required to make quarterly estimated tax payments for U.S. federal income tax purposes). </w:t>
      </w:r>
    </w:p>
    <w:p>
      <w:pPr>
        <w:pStyle w:val="TextBody"/>
        <w:bidi w:val="0"/>
        <w:spacing w:before="240" w:after="0"/>
        <w:jc w:val="left"/>
        <w:rPr/>
      </w:pPr>
      <w:r>
        <w:rPr/>
        <w:t>“</w:t>
      </w:r>
      <w:r>
        <w:rPr>
          <w:rFonts w:ascii="Times New Roman" w:hAnsi="Times New Roman"/>
          <w:b/>
          <w:i/>
          <w:sz w:val="20"/>
        </w:rPr>
        <w:t>Tax Distributions</w:t>
      </w:r>
      <w:r>
        <w:rPr>
          <w:rFonts w:ascii="Times New Roman" w:hAnsi="Times New Roman"/>
          <w:sz w:val="20"/>
        </w:rPr>
        <w:t xml:space="preserve">” has the meaning set forth in </w:t>
      </w:r>
      <w:r>
        <w:rPr>
          <w:rFonts w:ascii="Times New Roman" w:hAnsi="Times New Roman"/>
          <w:sz w:val="20"/>
          <w:u w:val="single"/>
        </w:rPr>
        <w:t>Section 4.01(b)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 Receivable Agreement</w:t>
      </w:r>
      <w:r>
        <w:rPr>
          <w:rFonts w:ascii="Times New Roman" w:hAnsi="Times New Roman"/>
          <w:sz w:val="20"/>
        </w:rPr>
        <w:t xml:space="preserve">” means that certain Tax Receivable Agreement, dated as of the Effective Date, by and among PubCo, the Company, the TRA Party Representative and the TRA Parties (as such terms are defined in the Tax Receivable Agreement) (together with any joinder thereto from time to time by any successor or assign to any party to such agreement), as it may be amended from time to time in accordance with its terms. </w:t>
      </w:r>
    </w:p>
    <w:p>
      <w:pPr>
        <w:pStyle w:val="TextBody"/>
        <w:bidi w:val="0"/>
        <w:spacing w:before="240" w:after="0"/>
        <w:jc w:val="left"/>
        <w:rPr/>
      </w:pPr>
      <w:r>
        <w:rPr/>
        <w:t>“</w:t>
      </w:r>
      <w:r>
        <w:rPr>
          <w:rFonts w:ascii="Times New Roman" w:hAnsi="Times New Roman"/>
          <w:b/>
          <w:i/>
          <w:sz w:val="20"/>
        </w:rPr>
        <w:t>Taxable Year</w:t>
      </w:r>
      <w:r>
        <w:rPr>
          <w:rFonts w:ascii="Times New Roman" w:hAnsi="Times New Roman"/>
          <w:sz w:val="20"/>
        </w:rPr>
        <w:t xml:space="preserve">” means the Company’s accounting period for U.S. federal income tax purposes determined pursuant to </w:t>
      </w:r>
      <w:r>
        <w:rPr>
          <w:rFonts w:ascii="Times New Roman" w:hAnsi="Times New Roman"/>
          <w:sz w:val="20"/>
          <w:u w:val="single"/>
        </w:rPr>
        <w:t>Section 9.02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Trading Day</w:t>
      </w:r>
      <w:r>
        <w:rPr>
          <w:rFonts w:ascii="Times New Roman" w:hAnsi="Times New Roman"/>
          <w:sz w:val="20"/>
        </w:rPr>
        <w:t xml:space="preserve">” means a day on which the Stock Exchange or such other principal United States securities exchange on which the Class A Common Stock is listed or admitted to trading is open for the transaction of business (unless such trading shall have been suspended for the entire day). </w:t>
      </w:r>
    </w:p>
    <w:p>
      <w:pPr>
        <w:pStyle w:val="TextBody"/>
        <w:bidi w:val="0"/>
        <w:spacing w:before="240" w:after="0"/>
        <w:jc w:val="left"/>
        <w:rPr/>
      </w:pPr>
      <w:r>
        <w:rPr/>
        <w:t>“</w:t>
      </w:r>
      <w:r>
        <w:rPr>
          <w:rFonts w:ascii="Times New Roman" w:hAnsi="Times New Roman"/>
          <w:b/>
          <w:i/>
          <w:sz w:val="20"/>
        </w:rPr>
        <w:t>Transfer</w:t>
      </w:r>
      <w:r>
        <w:rPr>
          <w:rFonts w:ascii="Times New Roman" w:hAnsi="Times New Roman"/>
          <w:sz w:val="20"/>
        </w:rPr>
        <w:t>” (and, with a correlative meaning, “</w:t>
      </w:r>
      <w:r>
        <w:rPr>
          <w:rFonts w:ascii="Times New Roman" w:hAnsi="Times New Roman"/>
          <w:b/>
          <w:i/>
          <w:sz w:val="20"/>
        </w:rPr>
        <w:t>Transferring</w:t>
      </w:r>
      <w:r>
        <w:rPr>
          <w:rFonts w:ascii="Times New Roman" w:hAnsi="Times New Roman"/>
          <w:sz w:val="20"/>
        </w:rPr>
        <w:t xml:space="preserve">”)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or (b) any equity or other interest (legal or beneficial) in any Member if substantially all of the assets of such Member consist of Units. </w:t>
      </w:r>
    </w:p>
    <w:p>
      <w:pPr>
        <w:pStyle w:val="TextBody"/>
        <w:bidi w:val="0"/>
        <w:spacing w:before="240" w:after="0"/>
        <w:jc w:val="left"/>
        <w:rPr/>
      </w:pPr>
      <w:r>
        <w:rPr/>
        <w:t>“</w:t>
      </w:r>
      <w:r>
        <w:rPr>
          <w:rFonts w:ascii="Times New Roman" w:hAnsi="Times New Roman"/>
          <w:b/>
          <w:i/>
          <w:sz w:val="20"/>
        </w:rPr>
        <w:t>Treasury Regulations</w:t>
      </w:r>
      <w:r>
        <w:rPr>
          <w:rFonts w:ascii="Times New Roman" w:hAnsi="Times New Roman"/>
          <w:sz w:val="20"/>
        </w:rPr>
        <w:t xml:space="preserve">” means the final, temporary and (to the extent they can be relied upon) proposed regulations under the Code, as promulgated from time to time (including corresponding provisions and succeeding provisions) as in effect for the relevant taxable period. </w:t>
      </w:r>
    </w:p>
    <w:p>
      <w:pPr>
        <w:pStyle w:val="TextBody"/>
        <w:bidi w:val="0"/>
        <w:spacing w:before="240" w:after="0"/>
        <w:jc w:val="left"/>
        <w:rPr/>
      </w:pPr>
      <w:r>
        <w:rPr/>
        <w:t>“</w:t>
      </w:r>
      <w:r>
        <w:rPr>
          <w:rFonts w:ascii="Times New Roman" w:hAnsi="Times New Roman"/>
          <w:b/>
          <w:i/>
          <w:sz w:val="20"/>
        </w:rPr>
        <w:t>Underwriters Discount</w:t>
      </w:r>
      <w:r>
        <w:rPr>
          <w:rFonts w:ascii="Times New Roman" w:hAnsi="Times New Roman"/>
          <w:sz w:val="20"/>
        </w:rPr>
        <w:t xml:space="preserve">” has the meaning set forth in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Unit</w:t>
      </w:r>
      <w:r>
        <w:rPr>
          <w:rFonts w:ascii="Times New Roman" w:hAnsi="Times New Roman"/>
          <w:sz w:val="20"/>
        </w:rPr>
        <w:t>” means the fractional interest of a Member in Distributions of the Company, and otherwise having the rights and obligations specified with respect to “</w:t>
      </w:r>
      <w:r>
        <w:rPr>
          <w:rFonts w:ascii="Times New Roman" w:hAnsi="Times New Roman"/>
          <w:b/>
          <w:i/>
          <w:sz w:val="20"/>
        </w:rPr>
        <w:t>Units</w:t>
      </w:r>
      <w:r>
        <w:rPr>
          <w:rFonts w:ascii="Times New Roman" w:hAnsi="Times New Roman"/>
          <w:sz w:val="20"/>
        </w:rPr>
        <w:t xml:space="preserve">”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class or group of Units issued shall have the relative rights, powers and duties set forth in this Agreement applicable to such class or group of Units. </w:t>
      </w:r>
    </w:p>
    <w:p>
      <w:pPr>
        <w:pStyle w:val="TextBody"/>
        <w:bidi w:val="0"/>
        <w:spacing w:before="240" w:after="0"/>
        <w:jc w:val="left"/>
        <w:rPr/>
      </w:pPr>
      <w:r>
        <w:rPr/>
        <w:t>“</w:t>
      </w:r>
      <w:r>
        <w:rPr>
          <w:rFonts w:ascii="Times New Roman" w:hAnsi="Times New Roman"/>
          <w:b/>
          <w:i/>
          <w:sz w:val="20"/>
        </w:rPr>
        <w:t>Unvested Corporate Shares</w:t>
      </w:r>
      <w:r>
        <w:rPr>
          <w:rFonts w:ascii="Times New Roman" w:hAnsi="Times New Roman"/>
          <w:sz w:val="20"/>
        </w:rPr>
        <w:t xml:space="preserve">” means shares of Class A Common Stock issuable pursuant to awards granted under the Corporate Equity Incentive Plan that are not Vested Corporate Shares. </w:t>
      </w:r>
    </w:p>
    <w:p>
      <w:pPr>
        <w:pStyle w:val="TextBody"/>
        <w:bidi w:val="0"/>
        <w:spacing w:before="240" w:after="0"/>
        <w:jc w:val="left"/>
        <w:rPr/>
      </w:pPr>
      <w:r>
        <w:rPr/>
        <w:t>“</w:t>
      </w:r>
      <w:r>
        <w:rPr>
          <w:rFonts w:ascii="Times New Roman" w:hAnsi="Times New Roman"/>
          <w:b/>
          <w:i/>
          <w:sz w:val="20"/>
        </w:rPr>
        <w:t>Unvested Unit</w:t>
      </w:r>
      <w:r>
        <w:rPr>
          <w:rFonts w:ascii="Times New Roman" w:hAnsi="Times New Roman"/>
          <w:sz w:val="20"/>
        </w:rPr>
        <w:t xml:space="preserve">” means any Common Unit that is not a Vested Unit. </w:t>
      </w:r>
    </w:p>
    <w:p>
      <w:pPr>
        <w:pStyle w:val="TextBody"/>
        <w:bidi w:val="0"/>
        <w:spacing w:before="240" w:after="0"/>
        <w:jc w:val="left"/>
        <w:rPr/>
      </w:pPr>
      <w:r>
        <w:rPr/>
        <w:t>“</w:t>
      </w:r>
      <w:r>
        <w:rPr>
          <w:rFonts w:ascii="Times New Roman" w:hAnsi="Times New Roman"/>
          <w:b/>
          <w:i/>
          <w:sz w:val="20"/>
        </w:rPr>
        <w:t>Value</w:t>
      </w:r>
      <w:r>
        <w:rPr>
          <w:rFonts w:ascii="Times New Roman" w:hAnsi="Times New Roman"/>
          <w:sz w:val="20"/>
        </w:rPr>
        <w:t xml:space="preserve">” means (a) for any stock option or other incentive equity award granted pursuant to the Corporate Equity Incentive Plan that requires the holder thereof to exercise such award, the Market Price for the Trading Day immediately preceding the date of exercise of such award and (b) for any incentive equity award granted pursuant to the Corporate Equity Incentive Plan that does not require the holder thereof to exercise such award, the Market Price for the Trading Day immediately preceding the Vesting Date. </w:t>
      </w:r>
    </w:p>
    <w:p>
      <w:pPr>
        <w:pStyle w:val="TextBody"/>
        <w:bidi w:val="0"/>
        <w:spacing w:before="240" w:after="0"/>
        <w:jc w:val="left"/>
        <w:rPr/>
      </w:pPr>
      <w:r>
        <w:rPr/>
        <w:t>“</w:t>
      </w:r>
      <w:r>
        <w:rPr>
          <w:rFonts w:ascii="Times New Roman" w:hAnsi="Times New Roman"/>
          <w:b/>
          <w:i/>
          <w:sz w:val="20"/>
        </w:rPr>
        <w:t>Vested Corporate Shares</w:t>
      </w:r>
      <w:r>
        <w:rPr>
          <w:rFonts w:ascii="Times New Roman" w:hAnsi="Times New Roman"/>
          <w:sz w:val="20"/>
        </w:rPr>
        <w:t xml:space="preserve">” means the shares of Class A Common Stock issued pursuant to awards granted under the Corporate Equity Incentive Plan that are vested pursuant to the terms thereof or any award or similar agreement relating thereto. </w:t>
      </w:r>
    </w:p>
    <w:p>
      <w:pPr>
        <w:pStyle w:val="TextBody"/>
        <w:bidi w:val="0"/>
        <w:spacing w:before="240" w:after="0"/>
        <w:jc w:val="left"/>
        <w:rPr/>
      </w:pPr>
      <w:r>
        <w:rPr/>
        <w:t>“</w:t>
      </w:r>
      <w:r>
        <w:rPr>
          <w:rFonts w:ascii="Times New Roman" w:hAnsi="Times New Roman"/>
          <w:b/>
          <w:i/>
          <w:sz w:val="20"/>
        </w:rPr>
        <w:t>Vested Unit</w:t>
      </w:r>
      <w:r>
        <w:rPr>
          <w:rFonts w:ascii="Times New Roman" w:hAnsi="Times New Roman"/>
          <w:sz w:val="20"/>
        </w:rPr>
        <w:t xml:space="preserve">” means, on any date of determination, any Common Unit to the extent (a) a Member’s right to any such Common Unit has vested as a result of the Corresponding Management Unit having vested in accordance with the terms of the applicable Restricted Unit Award Agreement or (b) such Common Unit is not subject to vesting. </w:t>
      </w:r>
    </w:p>
    <w:p>
      <w:pPr>
        <w:pStyle w:val="TextBody"/>
        <w:bidi w:val="0"/>
        <w:spacing w:before="240" w:after="0"/>
        <w:jc w:val="left"/>
        <w:rPr/>
      </w:pPr>
      <w:r>
        <w:rPr/>
        <w:t>“</w:t>
      </w:r>
      <w:r>
        <w:rPr>
          <w:rFonts w:ascii="Times New Roman" w:hAnsi="Times New Roman"/>
          <w:b/>
          <w:i/>
          <w:sz w:val="20"/>
        </w:rPr>
        <w:t>Vesting Date</w:t>
      </w:r>
      <w:r>
        <w:rPr>
          <w:rFonts w:ascii="Times New Roman" w:hAnsi="Times New Roman"/>
          <w:sz w:val="20"/>
        </w:rPr>
        <w:t xml:space="preserve">” has the meaning set forth in </w:t>
      </w:r>
      <w:r>
        <w:rPr>
          <w:rFonts w:ascii="Times New Roman" w:hAnsi="Times New Roman"/>
          <w:sz w:val="20"/>
          <w:u w:val="single"/>
        </w:rPr>
        <w:t>Section 3.10(c)(ii)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ORGANIZATIONAL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Formation of Company</w:t>
      </w:r>
      <w:r>
        <w:rPr>
          <w:rFonts w:ascii="Times New Roman" w:hAnsi="Times New Roman"/>
          <w:sz w:val="20"/>
        </w:rPr>
        <w:t xml:space="preserve">. The Company was formed on August 26, 2021, pursuant to the provisions of the Delaware Act. The filing of the Certificate with the Secretary of State of the State of Delaware is hereby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Amended and Restated Limited Liability Company Agreement</w:t>
      </w:r>
      <w:r>
        <w:rPr>
          <w:rFonts w:ascii="Times New Roman" w:hAnsi="Times New Roman"/>
          <w:sz w:val="20"/>
        </w:rPr>
        <w:t xml:space="preserve">. The Members hereby execute this Agreement for the purpose of amending, restating and superseding the Existing LLC Agreement in its entirety and otherwise establishing the affairs of the Company and the conduct of its business in accordance with the provisions of the Delaware Act. The Members hereby agree that during the term of the Company set forth in </w:t>
      </w:r>
      <w:r>
        <w:rPr>
          <w:rFonts w:ascii="Times New Roman" w:hAnsi="Times New Roman"/>
          <w:sz w:val="20"/>
          <w:u w:val="single"/>
        </w:rPr>
        <w:t>Section 2.06</w:t>
      </w:r>
      <w:r>
        <w:rPr>
          <w:rFonts w:ascii="Times New Roman" w:hAnsi="Times New Roman"/>
          <w:sz w:val="20"/>
        </w:rPr>
        <w:t xml:space="preserve"> the rights and obligations of the Members with respect to the Company will be determined in accordance with the terms and conditions of this Agreement and the Delaware Act.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Name</w:t>
      </w:r>
      <w:r>
        <w:rPr>
          <w:rFonts w:ascii="Times New Roman" w:hAnsi="Times New Roman"/>
          <w:sz w:val="20"/>
        </w:rPr>
        <w:t xml:space="preserve">. The name of the Company is “SOLV Energy Holdings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Purpose; Powers</w:t>
      </w:r>
      <w:r>
        <w:rPr>
          <w:rFonts w:ascii="Times New Roman" w:hAnsi="Times New Roman"/>
          <w:sz w:val="20"/>
        </w:rPr>
        <w:t xml:space="preserve">. The primary business and purpose of the Company shall be to engage in such activities as are permitted under the Delaware Act and determined from time to time by the Manager in accordance with the terms and conditions of this Agreement. The Company shall have the power and authority to take (directly or indirectly through its Subsidiaries) any and all actions and engage in any and all activities necessary, appropriate, desirable, advisable, ancillary or incidental to accomplish the foregoing purpose.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Principal Office; Registered Office</w:t>
      </w:r>
      <w:r>
        <w:rPr>
          <w:rFonts w:ascii="Times New Roman" w:hAnsi="Times New Roman"/>
          <w:sz w:val="20"/>
        </w:rPr>
        <w:t xml:space="preserve">. The principal office of the Company shall be located at such place or places as the Manager may from time to time designate, each of which may be within or outside the State of Delaware. The address of the registered office of the Company in the State of Delaware and the registered agent for service of process on the Company in the State of Delaware shall be the office and registered agent named in the Certificate. The Manager may from time to time change the Company’s registered agent and registered office 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Term</w:t>
      </w:r>
      <w:r>
        <w:rPr>
          <w:rFonts w:ascii="Times New Roman" w:hAnsi="Times New Roman"/>
          <w:sz w:val="20"/>
        </w:rPr>
        <w:t xml:space="preserve">. The term of the Company commenced upon the filing of the Certificate in accordance with the Delaware Act and shall continue in perpetuity unless dissolved in accordance with the provisions of </w:t>
      </w:r>
      <w:r>
        <w:rPr>
          <w:rFonts w:ascii="Times New Roman" w:hAnsi="Times New Roman"/>
          <w:sz w:val="20"/>
          <w:u w:val="single"/>
        </w:rPr>
        <w:t>Article XIV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No State-Law Partnership</w:t>
      </w:r>
      <w:r>
        <w:rPr>
          <w:rFonts w:ascii="Times New Roman" w:hAnsi="Times New Roman"/>
          <w:sz w:val="20"/>
        </w:rPr>
        <w:t xml:space="preserve">. The Members intend that the Company not be a partnership (including a limited partnership) or joint venture, and that no Member be a partner or joint venturer of any other Member by virtue of this Agreement, for any purposes other than as set forth in the last sentence of this </w:t>
      </w:r>
      <w:r>
        <w:rPr>
          <w:rFonts w:ascii="Times New Roman" w:hAnsi="Times New Roman"/>
          <w:sz w:val="20"/>
          <w:u w:val="single"/>
        </w:rPr>
        <w:t>Section 2.07</w:t>
      </w:r>
      <w:r>
        <w:rPr>
          <w:rFonts w:ascii="Times New Roman" w:hAnsi="Times New Roman"/>
          <w:sz w:val="20"/>
        </w:rPr>
        <w:t xml:space="preserve">,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that is a continuation of Parent Holdings under Section 708 of the Code, and each Member and the Company shall file all tax returns and shall otherwise take all tax and financial reporting positions in a manner consistent with such treatment. </w:t>
      </w:r>
    </w:p>
    <w:p>
      <w:pPr>
        <w:pStyle w:val="TextBody"/>
        <w:bidi w:val="0"/>
        <w:spacing w:before="480" w:after="0"/>
        <w:jc w:val="center"/>
        <w:rPr>
          <w:rFonts w:ascii="Times New Roman" w:hAnsi="Times New Roman"/>
          <w:sz w:val="24"/>
        </w:rPr>
      </w:pPr>
      <w:r>
        <w:rPr>
          <w:rFonts w:ascii="Times New Roman" w:hAnsi="Times New Roman"/>
          <w:sz w:val="24"/>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MEMBERS; UNITS;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Members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In connection with and following the IPO Liquidating Distributions and the PubCo Contributions, the Company admitted the Pre-IPO Members, including PubCo and Manager Sub, as Members, (ii) PubCo will acquire additional Common Units from the Company in exchange for the IPO Net Proceeds, and (iii) if applicable, PubCo will acquire additional Common Units from the Company in exchange for the Over-Allotment Option Net Proceeds, if any (and the ownership of Units resulting therefrom shall be set forth on the Schedule of Members (as defined below)). </w:t>
      </w:r>
    </w:p>
    <w:p>
      <w:pPr>
        <w:pStyle w:val="TextBody"/>
        <w:bidi w:val="0"/>
        <w:spacing w:before="240" w:after="0"/>
        <w:jc w:val="left"/>
        <w:rPr>
          <w:rFonts w:ascii="Times New Roman" w:hAnsi="Times New Roman"/>
          <w:sz w:val="20"/>
        </w:rPr>
      </w:pPr>
      <w:r>
        <w:rPr>
          <w:rFonts w:ascii="Times New Roman" w:hAnsi="Times New Roman"/>
          <w:sz w:val="20"/>
        </w:rPr>
        <w:t>(b) The Company shall maintain a schedule setting forth: (i) the name and address of each Member, (ii) the aggregate number of outstanding Units and the number and class of Units held by each Member and (iii) the vesting dates of each Unvested Unit (such schedule, the “</w:t>
      </w:r>
      <w:r>
        <w:rPr>
          <w:rFonts w:ascii="Times New Roman" w:hAnsi="Times New Roman"/>
          <w:b/>
          <w:i/>
          <w:sz w:val="20"/>
        </w:rPr>
        <w:t>Schedule of Members</w:t>
      </w:r>
      <w:r>
        <w:rPr>
          <w:rFonts w:ascii="Times New Roman" w:hAnsi="Times New Roman"/>
          <w:sz w:val="20"/>
        </w:rPr>
        <w:t>”)</w:t>
      </w:r>
      <w:r>
        <w:rPr>
          <w:rFonts w:ascii="Times New Roman" w:hAnsi="Times New Roman"/>
          <w:i/>
          <w:sz w:val="20"/>
        </w:rPr>
        <w:t>.</w:t>
      </w:r>
      <w:r>
        <w:rPr>
          <w:rFonts w:ascii="Times New Roman" w:hAnsi="Times New Roman"/>
          <w:sz w:val="20"/>
        </w:rPr>
        <w:t xml:space="preserve"> The applicable Schedule of Members in effect as of the Effective Date and after giving effect to the Reorganization and the transactions in connection with the IPO, including the IPO Common Unit Subscription, is set forth as </w:t>
      </w:r>
      <w:r>
        <w:rPr>
          <w:rFonts w:ascii="Times New Roman" w:hAnsi="Times New Roman"/>
          <w:sz w:val="20"/>
          <w:u w:val="single"/>
        </w:rPr>
        <w:t>Schedule 2</w:t>
      </w:r>
      <w:r>
        <w:rPr>
          <w:rFonts w:ascii="Times New Roman" w:hAnsi="Times New Roman"/>
          <w:sz w:val="20"/>
        </w:rPr>
        <w:t xml:space="preserve"> to this Agreement. The Company shall also maintain a record of (1) the aggregate amount of cash Capital Contributions that has been made by the Members with respect to their Units and (2) the Fair Market Value of any property other than cash contributed by the Members with respect to their Units (including, if applicable, a description and the amount of any liability assumed by the Company or to which contributed property is subject) in its books and records. The Schedule of Members may be updated by the Manager in the Company’s books and records from time to time and, as so updated, it shall be the definitive record of ownership of each Unit of the Company and all relevant information with respect to each Member, subject to </w:t>
      </w:r>
      <w:r>
        <w:rPr>
          <w:rFonts w:ascii="Times New Roman" w:hAnsi="Times New Roman"/>
          <w:sz w:val="20"/>
          <w:u w:val="single"/>
        </w:rPr>
        <w:t>Section 10.07(a)</w:t>
      </w:r>
      <w:r>
        <w:rPr>
          <w:rFonts w:ascii="Times New Roman" w:hAnsi="Times New Roman"/>
          <w:sz w:val="20"/>
        </w:rPr>
        <w:t xml:space="preserve">.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(c) No Member shall be required or, except as approved by the Manager pursuant to </w:t>
      </w:r>
      <w:r>
        <w:rPr>
          <w:rFonts w:ascii="Times New Roman" w:hAnsi="Times New Roman"/>
          <w:sz w:val="20"/>
          <w:u w:val="single"/>
        </w:rPr>
        <w:t>Section 6.01</w:t>
      </w:r>
      <w:r>
        <w:rPr>
          <w:rFonts w:ascii="Times New Roman" w:hAnsi="Times New Roman"/>
          <w:sz w:val="20"/>
        </w:rPr>
        <w:t xml:space="preserve"> and in accordance with the other provisions of this Agreement, permitted to (i) loan any money or property to the Company, (ii) borrow any money or property from the Company or (iii) make any additional Capital Contributions (other than a PubCo Member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Member (or transferee thereof) that is treated for U.S. federal income tax purposes as a partnership, S-corporation or grantor trust (or as a disregarded entity whose owner for U.S. federal income tax purposes is a partnership, S-corporation, or grantor trust), upon receipt of Common Units, represents that such Member (or such owner of such Member) was not formed or used for the principal purpose or as one of its principal purposes to permit the Company to satisfy the Private Placement Safe Harbor (as described in Treasury Regulations Section 1.7704-1(h)(3)).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Interests in the Company shall be represented by Units, or such other securities of the Company, in each case as the Manager may establish in its discretion in accordance with the terms and subject to the restrictions hereof. At the Effective Date, the Units will be comprised of a single class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3.04(a)</w:t>
      </w:r>
      <w:r>
        <w:rPr>
          <w:rFonts w:ascii="Times New Roman" w:hAnsi="Times New Roman"/>
          <w:sz w:val="20"/>
        </w:rPr>
        <w:t xml:space="preserve">, the Manager may cause the Company to (i) issue additional Common Units at any time in its sole discretion and (ii) create one or more classes or series of Units or preferred Units solely to the extent such new class or series of Units or preferred Units are substantially economically equivalent to a class of common or other stock of PubCo or class or series of preferred stock of PubCo, respectively; </w:t>
      </w:r>
      <w:r>
        <w:rPr>
          <w:rFonts w:ascii="Times New Roman" w:hAnsi="Times New Roman"/>
          <w:i/>
          <w:sz w:val="20"/>
        </w:rPr>
        <w:t xml:space="preserve">provided, </w:t>
      </w:r>
      <w:r>
        <w:rPr>
          <w:rFonts w:ascii="Times New Roman" w:hAnsi="Times New Roman"/>
          <w:sz w:val="20"/>
        </w:rPr>
        <w:t xml:space="preserve">that as long as there are any Members (other than PubCo Members), (x)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(y) no such new class or series of Units may be issued, in each case, except to the extent (and solely to the extent) the Company actually receives (or, as a result of the provisions of </w:t>
      </w:r>
      <w:r>
        <w:rPr>
          <w:rFonts w:ascii="Times New Roman" w:hAnsi="Times New Roman"/>
          <w:sz w:val="20"/>
          <w:u w:val="single"/>
        </w:rPr>
        <w:t>Section 6.06</w:t>
      </w:r>
      <w:r>
        <w:rPr>
          <w:rFonts w:ascii="Times New Roman" w:hAnsi="Times New Roman"/>
          <w:sz w:val="20"/>
        </w:rPr>
        <w:t xml:space="preserve"> regarding any Discount, is deemed to receive)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(c) The Common Units that correspond to Corresponding Management Units are subject to the same vesting, forfeiture and other terms and conditions as set forth in Restricted Unit Award Agreements applicable to Corresponding Management Units,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Unvested Units shall be subject to the terms of this Agreement and the Restricted Unit Award Agreements applicable to the Corresponding Management Units. The general partner of Management Holdings, in consultation with the Manager, shall have sole and absolute discretion to interpret and administer the Restricted Unit Award Agreements and to adopt such amendments thereto or otherwise determine the terms and conditions of such Corresponding Management Units (and if Management Holdings no longer exists, the Manager shall have such rights in respect of any Equity Securities received in exchange for such Corresponding Management Units). Unvested Units that fail to vest as a result of the Corresponding Management Units’ failure to vest and are forfeited by the applicable Member in connection with the corresponding forfeiture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Corresponding Management Units, or Vested Units that are forfeited by the applicable Member as a result of the Corresponding Management Units’ forfeiture, in each case, in accordance with the Management Holdings Agreement or the Restricted Unit Award Agreement, shall be cancelled by the Company (and corresponding shares of Class B Common Stock held by the applicable Member shall be automatically cancelled, in each case for no consideration) and shall not be entitled to any Distributions pursuant to </w:t>
      </w:r>
      <w:r>
        <w:rPr>
          <w:rFonts w:ascii="Times New Roman" w:hAnsi="Times New Roman"/>
          <w:sz w:val="20"/>
          <w:u w:val="single"/>
        </w:rPr>
        <w:t>Section 4.01</w:t>
      </w:r>
      <w:r>
        <w:rPr>
          <w:rFonts w:ascii="Times New Roman" w:hAnsi="Times New Roman"/>
          <w:sz w:val="20"/>
        </w:rPr>
        <w:t xml:space="preserve">, except as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Section 15.03(b)</w:t>
      </w:r>
      <w:r>
        <w:rPr>
          <w:rFonts w:ascii="Times New Roman" w:hAnsi="Times New Roman"/>
          <w:sz w:val="20"/>
        </w:rPr>
        <w:t xml:space="preserve"> and </w:t>
      </w:r>
      <w:r>
        <w:rPr>
          <w:rFonts w:ascii="Times New Roman" w:hAnsi="Times New Roman"/>
          <w:sz w:val="20"/>
          <w:u w:val="single"/>
        </w:rPr>
        <w:t>Section 15.03(c)</w:t>
      </w:r>
      <w:r>
        <w:rPr>
          <w:rFonts w:ascii="Times New Roman" w:hAnsi="Times New Roman"/>
          <w:sz w:val="20"/>
        </w:rPr>
        <w:t xml:space="preserve">, the Manager may amend this Agreement, without the consent of any Member or any other Person, in connection with the creation and issuance of such classes or series of Units, pursuant to </w:t>
      </w:r>
      <w:r>
        <w:rPr>
          <w:rFonts w:ascii="Times New Roman" w:hAnsi="Times New Roman"/>
          <w:sz w:val="20"/>
          <w:u w:val="single"/>
        </w:rPr>
        <w:t>Sections 3.02(b)</w:t>
      </w:r>
      <w:r>
        <w:rPr>
          <w:rFonts w:ascii="Times New Roman" w:hAnsi="Times New Roman"/>
          <w:sz w:val="20"/>
        </w:rPr>
        <w:t xml:space="preserve">, </w:t>
      </w:r>
      <w:r>
        <w:rPr>
          <w:rFonts w:ascii="Times New Roman" w:hAnsi="Times New Roman"/>
          <w:sz w:val="20"/>
          <w:u w:val="single"/>
        </w:rPr>
        <w:t>3.04(a)</w:t>
      </w:r>
      <w:r>
        <w:rPr>
          <w:rFonts w:ascii="Times New Roman" w:hAnsi="Times New Roman"/>
          <w:sz w:val="20"/>
        </w:rPr>
        <w:t xml:space="preserve"> or </w:t>
      </w:r>
      <w:r>
        <w:rPr>
          <w:rFonts w:ascii="Times New Roman" w:hAnsi="Times New Roman"/>
          <w:sz w:val="20"/>
          <w:u w:val="single"/>
        </w:rPr>
        <w:t>3.10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Recapitalization; PubCo Member Capital Contributions; PubCo Member Purchase of Common Units; Contributions to Subsidiary PubCo Members; Management Holdings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order to effect the Recapitalization, the limited liability company interests held by the Existing Member prior to the Effective Date are hereby reclassified, as of the Effective Date, into a single class of Common Units, and, to reflect the distributions and admission of new Members in connection with the IPO Liquidating Distributions and PubCo Contributions, the number of Common Units held by the Pre-IPO Members are as set forth opposite the respective Pre-IPO Member’s name in </w:t>
      </w:r>
      <w:r>
        <w:rPr>
          <w:rFonts w:ascii="Times New Roman" w:hAnsi="Times New Roman"/>
          <w:sz w:val="20"/>
          <w:u w:val="single"/>
        </w:rPr>
        <w:t>Schedule 1</w:t>
      </w:r>
      <w:r>
        <w:rPr>
          <w:rFonts w:ascii="Times New Roman" w:hAnsi="Times New Roman"/>
          <w:sz w:val="20"/>
        </w:rPr>
        <w:t xml:space="preserve">. As of the Effective Date (and after giving effect to the Reorganization and the other transactions contemplated in connection with the IPO), the number of Common Units held by the Pre-IPO Members shall be number of Common Units set forth opposite the name of the respective Member on the Schedule of Members attached hereto as </w:t>
      </w:r>
      <w:r>
        <w:rPr>
          <w:rFonts w:ascii="Times New Roman" w:hAnsi="Times New Roman"/>
          <w:sz w:val="20"/>
          <w:u w:val="single"/>
        </w:rPr>
        <w:t>Schedule 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for the avoidance of doubt, the number of Common Units set forth on </w:t>
      </w:r>
      <w:r>
        <w:rPr>
          <w:rFonts w:ascii="Times New Roman" w:hAnsi="Times New Roman"/>
          <w:sz w:val="20"/>
          <w:u w:val="single"/>
        </w:rPr>
        <w:t>Schedule 2</w:t>
      </w:r>
      <w:r>
        <w:rPr>
          <w:rFonts w:ascii="Times New Roman" w:hAnsi="Times New Roman"/>
          <w:sz w:val="20"/>
        </w:rPr>
        <w:t xml:space="preserve"> shall also include the Common Units issued to PubCo pursuant to the IPO Common Unit Subscription and, if applicable, Transferred to PubCo pursuant to the Management Holdings Contribution. The Common Units set forth on </w:t>
      </w:r>
      <w:r>
        <w:rPr>
          <w:rFonts w:ascii="Times New Roman" w:hAnsi="Times New Roman"/>
          <w:sz w:val="20"/>
          <w:u w:val="single"/>
        </w:rPr>
        <w:t>Schedule 2</w:t>
      </w:r>
      <w:r>
        <w:rPr>
          <w:rFonts w:ascii="Times New Roman" w:hAnsi="Times New Roman"/>
          <w:sz w:val="20"/>
        </w:rPr>
        <w:t xml:space="preserve"> are hereby issued and outstanding as of the Effective Date and the holders of such Common Units are Members hereunder. </w:t>
      </w:r>
    </w:p>
    <w:p>
      <w:pPr>
        <w:pStyle w:val="TextBody"/>
        <w:bidi w:val="0"/>
        <w:spacing w:before="240" w:after="0"/>
        <w:jc w:val="left"/>
        <w:rPr>
          <w:rFonts w:ascii="Times New Roman" w:hAnsi="Times New Roman"/>
          <w:sz w:val="20"/>
        </w:rPr>
      </w:pPr>
      <w:r>
        <w:rPr>
          <w:rFonts w:ascii="Times New Roman" w:hAnsi="Times New Roman"/>
          <w:sz w:val="20"/>
        </w:rPr>
        <w:t>(b) Following the Reorganization, the consummation of the IPO and the effectiveness of this Agreement, the Company shall issue to PubCo, and PubCo will acquire, a number of newly issued Common Units in exchange for the IPO Net Proceeds payable to the Company upon consummation of the IPO (the “</w:t>
      </w:r>
      <w:r>
        <w:rPr>
          <w:rFonts w:ascii="Times New Roman" w:hAnsi="Times New Roman"/>
          <w:b/>
          <w:i/>
          <w:sz w:val="20"/>
        </w:rPr>
        <w:t>IPO Common Unit Subscription</w:t>
      </w:r>
      <w:r>
        <w:rPr>
          <w:rFonts w:ascii="Times New Roman" w:hAnsi="Times New Roman"/>
          <w:sz w:val="20"/>
        </w:rPr>
        <w:t>”). In addition, to the extent the underwriters in the IPO exercise the Over-Allotment Option in whole or in part, upon the exercise of the Over-Allotment Option, PubCo will contribute the Over-Allotment Option Net Proceeds to the Company in exchange for newly issued Common Units, and such issuance of additional Common Units, if applicable, shall be reflected on the Schedule of Members (the “</w:t>
      </w:r>
      <w:r>
        <w:rPr>
          <w:rFonts w:ascii="Times New Roman" w:hAnsi="Times New Roman"/>
          <w:b/>
          <w:i/>
          <w:sz w:val="20"/>
        </w:rPr>
        <w:t>Over-Allotment Contribution</w:t>
      </w:r>
      <w:r>
        <w:rPr>
          <w:rFonts w:ascii="Times New Roman" w:hAnsi="Times New Roman"/>
          <w:sz w:val="20"/>
        </w:rPr>
        <w:t>”)</w:t>
      </w:r>
      <w:r>
        <w:rPr>
          <w:rFonts w:ascii="Times New Roman" w:hAnsi="Times New Roman"/>
          <w:i/>
          <w:sz w:val="20"/>
        </w:rPr>
        <w:t>.</w:t>
      </w:r>
      <w:r>
        <w:rPr>
          <w:rFonts w:ascii="Times New Roman" w:hAnsi="Times New Roman"/>
          <w:sz w:val="20"/>
        </w:rPr>
        <w:t xml:space="preserve"> The number of Common Units issued in the Over-Allotment Contribution, if applicable, shall be equal to the number of shares of Class A Common Stock issued by PubCo in such exercise of the Over-Allotment Option. For the avoidance of doubt, PubCo shall be admitted as a Member with respect to all Common Units such entity holds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 All contributions or deemed contributions made by PubCo, directly or indirectly (as applicable), to the AS Blockers, GP NewCo or another PubCo Member pursuant to or in furtherance of the terms of this Agreement shall be effected as a contribution to capital or in exchange for the issuance to PubCo (or any intermediary entity) of additional equity interests of such PubCo Member, as determined in PubCo’s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In connection with the Reorganization and the IPO, and notwithstanding anything to the contrary herein, Management Holdings shall be permitted to Transfer to PubCo a portion of its Vested Units (together with a corresponding number of shares of Class B Common Stock, which shall be cancelled) in an amount agreed between Management Holdings and the Manager in exchange for an equal number of shares of Class A Common Stock (if undertaken, the “</w:t>
      </w:r>
      <w:r>
        <w:rPr>
          <w:rFonts w:ascii="Times New Roman" w:hAnsi="Times New Roman"/>
          <w:b/>
          <w:i/>
          <w:sz w:val="20"/>
        </w:rPr>
        <w:t>Management Holdings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Authorization and Issuance of Additional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determined by the Manager in good faith to be fair and reasonable to the stockholders and other equityholders of PubCo and to the Members to preserve the intended economic effect of this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11.01</w:t>
      </w:r>
      <w:r>
        <w:rPr>
          <w:rFonts w:ascii="Times New Roman" w:hAnsi="Times New Roman"/>
          <w:sz w:val="20"/>
        </w:rPr>
        <w:t xml:space="preserve"> and the other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PubCo shall undertake all actions, including an issuance, reclassification, distribution, division or recapitalization, with respect to the Common Units and the Class A Common Stock or Class B Common Stock, as applicable, to maintain at all times (i) a one-to-one ratio between the number of Common Units owned by PubCo Members, collectively, and the number of outstanding shares of Class A Common Stock and (ii) a one-to-one ratio between the number of Common Units owned by Members (other than PubCo Members), directly or indirectly, and the number of outstanding shares of Class B Common Stock owned by such Members, directly or indirectly, in each case, disregarding, for purposes of maintaining the one-to-one ratio, (A) Unvested Corporate Shares (other than any Unvested Corporate Shares as to which an election has been made under Section 83(b) of the Code), (B) treasury stock or (C) preferred stock or other debt or equity securities (including warrants, options or rights) issued by PubCo that are convertible into or exercisable or exchangeable for Class A Common Stock or Class B Common Stock and have not been so converted or exchanged; </w:t>
      </w:r>
    </w:p>
    <w:p>
      <w:pPr>
        <w:pStyle w:val="TextBody"/>
        <w:bidi w:val="0"/>
        <w:spacing w:before="240" w:after="0"/>
        <w:jc w:val="left"/>
        <w:rPr>
          <w:rFonts w:ascii="Times New Roman" w:hAnsi="Times New Roman"/>
          <w:sz w:val="20"/>
        </w:rPr>
      </w:pPr>
      <w:r>
        <w:rPr>
          <w:rFonts w:ascii="Times New Roman" w:hAnsi="Times New Roman"/>
          <w:sz w:val="20"/>
        </w:rPr>
        <w:t xml:space="preserve">(ii) in the event PubCo issues, transfers or delivers from treasury stock or repurchases or redeems Class A Common Stock, the Manager and PubCo shall take, or cause to be taken, all actions such that, after giving effect to all such issuances, transfers, deliveries, repurchases or redemptions, the number of outstanding Common Units owned by PubCo Members will equal on a one-for-one basis the number of outstanding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PubCo issues, transfers or delivers from treasury stock or repurchases or redeems PubCo’s preferred stock, the Manager and PubCo shall take, or cause to be taken, all actions such that, after giving effect to all such issuances, transfers, deliveries, repurchases or redemptions, PubCo Members hold (in the case of any issuance, transfer or delivery) or cease to hold (in the case of any repurchase or redemption) equity interests in the Company which (in the good faith determination by the Manager) are in the aggregate substantially economically equivalent to the outstanding preferred stock of PubCo so issued, transferred, delivered, repurchased or redeemed;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Company and PubCo shall not undertake, or cause to be undertaken, any subdivision (by any Common Unit split, stock split, Common Unit distribution, stock distribution, reclassification, division, recapitalization or similar event) or combination (by reverse Common Unit split, reverse stock split, reclassification, division, recapitalization or similar event) of the Common Units, Class A Common Stock or Class B Common Stock, as applicable, that is not accompanied by an identical subdivision or combination of Class A Common Stock, Class B Common Stock or Common Units, respectively, to maintain at all times (x) a one-to-one ratio between the number of Common Units owned by PubCo Members, collectively, and the number of outstanding shares of Class A Common Stock or (y) a one-to-one ratio between the number of Common Units owned by Members (other than PubCo Members) and the number of outstanding shares of Class B Common Stock, in each case, unless such action is necessary to maintain at all times a one-to-one ratio between either the number of Common Units owned by PubCo Members, collectively, and the number of outstanding shares of Class A Common Stock or the number of Common Units owned by Members (other than PubCo Members) and the number of outstanding shares of Class B Common Stock as contemplated by </w:t>
      </w:r>
      <w:r>
        <w:rPr>
          <w:rFonts w:ascii="Times New Roman" w:hAnsi="Times New Roman"/>
          <w:sz w:val="20"/>
          <w:u w:val="single"/>
        </w:rPr>
        <w:t>Section 3.04(a)(i)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only be permitted to issue additional Common Units, and/or establish other classes or series of Units or other Equity Securities in the Company, to the Persons and on the terms and conditions provided for in </w:t>
      </w:r>
      <w:r>
        <w:rPr>
          <w:rFonts w:ascii="Times New Roman" w:hAnsi="Times New Roman"/>
          <w:sz w:val="20"/>
          <w:u w:val="single"/>
        </w:rPr>
        <w:t>Section 3.02</w:t>
      </w:r>
      <w:r>
        <w:rPr>
          <w:rFonts w:ascii="Times New Roman" w:hAnsi="Times New Roman"/>
          <w:sz w:val="20"/>
        </w:rPr>
        <w:t xml:space="preserve">, this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3.10</w:t>
      </w:r>
      <w:r>
        <w:rPr>
          <w:rFonts w:ascii="Times New Roman" w:hAnsi="Times New Roman"/>
          <w:sz w:val="20"/>
        </w:rPr>
        <w:t xml:space="preserve"> and </w:t>
      </w:r>
      <w:r>
        <w:rPr>
          <w:rFonts w:ascii="Times New Roman" w:hAnsi="Times New Roman"/>
          <w:sz w:val="20"/>
          <w:u w:val="single"/>
        </w:rPr>
        <w:t>Section 3.11</w:t>
      </w:r>
      <w:r>
        <w:rPr>
          <w:rFonts w:ascii="Times New Roman" w:hAnsi="Times New Roman"/>
          <w:sz w:val="20"/>
        </w:rPr>
        <w:t xml:space="preserve">. Subject to the foregoing, the Manager may cause the Company to issue additional Common Units authorized under this Agreement and/or establish other classes or series of Units or other Equity Securities in the Company at such times and upon such terms as the Manager shall determine and the Manager shall amend this Agreement as necessary in connection with the issuance of additional Common Units and admission of additional Members under this </w:t>
      </w:r>
      <w:r>
        <w:rPr>
          <w:rFonts w:ascii="Times New Roman" w:hAnsi="Times New Roman"/>
          <w:sz w:val="20"/>
          <w:u w:val="single"/>
        </w:rPr>
        <w:t>Section 3.04</w:t>
      </w:r>
      <w:r>
        <w:rPr>
          <w:rFonts w:ascii="Times New Roman" w:hAnsi="Times New Roman"/>
          <w:sz w:val="20"/>
        </w:rPr>
        <w:t xml:space="preserve"> without the requirement of any consent or acknowledgement of any other Member.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of this Agreement (including </w:t>
      </w:r>
      <w:r>
        <w:rPr>
          <w:rFonts w:ascii="Times New Roman" w:hAnsi="Times New Roman"/>
          <w:sz w:val="20"/>
          <w:u w:val="single"/>
        </w:rPr>
        <w:t>Section 3.04(a)</w:t>
      </w:r>
      <w:r>
        <w:rPr>
          <w:rFonts w:ascii="Times New Roman" w:hAnsi="Times New Roman"/>
          <w:sz w:val="20"/>
        </w:rPr>
        <w:t>), if any PubCo Member acquires or holds any material amount of cash (or any obligations of the Company or a Subsidiary thereof in respect of any loans made by any PubCo Member to the Company or such Subsidiary) in excess of any monetary obligations it reasonably anticipates (such cash, “</w:t>
      </w:r>
      <w:r>
        <w:rPr>
          <w:rFonts w:ascii="Times New Roman" w:hAnsi="Times New Roman"/>
          <w:b/>
          <w:i/>
          <w:sz w:val="20"/>
        </w:rPr>
        <w:t>Excess Cash</w:t>
      </w:r>
      <w:r>
        <w:rPr>
          <w:rFonts w:ascii="Times New Roman" w:hAnsi="Times New Roman"/>
          <w:sz w:val="20"/>
        </w:rPr>
        <w:t>”, and such loan obligations, “</w:t>
      </w:r>
      <w:r>
        <w:rPr>
          <w:rFonts w:ascii="Times New Roman" w:hAnsi="Times New Roman"/>
          <w:b/>
          <w:i/>
          <w:sz w:val="20"/>
        </w:rPr>
        <w:t>Excess Loan Receivables</w:t>
      </w:r>
      <w:r>
        <w:rPr>
          <w:rFonts w:ascii="Times New Roman" w:hAnsi="Times New Roman"/>
          <w:sz w:val="20"/>
        </w:rPr>
        <w:t>” and, collectively, “</w:t>
      </w:r>
      <w:r>
        <w:rPr>
          <w:rFonts w:ascii="Times New Roman" w:hAnsi="Times New Roman"/>
          <w:b/>
          <w:i/>
          <w:sz w:val="20"/>
        </w:rPr>
        <w:t>Excess Assets</w:t>
      </w:r>
      <w:r>
        <w:rPr>
          <w:rFonts w:ascii="Times New Roman" w:hAnsi="Times New Roman"/>
          <w:sz w:val="20"/>
        </w:rPr>
        <w:t xml:space="preserve">”), PubCo may, in its sole discretion, take, or cause to be taken, any actions with respect to any such Excess Assets and make, or cause to be made, any corresponding adjustments to the capitalization of PubCo and the Company as PubCo in good faith determines to be fair and reasonable to the equityholders of PubCo and to the Members to preserve the one-to-one ratios described in </w:t>
      </w:r>
      <w:r>
        <w:rPr>
          <w:rFonts w:ascii="Times New Roman" w:hAnsi="Times New Roman"/>
          <w:sz w:val="20"/>
          <w:u w:val="single"/>
        </w:rPr>
        <w:t>Section 3.04(a)(i)</w:t>
      </w:r>
      <w:r>
        <w:rPr>
          <w:rFonts w:ascii="Times New Roman" w:hAnsi="Times New Roman"/>
          <w:sz w:val="20"/>
        </w:rPr>
        <w:t xml:space="preserve"> and the intended economic effect of this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11.01</w:t>
      </w:r>
      <w:r>
        <w:rPr>
          <w:rFonts w:ascii="Times New Roman" w:hAnsi="Times New Roman"/>
          <w:sz w:val="20"/>
        </w:rPr>
        <w:t xml:space="preserve"> and the other provisions hereof (including contributing (or causing to be contributed) any such Excess Assets to the Company and causing the Company to recapitalize its Units to reflect such contribution and maintain such one-to-one ratios).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Repurchase or Redemption of Shares of Class A Common Stock</w:t>
      </w:r>
      <w:r>
        <w:rPr>
          <w:rFonts w:ascii="Times New Roman" w:hAnsi="Times New Roman"/>
          <w:sz w:val="20"/>
        </w:rPr>
        <w:t xml:space="preserve">. Except as otherwise determined by PubCo in connection with the use of cash or other assets held by PubCo, if at any time, any shares of Class A Common Stock are repurchased or redeemed (whether by exercise of a put or call, automatically or by means of another arrangement) by PubCo for cash, then the Manager shall cause the Company, immediately prior to such repurchase or redemption of Class A Common Stock, to redeem a corresponding number of Common Units held by PubCo Members, collectively, at an aggregate redemption price equal to the aggregate purchase or redemption price of the shares of Class A Common Stock being repurchased or redeemed by PubCo (plus any expenses related thereto) and upon such other terms as are the same for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Class A Common Stock being repurchased or redeemed by PubCo; </w:t>
      </w:r>
      <w:r>
        <w:rPr>
          <w:rFonts w:ascii="Times New Roman" w:hAnsi="Times New Roman"/>
          <w:i/>
          <w:sz w:val="20"/>
        </w:rPr>
        <w:t>provided</w:t>
      </w:r>
      <w:r>
        <w:rPr>
          <w:rFonts w:ascii="Times New Roman" w:hAnsi="Times New Roman"/>
          <w:sz w:val="20"/>
        </w:rPr>
        <w:t xml:space="preserve">, if PubCo uses the net proceeds from an issuance of Class A Common Stock (solely to the extent such net proceeds were not contributed to the Company and an equal number of Common Units issued in connection with such issuance of Class A Common Stock in accordance with this Agreement) to fund such repurchase or redemption, then the Company shall not redeem or cancel a corresponding number of Common Units held by PubCo Members. Notwithstanding any provision to the contrary contained in this Agreement, the Company shall not make any repurchase or redemption if such repurchase or redemption would violate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Certificates Representing Units; Lost, Stolen or Destroyed Certificates; Registration and Transfer of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Units shall not be certificated unless otherwise determined by the Manager. If the Manager determines that one or more Units shall be certificated, each such certificate shall be signed by or in the name of the Company, by any officer designated by the Manager, representing the number of Units held by such holder. Such certificate shall be in such form (and shall contain such legends) as the Manager may determine. Any or all of such signatures on any certificate representing one or more Units may be a facsimile, engraved or printed, to the extent permitted by applicable Law. No Units shall be treated as a “security” within the meaning of Article 8 of the Uniform Commercial Code unless all Units then outstanding are certificated; notwithstanding anything to the contrary herein, including </w:t>
      </w:r>
      <w:r>
        <w:rPr>
          <w:rFonts w:ascii="Times New Roman" w:hAnsi="Times New Roman"/>
          <w:sz w:val="20"/>
          <w:u w:val="single"/>
        </w:rPr>
        <w:t>Section 15.03</w:t>
      </w:r>
      <w:r>
        <w:rPr>
          <w:rFonts w:ascii="Times New Roman" w:hAnsi="Times New Roman"/>
          <w:sz w:val="20"/>
        </w:rPr>
        <w:t xml:space="preserve">, the Manager is authorized to amend this Agreement in order for the Company to opt-in to the provisions of Article 8 of the Uniform Commercial Code without the consent or approval of any Member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Units are certificated, 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Negative Capital Accounts</w:t>
      </w:r>
      <w:r>
        <w:rPr>
          <w:rFonts w:ascii="Times New Roman" w:hAnsi="Times New Roman"/>
          <w:sz w:val="20"/>
        </w:rPr>
        <w:t xml:space="preserve">. No Member shall be required to pay to any other Member or the Company any deficit or negative balance which may exist from time to time in such Member’s Capital Account (including upon and after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No Withdrawal</w:t>
      </w:r>
      <w:r>
        <w:rPr>
          <w:rFonts w:ascii="Times New Roman" w:hAnsi="Times New Roman"/>
          <w:sz w:val="20"/>
        </w:rPr>
        <w:t xml:space="preserve">. No Person shall be entitled to withdraw any part of such Person’s Capital Contribution or Capital Account or to receive any Distribution from the Company, except as expressly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Loans From Members</w:t>
      </w:r>
      <w:r>
        <w:rPr>
          <w:rFonts w:ascii="Times New Roman" w:hAnsi="Times New Roman"/>
          <w:sz w:val="20"/>
        </w:rPr>
        <w:t xml:space="preserve">. Loans by Members to the Company shall not be considered Capital Contributions. Subject to the provisions of </w:t>
      </w:r>
      <w:r>
        <w:rPr>
          <w:rFonts w:ascii="Times New Roman" w:hAnsi="Times New Roman"/>
          <w:sz w:val="20"/>
          <w:u w:val="single"/>
        </w:rPr>
        <w:t>Section 3.01(c)</w:t>
      </w:r>
      <w:r>
        <w:rPr>
          <w:rFonts w:ascii="Times New Roman" w:hAnsi="Times New Roman"/>
          <w:sz w:val="20"/>
        </w:rPr>
        <w:t xml:space="preserve">, the amount of any such advances shall be a debt of the Company to such Member and shall be payable or collectible in accordance with the terms and conditions upon which such advances are made.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Corporate Equity Incentive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Options Granted to Persons other than Employees</w:t>
      </w:r>
      <w:r>
        <w:rPr>
          <w:rFonts w:ascii="Times New Roman" w:hAnsi="Times New Roman"/>
          <w:i/>
          <w:sz w:val="20"/>
        </w:rPr>
        <w:t xml:space="preserve">. </w:t>
      </w:r>
      <w:r>
        <w:rPr>
          <w:rFonts w:ascii="Times New Roman" w:hAnsi="Times New Roman"/>
          <w:sz w:val="20"/>
        </w:rPr>
        <w:t xml:space="preserve">If at any time or from time to time, in connection with any Corporate Equity Incentive Plan, a stock option granted with respect to shares of Class A Common Stock to a Person other than an Employee is duly exercised: </w:t>
      </w:r>
    </w:p>
    <w:p>
      <w:pPr>
        <w:pStyle w:val="TextBody"/>
        <w:bidi w:val="0"/>
        <w:spacing w:before="120" w:after="0"/>
        <w:jc w:val="left"/>
        <w:rPr>
          <w:rFonts w:ascii="Times New Roman" w:hAnsi="Times New Roman"/>
          <w:sz w:val="20"/>
        </w:rPr>
      </w:pPr>
      <w:r>
        <w:rPr>
          <w:rFonts w:ascii="Times New Roman" w:hAnsi="Times New Roman"/>
          <w:sz w:val="20"/>
        </w:rPr>
        <w:t xml:space="preserve">(i) PubCo shall, as soon as practicable after such exercise, make a Capital Contribution to the Company in an amount equal to the exercise price paid to PubCo by such exercising Person in connection with the exercise of such stock option.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the amount of the Capital Contribution actually made pursuant to </w:t>
      </w:r>
      <w:r>
        <w:rPr>
          <w:rFonts w:ascii="Times New Roman" w:hAnsi="Times New Roman"/>
          <w:sz w:val="20"/>
          <w:u w:val="single"/>
        </w:rPr>
        <w:t>Section 3.10(a)(i)</w:t>
      </w:r>
      <w:r>
        <w:rPr>
          <w:rFonts w:ascii="Times New Roman" w:hAnsi="Times New Roman"/>
          <w:sz w:val="20"/>
        </w:rPr>
        <w:t xml:space="preserve">, PubCo shall be deemed to have contributed to the Company as a Capital Contribution, in lieu of the Capital Contribution actually made and in consideration of additional Common Units, an amount equal to the Value of a share of Class A Common Stock as of the date of such exercise multiplied by the number of shares of Class A Common Stock then being issued by PubCo in connection with the exercise of such stock option. </w:t>
      </w:r>
    </w:p>
    <w:p>
      <w:pPr>
        <w:pStyle w:val="TextBody"/>
        <w:bidi w:val="0"/>
        <w:spacing w:before="240" w:after="0"/>
        <w:jc w:val="left"/>
        <w:rPr>
          <w:rFonts w:ascii="Times New Roman" w:hAnsi="Times New Roman"/>
          <w:sz w:val="20"/>
        </w:rPr>
      </w:pPr>
      <w:r>
        <w:rPr>
          <w:rFonts w:ascii="Times New Roman" w:hAnsi="Times New Roman"/>
          <w:sz w:val="20"/>
        </w:rPr>
        <w:t xml:space="preserve">(iii) PubCo shall receive in exchange for such Capital Contributions (as deemed made under </w:t>
      </w:r>
      <w:r>
        <w:rPr>
          <w:rFonts w:ascii="Times New Roman" w:hAnsi="Times New Roman"/>
          <w:sz w:val="20"/>
          <w:u w:val="single"/>
        </w:rPr>
        <w:t>Section 3.10(a)(ii)</w:t>
      </w:r>
      <w:r>
        <w:rPr>
          <w:rFonts w:ascii="Times New Roman" w:hAnsi="Times New Roman"/>
          <w:sz w:val="20"/>
        </w:rPr>
        <w:t xml:space="preserve">), a number of Common Units equal to the number of shares of Class A Common Stock for which such option was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Options Granted to Employees</w:t>
      </w:r>
      <w:r>
        <w:rPr>
          <w:rFonts w:ascii="Times New Roman" w:hAnsi="Times New Roman"/>
          <w:i/>
          <w:sz w:val="20"/>
        </w:rPr>
        <w:t xml:space="preserve">. </w:t>
      </w:r>
      <w:r>
        <w:rPr>
          <w:rFonts w:ascii="Times New Roman" w:hAnsi="Times New Roman"/>
          <w:sz w:val="20"/>
        </w:rPr>
        <w:t xml:space="preserve">If at any time or from time to time, in connection with any Corporate Equity Incentive Plan, a stock option granted with respect to shares of Class A Common Stock to an Employee is duly exercised: </w:t>
      </w:r>
    </w:p>
    <w:p>
      <w:pPr>
        <w:pStyle w:val="TextBody"/>
        <w:bidi w:val="0"/>
        <w:spacing w:before="120" w:after="0"/>
        <w:jc w:val="left"/>
        <w:rPr>
          <w:rFonts w:ascii="Times New Roman" w:hAnsi="Times New Roman"/>
          <w:sz w:val="20"/>
        </w:rPr>
      </w:pPr>
      <w:r>
        <w:rPr>
          <w:rFonts w:ascii="Times New Roman" w:hAnsi="Times New Roman"/>
          <w:sz w:val="20"/>
        </w:rPr>
        <w:t xml:space="preserve">(i) PubCo shall sell to the Optionee, and the Optionee shall purchase from PubCo, the number of shares of Class A Common Stock equal to the quotient of (x) the exercise price payable by the Optionee in connection with the exercise of such stock option divided by (y) the Value of a share of Class A Common Stock at the time of such exercise. Notwithstanding the foregoing, PubCo may in its discretion permit a cashless exercise of such stock option. </w:t>
      </w:r>
    </w:p>
    <w:p>
      <w:pPr>
        <w:pStyle w:val="TextBody"/>
        <w:bidi w:val="0"/>
        <w:spacing w:before="240" w:after="0"/>
        <w:jc w:val="left"/>
        <w:rPr>
          <w:rFonts w:ascii="Times New Roman" w:hAnsi="Times New Roman"/>
          <w:sz w:val="20"/>
        </w:rPr>
      </w:pPr>
      <w:r>
        <w:rPr>
          <w:rFonts w:ascii="Times New Roman" w:hAnsi="Times New Roman"/>
          <w:sz w:val="20"/>
        </w:rPr>
        <w:t xml:space="preserve">(ii) PubCo shall sell (or be deemed to have sold) to the Company (or if the Optionee is an employee of, or other service provider to, a Subsidiary, PubCo shall sell (or be deemed to have sold) to such Subsidiary), and the Company (or such Subsidiary, as applicable) shall purchase (or be deemed to have purchased) from PubCo, a number of shares of Class A Common Stock equal to the difference between (x) the number of shares of Class A Common Stock as to which such stock option is being exercised minus (y) the number of shares of Class A Common Stock sold pursuant to </w:t>
      </w:r>
      <w:r>
        <w:rPr>
          <w:rFonts w:ascii="Times New Roman" w:hAnsi="Times New Roman"/>
          <w:sz w:val="20"/>
          <w:u w:val="single"/>
        </w:rPr>
        <w:t>Section 3.10(b)(i)</w:t>
      </w:r>
      <w:r>
        <w:rPr>
          <w:rFonts w:ascii="Times New Roman" w:hAnsi="Times New Roman"/>
          <w:sz w:val="20"/>
        </w:rPr>
        <w:t xml:space="preserve"> hereof. The purchase price per share of Class A Common Stock for such sale of shares of Class A Common Stock to the Company (or such Subsidiary) shall be the Value of a share of Class A Common Stock as of the date of exercise of such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 shall transfer (or be deemed to have transferred) to the Optionee (or if the Optionee is an employee of, or other service provider to, a Subsidiary, the Subsidiary shall transfer (or be deemed to have transferred) to the Optionee) at no additional cost to such Employee and as additional compensation (and not a distribution) to such Employee, the number of shares of Class A Common Stock described in </w:t>
      </w:r>
      <w:r>
        <w:rPr>
          <w:rFonts w:ascii="Times New Roman" w:hAnsi="Times New Roman"/>
          <w:sz w:val="20"/>
          <w:u w:val="single"/>
        </w:rPr>
        <w:t>Section 3.10(b)(ii)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PubCo shall, as soon as practicable after such exercise, make a Capital Contribution to the Company in an amount equal to all proceeds received by PubCo in connection with the exercise of such stock option. PubCo shall receive a number of Common Units equal to the number of shares of Class A Common Stock for which such option was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Class A Common Stock sold to the Company or any Subsidiary under </w:t>
      </w:r>
      <w:r>
        <w:rPr>
          <w:rFonts w:ascii="Times New Roman" w:hAnsi="Times New Roman"/>
          <w:sz w:val="20"/>
          <w:u w:val="single"/>
        </w:rPr>
        <w:t>Section 3.10(b)(ii)</w:t>
      </w:r>
      <w:r>
        <w:rPr>
          <w:rFonts w:ascii="Times New Roman" w:hAnsi="Times New Roman"/>
          <w:sz w:val="20"/>
        </w:rPr>
        <w:t xml:space="preserve">, the number of shares of Class A Common Stock transferred to the Optionee under </w:t>
      </w:r>
      <w:r>
        <w:rPr>
          <w:rFonts w:ascii="Times New Roman" w:hAnsi="Times New Roman"/>
          <w:sz w:val="20"/>
          <w:u w:val="single"/>
        </w:rPr>
        <w:t>Section 3.10(b)(iii)</w:t>
      </w:r>
      <w:r>
        <w:rPr>
          <w:rFonts w:ascii="Times New Roman" w:hAnsi="Times New Roman"/>
          <w:sz w:val="20"/>
        </w:rPr>
        <w:t xml:space="preserve">, and the number of Common Units received by PubCo under </w:t>
      </w:r>
      <w:r>
        <w:rPr>
          <w:rFonts w:ascii="Times New Roman" w:hAnsi="Times New Roman"/>
          <w:sz w:val="20"/>
          <w:u w:val="single"/>
        </w:rPr>
        <w:t>Section 3.10(b)(iv)</w:t>
      </w:r>
      <w:r>
        <w:rPr>
          <w:rFonts w:ascii="Times New Roman" w:hAnsi="Times New Roman"/>
          <w:sz w:val="20"/>
        </w:rPr>
        <w:t xml:space="preserve"> shall be reduced so as to account for the exercise price of such stock option and any payroll, withholding, or other taxes in the event that the Optionee net settles the stock option in connection with the applicable exercise.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Restricted Stock or Restricted Stock Units Granted to Employees</w:t>
      </w:r>
      <w:r>
        <w:rPr>
          <w:rFonts w:ascii="Times New Roman" w:hAnsi="Times New Roman"/>
          <w:i/>
          <w:sz w:val="20"/>
        </w:rPr>
        <w:t xml:space="preserve">. </w:t>
      </w:r>
      <w:r>
        <w:rPr>
          <w:rFonts w:ascii="Times New Roman" w:hAnsi="Times New Roman"/>
          <w:sz w:val="20"/>
        </w:rPr>
        <w:t xml:space="preserve">If at any time or from time to time, in connection with any Corporate Equity Incentive Plan, any shares of Class A Common Stock are issued to an Employee (including any shares of Class A Common Stock that are subject to forfeiture in the event such Employee terminates his or her employment with the Company or any Subsidiary or any shares of Class A Common Stock issued in connection with the settlement of restricted stock units or performance stock units) in consideration for services performed for the Company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(i) PubCo shall issue such number of shares of Class A Common Stock as are to be issued to such Employee in accordance with the Corporate Equity Incentive Plan; </w:t>
      </w:r>
    </w:p>
    <w:p>
      <w:pPr>
        <w:pStyle w:val="TextBody"/>
        <w:bidi w:val="0"/>
        <w:spacing w:before="240" w:after="0"/>
        <w:jc w:val="left"/>
        <w:rPr>
          <w:rFonts w:ascii="Times New Roman" w:hAnsi="Times New Roman"/>
          <w:sz w:val="20"/>
        </w:rPr>
      </w:pPr>
      <w:r>
        <w:rPr>
          <w:rFonts w:ascii="Times New Roman" w:hAnsi="Times New Roman"/>
          <w:sz w:val="20"/>
        </w:rPr>
        <w:t>(ii) On the date that the Value of such shares is includible in taxable income of such Employee (such date, the “</w:t>
      </w:r>
      <w:r>
        <w:rPr>
          <w:rFonts w:ascii="Times New Roman" w:hAnsi="Times New Roman"/>
          <w:b/>
          <w:i/>
          <w:sz w:val="20"/>
        </w:rPr>
        <w:t>Vesting</w:t>
      </w:r>
      <w:r>
        <w:rPr>
          <w:rFonts w:ascii="Times New Roman" w:hAnsi="Times New Roman"/>
          <w:sz w:val="20"/>
        </w:rPr>
        <w:t> </w:t>
      </w:r>
      <w:r>
        <w:rPr>
          <w:rFonts w:ascii="Times New Roman" w:hAnsi="Times New Roman"/>
          <w:b/>
          <w:i/>
          <w:sz w:val="20"/>
        </w:rPr>
        <w:t>Date</w:t>
      </w:r>
      <w:r>
        <w:rPr>
          <w:rFonts w:ascii="Times New Roman" w:hAnsi="Times New Roman"/>
          <w:sz w:val="20"/>
        </w:rPr>
        <w:t xml:space="preserve">”), the following events will be deemed to have occurred: (1) PubCo shall be deemed to have sold such shares of Class A Common Stock to the Company (or if such Employee is an employee of, or other service provider to, a Subsidiary, to such Subsidiary) for a purchase price equal to the Value of such shares of Class A Common Stock, (2) the Company (or such Subsidiary) shall be deemed to have delivered such shares of Class A Common Stock to such Employee, (3) PubCo shall be deemed to have contributed the purchase price for such shares of Class A Common Stock to the Company as a Capital Contribution, and (4) in the case where such Employee is an employee of a Subsidiary, the Company shall be deemed to have contributed such amount to the capital of the Subsidiary; and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shall issue to PubCo on the Vesting Date a number of Common Units equal to the number of shares of Class A Common Stock issued under </w:t>
      </w:r>
      <w:r>
        <w:rPr>
          <w:rFonts w:ascii="Times New Roman" w:hAnsi="Times New Roman"/>
          <w:sz w:val="20"/>
          <w:u w:val="single"/>
        </w:rPr>
        <w:t>Section 3.10(c)(i)</w:t>
      </w:r>
      <w:r>
        <w:rPr>
          <w:rFonts w:ascii="Times New Roman" w:hAnsi="Times New Roman"/>
          <w:sz w:val="20"/>
        </w:rPr>
        <w:t xml:space="preserve"> in consideration for a Capital Contribution that PubCo is deemed to make to the Company pursuant to clause (3) of </w:t>
      </w:r>
      <w:r>
        <w:rPr>
          <w:rFonts w:ascii="Times New Roman" w:hAnsi="Times New Roman"/>
          <w:sz w:val="20"/>
          <w:u w:val="single"/>
        </w:rPr>
        <w:t>Section 3.10(c)(ii)</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number of shares of Class A Common Stock issued to the Employee under Section</w:t>
      </w:r>
      <w:r>
        <w:rPr>
          <w:rFonts w:ascii="Times New Roman" w:hAnsi="Times New Roman"/>
          <w:sz w:val="20"/>
          <w:u w:val="single"/>
        </w:rPr>
        <w:t> 3.10(c)(i)</w:t>
      </w:r>
      <w:r>
        <w:rPr>
          <w:rFonts w:ascii="Times New Roman" w:hAnsi="Times New Roman"/>
          <w:sz w:val="20"/>
        </w:rPr>
        <w:t>, the number of shares of Class A Common Stock sold to the Company or a Subsidiary under Section</w:t>
      </w:r>
      <w:r>
        <w:rPr>
          <w:rFonts w:ascii="Times New Roman" w:hAnsi="Times New Roman"/>
          <w:sz w:val="20"/>
          <w:u w:val="single"/>
        </w:rPr>
        <w:t> 3.10(c)(ii)(1)</w:t>
      </w:r>
      <w:r>
        <w:rPr>
          <w:rFonts w:ascii="Times New Roman" w:hAnsi="Times New Roman"/>
          <w:sz w:val="20"/>
        </w:rPr>
        <w:t xml:space="preserve">, the number of shares of Class A Common Stock delivered to the Employee under </w:t>
      </w:r>
      <w:r>
        <w:rPr>
          <w:rFonts w:ascii="Times New Roman" w:hAnsi="Times New Roman"/>
          <w:sz w:val="20"/>
          <w:u w:val="single"/>
        </w:rPr>
        <w:t>Section 3.10(c)(ii)(2)</w:t>
      </w:r>
      <w:r>
        <w:rPr>
          <w:rFonts w:ascii="Times New Roman" w:hAnsi="Times New Roman"/>
          <w:sz w:val="20"/>
        </w:rPr>
        <w:t xml:space="preserve">, and the number of Common Units received by PubCo under </w:t>
      </w:r>
      <w:r>
        <w:rPr>
          <w:rFonts w:ascii="Times New Roman" w:hAnsi="Times New Roman"/>
          <w:sz w:val="20"/>
          <w:u w:val="single"/>
        </w:rPr>
        <w:t>Section 3.10(c)(iii)</w:t>
      </w:r>
      <w:r>
        <w:rPr>
          <w:rFonts w:ascii="Times New Roman" w:hAnsi="Times New Roman"/>
          <w:sz w:val="20"/>
        </w:rPr>
        <w:t xml:space="preserve"> shall be reduced so as to account for any payroll, withholding, or other taxes that an Employee elects to net settle in connection with the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3.10(b)</w:t>
      </w:r>
      <w:r>
        <w:rPr>
          <w:rFonts w:ascii="Times New Roman" w:hAnsi="Times New Roman"/>
          <w:sz w:val="20"/>
        </w:rPr>
        <w:t xml:space="preserve"> and this </w:t>
      </w:r>
      <w:r>
        <w:rPr>
          <w:rFonts w:ascii="Times New Roman" w:hAnsi="Times New Roman"/>
          <w:sz w:val="20"/>
          <w:u w:val="single"/>
        </w:rPr>
        <w:t>Section 3.10(c)</w:t>
      </w:r>
      <w:r>
        <w:rPr>
          <w:rFonts w:ascii="Times New Roman" w:hAnsi="Times New Roman"/>
          <w:sz w:val="20"/>
        </w:rPr>
        <w:t xml:space="preserve"> are intended to be consistent with the operation of Treasury Regulations Section 1.1032-3 and shall be interpreted consistently therewith.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Future Equity Incentive Plans</w:t>
      </w:r>
      <w:r>
        <w:rPr>
          <w:rFonts w:ascii="Times New Roman" w:hAnsi="Times New Roman"/>
          <w:i/>
          <w:sz w:val="20"/>
        </w:rPr>
        <w:t xml:space="preserve">. </w:t>
      </w:r>
      <w:r>
        <w:rPr>
          <w:rFonts w:ascii="Times New Roman" w:hAnsi="Times New Roman"/>
          <w:sz w:val="20"/>
        </w:rPr>
        <w:t xml:space="preserve">Nothing in this Agreement shall be construed or applied to preclude or restrain PubCo from adopting, modifying or terminating equity incentive plans for the benefit of employees, directors or other business associates of PubCo, the Company or any of their respective Affiliates. The Members acknowledge and agree that, in the event that any such plan is adopted, modified or terminated by PubCo, amendments to this </w:t>
      </w:r>
      <w:r>
        <w:rPr>
          <w:rFonts w:ascii="Times New Roman" w:hAnsi="Times New Roman"/>
          <w:sz w:val="20"/>
          <w:u w:val="single"/>
        </w:rPr>
        <w:t>Section 3.10</w:t>
      </w:r>
      <w:r>
        <w:rPr>
          <w:rFonts w:ascii="Times New Roman" w:hAnsi="Times New Roman"/>
          <w:sz w:val="20"/>
        </w:rPr>
        <w:t xml:space="preserve"> may become necessary or advisable and that any approval or consent to any such amendments requested by PubCo shall be deemed granted by the Manager and the Members, as applicable, without the requirement of any further consent or acknowledgement of any other Member. In the event that any employee share purchase plan or similar plan is adopted by PubCo, </w:t>
      </w:r>
      <w:r>
        <w:rPr>
          <w:rFonts w:ascii="Times New Roman" w:hAnsi="Times New Roman"/>
          <w:sz w:val="20"/>
          <w:u w:val="single"/>
        </w:rPr>
        <w:t>Section 3.10(b)</w:t>
      </w:r>
      <w:r>
        <w:rPr>
          <w:rFonts w:ascii="Times New Roman" w:hAnsi="Times New Roman"/>
          <w:sz w:val="20"/>
        </w:rPr>
        <w:t xml:space="preserve"> shall be applied to any share purchases thereunder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Anti-dilution adjustments</w:t>
      </w:r>
      <w:r>
        <w:rPr>
          <w:rFonts w:ascii="Times New Roman" w:hAnsi="Times New Roman"/>
          <w:i/>
          <w:sz w:val="20"/>
        </w:rPr>
        <w:t xml:space="preserve">. </w:t>
      </w:r>
      <w:r>
        <w:rPr>
          <w:rFonts w:ascii="Times New Roman" w:hAnsi="Times New Roman"/>
          <w:sz w:val="20"/>
        </w:rPr>
        <w:t xml:space="preserve">For all purposes of this </w:t>
      </w:r>
      <w:r>
        <w:rPr>
          <w:rFonts w:ascii="Times New Roman" w:hAnsi="Times New Roman"/>
          <w:sz w:val="20"/>
          <w:u w:val="single"/>
        </w:rPr>
        <w:t>Section 3.10</w:t>
      </w:r>
      <w:r>
        <w:rPr>
          <w:rFonts w:ascii="Times New Roman" w:hAnsi="Times New Roman"/>
          <w:sz w:val="20"/>
        </w:rPr>
        <w:t xml:space="preserve">, the number of shares of Class A Common Stock and the corresponding number 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Corporate Equity Incentive Plan and applicable award or grant documentation.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Dividend Reinvestment Plan or Other Plan</w:t>
      </w:r>
      <w:r>
        <w:rPr>
          <w:rFonts w:ascii="Times New Roman" w:hAnsi="Times New Roman"/>
          <w:sz w:val="20"/>
        </w:rPr>
        <w:t xml:space="preserve">. Except as may otherwise be provided in this </w:t>
      </w:r>
      <w:r>
        <w:rPr>
          <w:rFonts w:ascii="Times New Roman" w:hAnsi="Times New Roman"/>
          <w:sz w:val="20"/>
          <w:u w:val="single"/>
        </w:rPr>
        <w:t>Article III</w:t>
      </w:r>
      <w:r>
        <w:rPr>
          <w:rFonts w:ascii="Times New Roman" w:hAnsi="Times New Roman"/>
          <w:sz w:val="20"/>
        </w:rPr>
        <w:t xml:space="preserve">, all amounts received or deemed received by PubCo in respect of any dividend reinvestment plan or other stock or subscription plan or agreement, if any, either (a) shall be utilized by PubCo to effect open market purchases of shares of Class A Common Stock, or (b) if PubCo elects instead to issue new shares of Class A Common Stock with respect to such amounts, shall be contributed by PubCo to the Company in exchange for a number of additional Common Units equal to the number of new shares of Class A Common Stock so issued. In connection with any transaction described in this </w:t>
      </w:r>
      <w:r>
        <w:rPr>
          <w:rFonts w:ascii="Times New Roman" w:hAnsi="Times New Roman"/>
          <w:sz w:val="20"/>
          <w:u w:val="single"/>
        </w:rPr>
        <w:t>Section 3.11</w:t>
      </w:r>
      <w:r>
        <w:rPr>
          <w:rFonts w:ascii="Times New Roman" w:hAnsi="Times New Roman"/>
          <w:sz w:val="20"/>
        </w:rPr>
        <w:t xml:space="preserve">, the Manager shall be permitted to cause the Company to make such issuances or redemptions of Common Units, or make such adjustments to the capitalization of the Company, as necessary to preserve the one-to-one ratios described in </w:t>
      </w:r>
      <w:r>
        <w:rPr>
          <w:rFonts w:ascii="Times New Roman" w:hAnsi="Times New Roman"/>
          <w:sz w:val="20"/>
          <w:u w:val="single"/>
        </w:rPr>
        <w:t>Section 3.04(a)(i)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Distributions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Distributable Cash; Other Distributions</w:t>
      </w:r>
      <w:r>
        <w:rPr>
          <w:rFonts w:ascii="Times New Roman" w:hAnsi="Times New Roman"/>
          <w:i/>
          <w:sz w:val="20"/>
        </w:rPr>
        <w:t xml:space="preserve">. </w:t>
      </w:r>
      <w:r>
        <w:rPr>
          <w:rFonts w:ascii="Times New Roman" w:hAnsi="Times New Roman"/>
          <w:sz w:val="20"/>
        </w:rPr>
        <w:t xml:space="preserve">To the extent permitted by applicable Law and hereunder, Distributions to Members may be declared by the Manager out of Distributable Cash or other funds or property legally available therefor in such amounts, at such time and on such terms (including the payment dates of such Distributions) as the Manager in its sole discretion shall determine using such record date as the Manager may designate. All Distributions made under this </w:t>
      </w:r>
      <w:r>
        <w:rPr>
          <w:rFonts w:ascii="Times New Roman" w:hAnsi="Times New Roman"/>
          <w:sz w:val="20"/>
          <w:u w:val="single"/>
        </w:rPr>
        <w:t>Section 4.01</w:t>
      </w:r>
      <w:r>
        <w:rPr>
          <w:rFonts w:ascii="Times New Roman" w:hAnsi="Times New Roman"/>
          <w:sz w:val="20"/>
        </w:rPr>
        <w:t xml:space="preserve"> shall be made to the Members as of the close of business on such record date on </w:t>
      </w:r>
      <w:r>
        <w:rPr>
          <w:rFonts w:ascii="Times New Roman" w:hAnsi="Times New Roman"/>
          <w:i/>
          <w:sz w:val="20"/>
        </w:rPr>
        <w:t xml:space="preserve">a pro rata </w:t>
      </w:r>
      <w:r>
        <w:rPr>
          <w:rFonts w:ascii="Times New Roman" w:hAnsi="Times New Roman"/>
          <w:sz w:val="20"/>
        </w:rPr>
        <w:t xml:space="preserve">basis in accordance with each Member’s Percentage Interest; </w:t>
      </w:r>
      <w:r>
        <w:rPr>
          <w:rFonts w:ascii="Times New Roman" w:hAnsi="Times New Roman"/>
          <w:i/>
          <w:sz w:val="20"/>
        </w:rPr>
        <w:t xml:space="preserve">provided, however, </w:t>
      </w:r>
      <w:r>
        <w:rPr>
          <w:rFonts w:ascii="Times New Roman" w:hAnsi="Times New Roman"/>
          <w:sz w:val="20"/>
        </w:rPr>
        <w:t xml:space="preserve">that the Manager shall have the obligation to make Distributions as set forth in </w:t>
      </w:r>
      <w:r>
        <w:rPr>
          <w:rFonts w:ascii="Times New Roman" w:hAnsi="Times New Roman"/>
          <w:sz w:val="20"/>
          <w:u w:val="single"/>
        </w:rPr>
        <w:t>Sections 4.01(b)</w:t>
      </w:r>
      <w:r>
        <w:rPr>
          <w:rFonts w:ascii="Times New Roman" w:hAnsi="Times New Roman"/>
          <w:sz w:val="20"/>
        </w:rPr>
        <w:t xml:space="preserve"> and </w:t>
      </w:r>
      <w:r>
        <w:rPr>
          <w:rFonts w:ascii="Times New Roman" w:hAnsi="Times New Roman"/>
          <w:sz w:val="20"/>
          <w:u w:val="single"/>
        </w:rPr>
        <w:t>14.02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any Vested Units or Unvested Units are forfeited as a result of the forfeiture of the Corresponding Management Units, the former Member holding such Units shall have no right to receive any further Distributions with respect to such Units. Notwithstanding any other provision herein to the contrary, no Distributions shall be made to any Member to the extent such Distribution would render the Company insolvent or violate the Delaware Act. For purposes of the foregoing sentence, insolvency means the inability of the Company to meet its payment obligations when due.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Tax Distributions</w:t>
      </w:r>
      <w:r>
        <w:rPr>
          <w:rFonts w:ascii="Times New Roman" w:hAnsi="Times New Roman"/>
          <w:sz w:val="20"/>
        </w:rPr>
        <w:t>. With respect to each Taxable Year, the Company shall, to the extent of available cash and subject to any restrictions under applicable Law or the terms of any Credit Agreement, make cash distributions (“</w:t>
      </w:r>
      <w:r>
        <w:rPr>
          <w:rFonts w:ascii="Times New Roman" w:hAnsi="Times New Roman"/>
          <w:b/>
          <w:i/>
          <w:sz w:val="20"/>
        </w:rPr>
        <w:t>Tax Distributions</w:t>
      </w:r>
      <w:r>
        <w:rPr>
          <w:rFonts w:ascii="Times New Roman" w:hAnsi="Times New Roman"/>
          <w:sz w:val="20"/>
        </w:rPr>
        <w:t xml:space="preserve">”) to each Member, pro rata, in accordance with each Member’s Percentage Interest (based on Units held at the time of the applicable Tax Distribution) at such times and in such amounts as necessary for (x) each Member to receive an amount of Tax Distributions at least equal to such Member’s Assumed Tax Liability and (y) PubCo to meet its obligations pursuant to the Tax Receivable Agreement. In the event of any Transfer of any or all of a Member’s Units, such Member’s Assumed Tax Liability will be equitably adjusted, in the Manager’s reasonable discretion in consultation with the AS Representative, based on the Units Transferred and the Units retained (if any). The Company shall make such Tax Distributions based on estimated information on or prior to each Tax Distribution Date with respect to the applicable Taxable Year. If, after the allocation of the Company’s net taxable income or loss has been determined for a Taxable Year, a Member has a shortfall in the amount of Tax Distributions that such Member received with respect to such Taxable Year, the Company shall make additional Tax Distributions to the Members, pro rata in accordance with each Member’s Percentage Interest (based on Units held at the time of the additional Tax Distributions), until such Member receives an amount at least equal to such shortfall. The amount of Tax Distributions required to be made in respect of any Taxable Year shall be computed as if any distribution made pursuant to </w:t>
      </w:r>
      <w:r>
        <w:rPr>
          <w:rFonts w:ascii="Times New Roman" w:hAnsi="Times New Roman"/>
          <w:sz w:val="20"/>
          <w:u w:val="single"/>
        </w:rPr>
        <w:t>Section 4.01(a)</w:t>
      </w:r>
      <w:r>
        <w:rPr>
          <w:rFonts w:ascii="Times New Roman" w:hAnsi="Times New Roman"/>
          <w:sz w:val="20"/>
        </w:rPr>
        <w:t xml:space="preserve"> during such Taxable Year were a Tax Distribution in respect of such Taxable Year. To the extent that the Company has insufficient available cash to make, or applicable Law or the terms of any Credit Agreement prevent the Company from making, the full amount of Tax Distributions required by this </w:t>
      </w:r>
      <w:r>
        <w:rPr>
          <w:rFonts w:ascii="Times New Roman" w:hAnsi="Times New Roman"/>
          <w:sz w:val="20"/>
          <w:u w:val="single"/>
        </w:rPr>
        <w:t>Section 4.01(b)</w:t>
      </w:r>
      <w:r>
        <w:rPr>
          <w:rFonts w:ascii="Times New Roman" w:hAnsi="Times New Roman"/>
          <w:sz w:val="20"/>
        </w:rPr>
        <w:t xml:space="preserve">, each Member’s Tax Distributions shall be reduced proportionately based on the amount of Tax Distributions such Member would have received absent such shortage of available cash or the existence of such restrictions and the Company shall make future Tax Distributions in respect of such reduction as soon as reasonably practicable after the Company obtains sufficient available cash or such restrictions are no longer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Transfer of Units</w:t>
      </w:r>
      <w:r>
        <w:rPr>
          <w:rFonts w:ascii="Times New Roman" w:hAnsi="Times New Roman"/>
          <w:sz w:val="20"/>
        </w:rPr>
        <w:t xml:space="preserve">. If all or a portion of a Member’s Units are transferred, sold or otherwise disposed, then the transferor shall have no right to receive any further Distributions under </w:t>
      </w:r>
      <w:r>
        <w:rPr>
          <w:rFonts w:ascii="Times New Roman" w:hAnsi="Times New Roman"/>
          <w:sz w:val="20"/>
          <w:u w:val="single"/>
        </w:rPr>
        <w:t>Section 4.01(a)</w:t>
      </w:r>
      <w:r>
        <w:rPr>
          <w:rFonts w:ascii="Times New Roman" w:hAnsi="Times New Roman"/>
          <w:sz w:val="20"/>
        </w:rPr>
        <w:t xml:space="preserve"> in respect of such transferred Units and any subsequent Distributions to the transferee shall be determined with regard to amounts previously distributed to the transferor.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4"/>
        </w:rPr>
      </w:pPr>
      <w:r>
        <w:rPr>
          <w:rFonts w:ascii="Times New Roman" w:hAnsi="Times New Roman"/>
          <w:sz w:val="24"/>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CAPITAL ACCOUNTS; ALLOCATIONS; 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Capital Accounts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maintain a separate Capital Account for each Member according to the rules of Treasury Regulations Section 1.704-1(b)(2)(iv). For this purpose, the Company may (in the discretion of the Manager), upon the occurrence of the events specified in Treasury Regulation Section 1.704-1(b)(2)(iv)(f) (or any other event to the extent determined by the Manager to be permitted under applicable law), increase or decrease the Book Values of the Company’s properties and the Capital Accounts in accordance with the rules of such Treasury Regulation and Treasury Regulation Section 1.704-1(b)(2)(iv)(g) (and any other applicable Treasury Regulations under Code Section 704(b)) to reflect a revaluation of the Company’s property.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computing the amount of any item of income, gain, loss or deduction with respect to the Company to be allocated pursuant to this </w:t>
      </w:r>
      <w:r>
        <w:rPr>
          <w:rFonts w:ascii="Times New Roman" w:hAnsi="Times New Roman"/>
          <w:sz w:val="20"/>
          <w:u w:val="single"/>
        </w:rPr>
        <w:t>Article V</w:t>
      </w:r>
      <w:r>
        <w:rPr>
          <w:rFonts w:ascii="Times New Roman" w:hAnsi="Times New Roman"/>
          <w:sz w:val="20"/>
        </w:rPr>
        <w:t xml:space="preserve"> and to be reflected in the 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Times New Roman" w:hAnsi="Times New Roman"/>
          <w:i/>
          <w:sz w:val="20"/>
        </w:rPr>
        <w:t xml:space="preserve">provided, however, </w:t>
      </w:r>
      <w:r>
        <w:rPr>
          <w:rFonts w:ascii="Times New Roman" w:hAnsi="Times New Roman"/>
          <w:sz w:val="20"/>
        </w:rPr>
        <w:t xml:space="preserve">that: </w:t>
      </w:r>
    </w:p>
    <w:p>
      <w:pPr>
        <w:pStyle w:val="TextBody"/>
        <w:bidi w:val="0"/>
        <w:spacing w:before="240" w:after="0"/>
        <w:jc w:val="left"/>
        <w:rPr>
          <w:rFonts w:ascii="Times New Roman" w:hAnsi="Times New Roman"/>
          <w:sz w:val="20"/>
        </w:rPr>
      </w:pPr>
      <w:r>
        <w:rPr>
          <w:rFonts w:ascii="Times New Roman" w:hAnsi="Times New Roman"/>
          <w:sz w:val="20"/>
        </w:rPr>
        <w:t xml:space="preserve">(i) The computation of all items of income, gain, loss and deduction shall include those items described in Code Section 705(a)(1)(B) or Code Section 705(a)(2)(B) and Treasury Regulation Section 1.704-1(b)(2)(iv)(i), without regard to the fact that such items are not includible in gross income or are not deductible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(ii) If the Book Value of any property of the Company is adjusted pursuant to </w:t>
      </w:r>
      <w:r>
        <w:rPr>
          <w:rFonts w:ascii="Times New Roman" w:hAnsi="Times New Roman"/>
          <w:sz w:val="20"/>
          <w:u w:val="single"/>
        </w:rPr>
        <w:t>Section 5.01(a)</w:t>
      </w:r>
      <w:r>
        <w:rPr>
          <w:rFonts w:ascii="Times New Roman" w:hAnsi="Times New Roman"/>
          <w:sz w:val="20"/>
        </w:rPr>
        <w:t xml:space="preserve"> or Treasury Regulation Section 1.704-1(b)(2)(iv)(e), the amount of such adjustment shall be taken into account as gain or loss from the disposition of such property. </w:t>
      </w:r>
    </w:p>
    <w:p>
      <w:pPr>
        <w:pStyle w:val="TextBody"/>
        <w:bidi w:val="0"/>
        <w:spacing w:before="240" w:after="0"/>
        <w:jc w:val="left"/>
        <w:rPr>
          <w:rFonts w:ascii="Times New Roman" w:hAnsi="Times New Roman"/>
          <w:sz w:val="20"/>
        </w:rPr>
      </w:pPr>
      <w:r>
        <w:rPr>
          <w:rFonts w:ascii="Times New Roman" w:hAnsi="Times New Roman"/>
          <w:sz w:val="20"/>
        </w:rPr>
        <w:t xml:space="preserve">(iii) Items of income, gain, loss or deduction attributable to the disposition of property of the Company having a Book Value that differs from its adjusted basis for tax purposes shall be computed by reference to the Book Value of such property. </w:t>
      </w:r>
    </w:p>
    <w:p>
      <w:pPr>
        <w:pStyle w:val="TextBody"/>
        <w:bidi w:val="0"/>
        <w:spacing w:before="240" w:after="0"/>
        <w:jc w:val="left"/>
        <w:rPr>
          <w:rFonts w:ascii="Times New Roman" w:hAnsi="Times New Roman"/>
          <w:sz w:val="20"/>
        </w:rPr>
      </w:pPr>
      <w:r>
        <w:rPr>
          <w:rFonts w:ascii="Times New Roman" w:hAnsi="Times New Roman"/>
          <w:sz w:val="20"/>
        </w:rPr>
        <w:t xml:space="preserve">(iv) Items of depreciation, amortization and other cost recovery deductions with respect to property of the Company having a Book Value that differs from its adjusted basis for tax purposes shall be computed by reference to the property’s Book Value in accordance with Treasury Regulation Section 1.704-1(b)(2)(iv)(g). </w:t>
      </w:r>
    </w:p>
    <w:p>
      <w:pPr>
        <w:pStyle w:val="TextBody"/>
        <w:bidi w:val="0"/>
        <w:spacing w:before="240" w:after="0"/>
        <w:jc w:val="left"/>
        <w:rPr>
          <w:rFonts w:ascii="Times New Roman" w:hAnsi="Times New Roman"/>
          <w:sz w:val="20"/>
        </w:rPr>
      </w:pPr>
      <w:r>
        <w:rPr>
          <w:rFonts w:ascii="Times New Roman" w:hAnsi="Times New Roman"/>
          <w:sz w:val="20"/>
        </w:rPr>
        <w:t xml:space="preserve">(v) To the extent an adjustment to the adjusted tax basis of any asset of the Company pursuant to Code Sections 732(d), 734(b) or 743(b)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Allocations</w:t>
      </w:r>
      <w:r>
        <w:rPr>
          <w:rFonts w:ascii="Times New Roman" w:hAnsi="Times New Roman"/>
          <w:sz w:val="20"/>
        </w:rPr>
        <w:t xml:space="preserve">. Except as otherwise provided in </w:t>
      </w:r>
      <w:r>
        <w:rPr>
          <w:rFonts w:ascii="Times New Roman" w:hAnsi="Times New Roman"/>
          <w:sz w:val="20"/>
          <w:u w:val="single"/>
        </w:rPr>
        <w:t>Section 5.03</w:t>
      </w:r>
      <w:r>
        <w:rPr>
          <w:rFonts w:ascii="Times New Roman" w:hAnsi="Times New Roman"/>
          <w:sz w:val="20"/>
        </w:rPr>
        <w:t xml:space="preserve"> and </w:t>
      </w:r>
      <w:r>
        <w:rPr>
          <w:rFonts w:ascii="Times New Roman" w:hAnsi="Times New Roman"/>
          <w:sz w:val="20"/>
          <w:u w:val="single"/>
        </w:rPr>
        <w:t>Section 5.04</w:t>
      </w:r>
      <w:r>
        <w:rPr>
          <w:rFonts w:ascii="Times New Roman" w:hAnsi="Times New Roman"/>
          <w:sz w:val="20"/>
        </w:rPr>
        <w:t xml:space="preserve"> (and excluding any Profits or Losses allocated pursuant to such sections), Net Profits and Net Losses for any Taxable Year or other Fiscal Period (and to the extent determined necessary and appropriate by the Manager, any allocable items of gross income, gain, loss and expense includable in the computation of Profits and Losses) shall be allocated among the Members in a manner such that, after giving effect to the special allocations set forth in </w:t>
      </w:r>
      <w:r>
        <w:rPr>
          <w:rFonts w:ascii="Times New Roman" w:hAnsi="Times New Roman"/>
          <w:sz w:val="20"/>
          <w:u w:val="single"/>
        </w:rPr>
        <w:t>Section 5.03</w:t>
      </w:r>
      <w:r>
        <w:rPr>
          <w:rFonts w:ascii="Times New Roman" w:hAnsi="Times New Roman"/>
          <w:sz w:val="20"/>
        </w:rPr>
        <w:t xml:space="preserve"> and all Distributions through the end of such Taxable Year or other Fiscal Period, the Capital Account balances of the Members (for this purpose, increasing a Member’s Capital Account balance by such Member’s share of Minimum Gain or Partner Nonrecourse Debt Minimum Gain) are, as nearly as possible, pro rata in accordance with their respective Percentage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Regulatory Allocations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Losses attributable to partner nonrecourse debt (as defined in Treasury Regulation Section 1.704-2(b)(4)) shall be allocated in the manner required by Treasury Regulation Section 1.704-2(i). If there is a net decrease during a Taxable Year or other Fiscal Period in Partner Nonrecourse Debt Minimum Gain, Profits for such Taxable Year or other Fiscal Period (and, if necessary, for subsequent Taxable Years or other Fiscal Periods) shall be allocated to the Members in the amounts and of such character as determined according to Treasury Regulation Section 1.704-2(i)(4). This </w:t>
      </w:r>
      <w:r>
        <w:rPr>
          <w:rFonts w:ascii="Times New Roman" w:hAnsi="Times New Roman"/>
          <w:sz w:val="20"/>
          <w:u w:val="single"/>
        </w:rPr>
        <w:t>Section 5.03(a)</w:t>
      </w:r>
      <w:r>
        <w:rPr>
          <w:rFonts w:ascii="Times New Roman" w:hAnsi="Times New Roman"/>
          <w:sz w:val="20"/>
        </w:rPr>
        <w:t xml:space="preserve"> is intended to be a partner nonrecourse debt minimum gain chargeback provision that complies with the requirements of Treasury Regulation Section 1.704-1(i) and shall be interpreted in a manner consistent therewith. </w:t>
      </w:r>
    </w:p>
    <w:p>
      <w:pPr>
        <w:pStyle w:val="TextBody"/>
        <w:bidi w:val="0"/>
        <w:spacing w:before="240" w:after="0"/>
        <w:jc w:val="left"/>
        <w:rPr>
          <w:rFonts w:ascii="Times New Roman" w:hAnsi="Times New Roman"/>
          <w:sz w:val="20"/>
        </w:rPr>
      </w:pPr>
      <w:r>
        <w:rPr>
          <w:rFonts w:ascii="Times New Roman" w:hAnsi="Times New Roman"/>
          <w:sz w:val="20"/>
        </w:rPr>
        <w:t xml:space="preserve">(b) Nonrecourse deductions (as determined according to Treasury Regulation Section 1.704-2(c)) for any Taxable Year or other Fiscal Period shall be allocated pro rata among the Members in accordance with their Percentage Interests. If there is a net decrease in the Minimum Gain during any Taxable Year or other Fiscal Period, each Member shall be allocated Profits for such Taxable Year or other Fiscal Period (and, if necessary, for subsequent Taxable Years or other Fiscal Periods) in the amounts and of such character as determined according to Treasury Regulation Section 1.704-2(f). This </w:t>
      </w:r>
      <w:r>
        <w:rPr>
          <w:rFonts w:ascii="Times New Roman" w:hAnsi="Times New Roman"/>
          <w:sz w:val="20"/>
          <w:u w:val="single"/>
        </w:rPr>
        <w:t>Section 5.03(b)</w:t>
      </w:r>
      <w:r>
        <w:rPr>
          <w:rFonts w:ascii="Times New Roman" w:hAnsi="Times New Roman"/>
          <w:sz w:val="20"/>
        </w:rPr>
        <w:t xml:space="preserve"> is intended to be a minimum gain chargeback provision that complies with the requirements of Treasury Regulation Section 1.704-2(f) and shall be interpreted in a manner consistent therewith. </w:t>
      </w:r>
    </w:p>
    <w:p>
      <w:pPr>
        <w:pStyle w:val="TextBody"/>
        <w:bidi w:val="0"/>
        <w:spacing w:before="240" w:after="0"/>
        <w:jc w:val="left"/>
        <w:rPr>
          <w:rFonts w:ascii="Times New Roman" w:hAnsi="Times New Roman"/>
          <w:sz w:val="20"/>
        </w:rPr>
      </w:pPr>
      <w:r>
        <w:rPr>
          <w:rFonts w:ascii="Times New Roman" w:hAnsi="Times New Roman"/>
          <w:sz w:val="20"/>
        </w:rPr>
        <w:t xml:space="preserve">(c) If any Member that unexpectedly receives an adjustment, allocation or distribution described in Treasury Regulation Section 1.704-1(b)(2)(ii)(d)(4), (5) or (6) has an Adjusted Capital Account Deficit as of the end of any Taxable Year or other Fiscal Period, computed after the application of </w:t>
      </w:r>
      <w:r>
        <w:rPr>
          <w:rFonts w:ascii="Times New Roman" w:hAnsi="Times New Roman"/>
          <w:sz w:val="20"/>
          <w:u w:val="single"/>
        </w:rPr>
        <w:t>Sections 5.03(a)</w:t>
      </w:r>
      <w:r>
        <w:rPr>
          <w:rFonts w:ascii="Times New Roman" w:hAnsi="Times New Roman"/>
          <w:sz w:val="20"/>
        </w:rPr>
        <w:t xml:space="preserve"> and </w:t>
      </w:r>
      <w:r>
        <w:rPr>
          <w:rFonts w:ascii="Times New Roman" w:hAnsi="Times New Roman"/>
          <w:sz w:val="20"/>
          <w:u w:val="single"/>
        </w:rPr>
        <w:t>5.03(b)</w:t>
      </w:r>
      <w:r>
        <w:rPr>
          <w:rFonts w:ascii="Times New Roman" w:hAnsi="Times New Roman"/>
          <w:sz w:val="20"/>
        </w:rPr>
        <w:t xml:space="preserve"> but before the application of any other provision of this </w:t>
      </w:r>
      <w:r>
        <w:rPr>
          <w:rFonts w:ascii="Times New Roman" w:hAnsi="Times New Roman"/>
          <w:sz w:val="20"/>
          <w:u w:val="single"/>
        </w:rPr>
        <w:t>Article V</w:t>
      </w:r>
      <w:r>
        <w:rPr>
          <w:rFonts w:ascii="Times New Roman" w:hAnsi="Times New Roman"/>
          <w:sz w:val="20"/>
        </w:rPr>
        <w:t xml:space="preserve">, then Profits for such Taxable Year or other Fiscal Period shall be allocated to such Member in proportion to, and to the extent of, such Adjusted Capital Account Deficit. This </w:t>
      </w:r>
      <w:r>
        <w:rPr>
          <w:rFonts w:ascii="Times New Roman" w:hAnsi="Times New Roman"/>
          <w:sz w:val="20"/>
          <w:u w:val="single"/>
        </w:rPr>
        <w:t>Section 5.03(c)</w:t>
      </w:r>
      <w:r>
        <w:rPr>
          <w:rFonts w:ascii="Times New Roman" w:hAnsi="Times New Roman"/>
          <w:sz w:val="20"/>
        </w:rPr>
        <w:t xml:space="preserve"> is intended to be a qualified income offset provision as described in Treasury Regulation Section 1.704-1(b)(2)(ii)(d) and shall be interpreted in a manner consistent therewith. </w:t>
      </w:r>
    </w:p>
    <w:p>
      <w:pPr>
        <w:pStyle w:val="TextBody"/>
        <w:bidi w:val="0"/>
        <w:spacing w:before="240" w:after="0"/>
        <w:jc w:val="left"/>
        <w:rPr>
          <w:rFonts w:ascii="Times New Roman" w:hAnsi="Times New Roman"/>
          <w:sz w:val="20"/>
        </w:rPr>
      </w:pPr>
      <w:r>
        <w:rPr>
          <w:rFonts w:ascii="Times New Roman" w:hAnsi="Times New Roman"/>
          <w:sz w:val="20"/>
        </w:rPr>
        <w:t xml:space="preserve">(d) If the allocation of Net Losses to a Member as provided in </w:t>
      </w:r>
      <w:r>
        <w:rPr>
          <w:rFonts w:ascii="Times New Roman" w:hAnsi="Times New Roman"/>
          <w:sz w:val="20"/>
          <w:u w:val="single"/>
        </w:rPr>
        <w:t>Section 5.02</w:t>
      </w:r>
      <w:r>
        <w:rPr>
          <w:rFonts w:ascii="Times New Roman" w:hAnsi="Times New Roman"/>
          <w:sz w:val="20"/>
        </w:rPr>
        <w:t xml:space="preserve"> would create or increase an Adjusted Capital Account Deficit, there shall be allocated to such Member only that amount of Losses as will not create or increase an Adjusted Capital Account Deficit. The Net Losses that would, absent the application of the preceding sentence, otherwise be allocated to such Member shall be allocated to the other Members in accordance with their relative Percentage Interests, subject to this </w:t>
      </w:r>
      <w:r>
        <w:rPr>
          <w:rFonts w:ascii="Times New Roman" w:hAnsi="Times New Roman"/>
          <w:sz w:val="20"/>
          <w:u w:val="single"/>
        </w:rPr>
        <w:t>Section 5.03(d)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Profits and Losses described in </w:t>
      </w:r>
      <w:r>
        <w:rPr>
          <w:rFonts w:ascii="Times New Roman" w:hAnsi="Times New Roman"/>
          <w:sz w:val="20"/>
          <w:u w:val="single"/>
        </w:rPr>
        <w:t>Section 5.01(b)(v)</w:t>
      </w:r>
      <w:r>
        <w:rPr>
          <w:rFonts w:ascii="Times New Roman" w:hAnsi="Times New Roman"/>
          <w:sz w:val="20"/>
        </w:rPr>
        <w:t xml:space="preserve"> shall be allocated in a manner consistent with the manner that the adjustments to the Capital Accounts are required to be made pursuant to Treasury Regulation Section 1.704-1(b)(2)(iv)(m). </w:t>
      </w:r>
    </w:p>
    <w:p>
      <w:pPr>
        <w:pStyle w:val="TextBody"/>
        <w:bidi w:val="0"/>
        <w:spacing w:before="240" w:after="0"/>
        <w:jc w:val="left"/>
        <w:rPr>
          <w:rFonts w:ascii="Times New Roman" w:hAnsi="Times New Roman"/>
          <w:sz w:val="20"/>
        </w:rPr>
      </w:pPr>
      <w:r>
        <w:rPr>
          <w:rFonts w:ascii="Times New Roman" w:hAnsi="Times New Roman"/>
          <w:sz w:val="20"/>
        </w:rPr>
        <w:t xml:space="preserve">(f) The allocations set forth in </w:t>
      </w:r>
      <w:r>
        <w:rPr>
          <w:rFonts w:ascii="Times New Roman" w:hAnsi="Times New Roman"/>
          <w:sz w:val="20"/>
          <w:u w:val="single"/>
        </w:rPr>
        <w:t>Section 5.03(a)</w:t>
      </w:r>
      <w:r>
        <w:rPr>
          <w:rFonts w:ascii="Times New Roman" w:hAnsi="Times New Roman"/>
          <w:sz w:val="20"/>
        </w:rPr>
        <w:t xml:space="preserve"> through and including </w:t>
      </w:r>
      <w:r>
        <w:rPr>
          <w:rFonts w:ascii="Times New Roman" w:hAnsi="Times New Roman"/>
          <w:sz w:val="20"/>
          <w:u w:val="single"/>
        </w:rPr>
        <w:t>Section 5.03(e)</w:t>
      </w:r>
      <w:r>
        <w:rPr>
          <w:rFonts w:ascii="Times New Roman" w:hAnsi="Times New Roman"/>
          <w:sz w:val="20"/>
        </w:rPr>
        <w:t xml:space="preserve"> (the “</w:t>
      </w:r>
      <w:r>
        <w:rPr>
          <w:rFonts w:ascii="Times New Roman" w:hAnsi="Times New Roman"/>
          <w:b/>
          <w:i/>
          <w:sz w:val="20"/>
        </w:rPr>
        <w:t>Regulatory Allocations</w:t>
      </w:r>
      <w:r>
        <w:rPr>
          <w:rFonts w:ascii="Times New Roman" w:hAnsi="Times New Roman"/>
          <w:sz w:val="20"/>
        </w:rPr>
        <w:t xml:space="preserve">”) 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Times New Roman" w:hAnsi="Times New Roman"/>
          <w:sz w:val="20"/>
          <w:u w:val="single"/>
        </w:rPr>
        <w:t>Article V,</w:t>
      </w:r>
      <w:r>
        <w:rPr>
          <w:rFonts w:ascii="Times New Roman" w:hAnsi="Times New Roman"/>
          <w:sz w:val="20"/>
        </w:rPr>
        <w:t xml:space="preserve"> but subject to the Regulatory Allocations, income, gain, deduction and loss with respect to the Company may, in the reasonable discretion of the Manager,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Final Allocations</w:t>
      </w:r>
      <w:r>
        <w:rPr>
          <w:rFonts w:ascii="Times New Roman" w:hAnsi="Times New Roman"/>
          <w:sz w:val="20"/>
        </w:rPr>
        <w:t xml:space="preserve">. Notwithstanding any contrary provision in this Agreement except </w:t>
      </w:r>
      <w:r>
        <w:rPr>
          <w:rFonts w:ascii="Times New Roman" w:hAnsi="Times New Roman"/>
          <w:sz w:val="20"/>
          <w:u w:val="single"/>
        </w:rPr>
        <w:t>Section 5.03</w:t>
      </w:r>
      <w:r>
        <w:rPr>
          <w:rFonts w:ascii="Times New Roman" w:hAnsi="Times New Roman"/>
          <w:sz w:val="20"/>
        </w:rPr>
        <w:t xml:space="preserve">, the Manager may make appropriate adjustments to allocations of Profits and Losses to (or, if necessary, allocate items of gross income, gain, loss or deduction of the Company among) the Members upon the liquidation of the Company (within the meaning of Section 1.704-1(b)(2)(ii)(g) of the Treasury Regulations), the transfer of substantially all the Units (whether by sale or exchange or merger) or sale of all or substantially all the assets of the Company, such that, to the maximum extent possible, the Capital Accounts of the Members are proportionate to their Percentage Interests. In each case, such adjustments or allocations shall occur, to the maximum extent possible, in the Taxable Year of the event requiring such adjustments or allocations.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Tax Allocations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5.05(b)</w:t>
      </w:r>
      <w:r>
        <w:rPr>
          <w:rFonts w:ascii="Times New Roman" w:hAnsi="Times New Roman"/>
          <w:sz w:val="20"/>
        </w:rPr>
        <w:t xml:space="preserve">, </w:t>
      </w:r>
      <w:r>
        <w:rPr>
          <w:rFonts w:ascii="Times New Roman" w:hAnsi="Times New Roman"/>
          <w:sz w:val="20"/>
          <w:u w:val="single"/>
        </w:rPr>
        <w:t>Section 5.05(c)</w:t>
      </w:r>
      <w:r>
        <w:rPr>
          <w:rFonts w:ascii="Times New Roman" w:hAnsi="Times New Roman"/>
          <w:sz w:val="20"/>
        </w:rPr>
        <w:t xml:space="preserve"> and </w:t>
      </w:r>
      <w:r>
        <w:rPr>
          <w:rFonts w:ascii="Times New Roman" w:hAnsi="Times New Roman"/>
          <w:sz w:val="20"/>
          <w:u w:val="single"/>
        </w:rPr>
        <w:t>Section 5.05(d)</w:t>
      </w:r>
      <w:r>
        <w:rPr>
          <w:rFonts w:ascii="Times New Roman" w:hAnsi="Times New Roman"/>
          <w:sz w:val="20"/>
        </w:rPr>
        <w:t xml:space="preserve">, the income, gains, losses and deductions of the Company will be allocated, for U.S. federal, state and local income tax purposes, among the Members in accordance with the allocation of such income, gains, losses and deductions among the Members for purposes of computing their Capital Accounts; </w:t>
      </w:r>
      <w:r>
        <w:rPr>
          <w:rFonts w:ascii="Times New Roman" w:hAnsi="Times New Roman"/>
          <w:i/>
          <w:sz w:val="20"/>
        </w:rPr>
        <w:t xml:space="preserve">provided </w:t>
      </w:r>
      <w:r>
        <w:rPr>
          <w:rFonts w:ascii="Times New Roman" w:hAnsi="Times New Roman"/>
          <w:sz w:val="20"/>
        </w:rPr>
        <w:t xml:space="preserve">that if any such allocation is not permitted by the Code or other applicable Law, the Company’s subsequent income, gains, losses and deductions will be allocated among the Members so as to reflect as nearly as possible the allocation set forth herein in computing their Capital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Items of taxable income, gain, loss and deduction of the Company with respect to any property contributed to the Company shall be allocated among the Members in accordance with Code Section 704(c) so as to take account of any variation between the adjusted basis of such property to the Company for U.S. federal income tax purposes and its Book Value using any method permitted under applicable Law (including the traditional method with curative allocations under Treasury Regulations Section 1.704-3(c), with the curative allocations applied only to gain from the sale of such contributed property), with such choice of method to be determined in the discretion of the Company with the consent of the AS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(c) If the Book Value of any asset of the Company is adjusted pursuant to </w:t>
      </w:r>
      <w:r>
        <w:rPr>
          <w:rFonts w:ascii="Times New Roman" w:hAnsi="Times New Roman"/>
          <w:sz w:val="20"/>
          <w:u w:val="single"/>
        </w:rPr>
        <w:t>Section 5.01(a)</w:t>
      </w:r>
      <w:r>
        <w:rPr>
          <w:rFonts w:ascii="Times New Roman" w:hAnsi="Times New Roman"/>
          <w:sz w:val="20"/>
        </w:rPr>
        <w:t xml:space="preserve">, including adjustments to the Book Value of any asset of the Company in connection with the IPO, subsequent allocations of items of taxable income, gain, loss and deduction with respect to such asset shall take account of any variation between the adjusted basis of such asset for U.S. federal income tax purposes and its Book Value using any method permitted under applicable Law (including the traditional method with curative allocations under Treasury Regulations Section 1.704-3(c), with the curative allocations applied only to gain from the sale of the asset of the Company whose Book Value was adjusted), with such choice of method to be determined in the discretion of the Company with the consent of the AS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(d) Allocations of tax credits, tax credit recapture, and any items related thereto shall be allocated to the Members as reasonably determined by the Manager taking into account the principles of Treasury Regulation Section 1.704-1(b)(4)(ii). </w:t>
      </w:r>
    </w:p>
    <w:p>
      <w:pPr>
        <w:pStyle w:val="TextBody"/>
        <w:bidi w:val="0"/>
        <w:spacing w:before="240" w:after="0"/>
        <w:jc w:val="left"/>
        <w:rPr>
          <w:rFonts w:ascii="Times New Roman" w:hAnsi="Times New Roman"/>
          <w:sz w:val="20"/>
        </w:rPr>
      </w:pPr>
      <w:r>
        <w:rPr>
          <w:rFonts w:ascii="Times New Roman" w:hAnsi="Times New Roman"/>
          <w:sz w:val="20"/>
        </w:rPr>
        <w:t xml:space="preserve">(e) For purposes of determining a Member’s share of the Company’s “excess nonrecourse liabilities” within the meaning of Treasury Regulation Section 1.752-3(a)(3), each Member’s share of profits shall be determined pursuant to any proper method, as reasonably determined by the Manager with an objective of minimizing gain recognition under Section 731 of the Code to any direct or indirect partner. </w:t>
      </w:r>
    </w:p>
    <w:p>
      <w:pPr>
        <w:pStyle w:val="TextBody"/>
        <w:bidi w:val="0"/>
        <w:spacing w:before="240" w:after="0"/>
        <w:jc w:val="left"/>
        <w:rPr>
          <w:rFonts w:ascii="Times New Roman" w:hAnsi="Times New Roman"/>
          <w:sz w:val="20"/>
        </w:rPr>
      </w:pPr>
      <w:r>
        <w:rPr>
          <w:rFonts w:ascii="Times New Roman" w:hAnsi="Times New Roman"/>
          <w:sz w:val="20"/>
        </w:rPr>
        <w:t xml:space="preserve">(f) Allocations pursuant to this </w:t>
      </w:r>
      <w:r>
        <w:rPr>
          <w:rFonts w:ascii="Times New Roman" w:hAnsi="Times New Roman"/>
          <w:sz w:val="20"/>
          <w:u w:val="single"/>
        </w:rPr>
        <w:t>Section 5.05</w:t>
      </w:r>
      <w:r>
        <w:rPr>
          <w:rFonts w:ascii="Times New Roman" w:hAnsi="Times New Roman"/>
          <w:sz w:val="20"/>
        </w:rPr>
        <w:t xml:space="preserve"> are solely for purposes of U.S. federal, state and local taxes and shall not affect, or in any way be taken into account in computing, any Member’s Capital Account or share of Profits, Losses, Distributions or other items of the Company pursuant to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Indemnification and Reimbursement for Payments on Behalf of a Member</w:t>
      </w:r>
      <w:r>
        <w:rPr>
          <w:rFonts w:ascii="Times New Roman" w:hAnsi="Times New Roman"/>
          <w:sz w:val="20"/>
        </w:rPr>
        <w:t xml:space="preserve">. If the Company is obligated to pay any amount to a Governmental Entity (or otherwise makes a payment to a Governmental Entity) that is specifically attributable to a Member or a Member’s status as such (including any amounts payable by the Company pursuant to the Partnership Tax Audit Rules, U.S. federal withholding taxes, state personal property taxes and state unincorporated business taxes, but excluding payments such as payroll taxes, withholding taxes, benefits or professional association fees and the like required to be made or made voluntarily by the Company on behalf of any Member based upon such Member’s status as an employee of the Company), then such Member shall indemnify the Company in full for the entire amount paid (including interest, penalties and related expenses). The Manager may offset Distributions to which a Member is otherwise entitled under this Agreement against such Member’s obligation to indemnify the Company under this </w:t>
      </w:r>
      <w:r>
        <w:rPr>
          <w:rFonts w:ascii="Times New Roman" w:hAnsi="Times New Roman"/>
          <w:sz w:val="20"/>
          <w:u w:val="single"/>
        </w:rPr>
        <w:t>Section 5.06</w:t>
      </w:r>
      <w:r>
        <w:rPr>
          <w:rFonts w:ascii="Times New Roman" w:hAnsi="Times New Roman"/>
          <w:sz w:val="20"/>
        </w:rPr>
        <w:t xml:space="preserve"> and such Member shall be treated as receiving the full amount of such offset for the purposes of this Agreement. In addition, notwithstanding anything to the contrary, each Member agrees that any Cash Settlement such Member is entitled to receive pursuant to </w:t>
      </w:r>
      <w:r>
        <w:rPr>
          <w:rFonts w:ascii="Times New Roman" w:hAnsi="Times New Roman"/>
          <w:sz w:val="20"/>
          <w:u w:val="single"/>
        </w:rPr>
        <w:t>Article XI</w:t>
      </w:r>
      <w:r>
        <w:rPr>
          <w:rFonts w:ascii="Times New Roman" w:hAnsi="Times New Roman"/>
          <w:sz w:val="20"/>
        </w:rPr>
        <w:t xml:space="preserve"> may be offset by an amount equal to such Member’s obligation to indemnify the Company under this </w:t>
      </w:r>
      <w:r>
        <w:rPr>
          <w:rFonts w:ascii="Times New Roman" w:hAnsi="Times New Roman"/>
          <w:sz w:val="20"/>
          <w:u w:val="single"/>
        </w:rPr>
        <w:t>Section 5.06</w:t>
      </w:r>
      <w:r>
        <w:rPr>
          <w:rFonts w:ascii="Times New Roman" w:hAnsi="Times New Roman"/>
          <w:sz w:val="20"/>
        </w:rPr>
        <w:t xml:space="preserve"> and that such Member shall be treated as receiving the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such Cash Settlement and paying to the Company an amount equal to such obligation. A Member’s obligation to make payments to the Company under this </w:t>
      </w:r>
      <w:r>
        <w:rPr>
          <w:rFonts w:ascii="Times New Roman" w:hAnsi="Times New Roman"/>
          <w:sz w:val="20"/>
          <w:u w:val="single"/>
        </w:rPr>
        <w:t>Section 5.06</w:t>
      </w:r>
      <w:r>
        <w:rPr>
          <w:rFonts w:ascii="Times New Roman" w:hAnsi="Times New Roman"/>
          <w:sz w:val="20"/>
        </w:rPr>
        <w:t xml:space="preserve"> shall survive the transfer or termination of any Member’s interest in any Units of the Company, the termination of this Agreement and the dissolution, liquidation, winding up and termination of the Company. In the event that the Company has been terminated prior to the date such payment is due, such Member shall make such payment to the Manager (or its designee), which shall distribute such funds in accordance with this Agreement. The Company may pursue and enforce all rights and remedies it may have against each Member under this </w:t>
      </w:r>
      <w:r>
        <w:rPr>
          <w:rFonts w:ascii="Times New Roman" w:hAnsi="Times New Roman"/>
          <w:sz w:val="20"/>
          <w:u w:val="single"/>
        </w:rPr>
        <w:t>Section 5.06,</w:t>
      </w:r>
      <w:r>
        <w:rPr>
          <w:rFonts w:ascii="Times New Roman" w:hAnsi="Times New Roman"/>
          <w:sz w:val="20"/>
        </w:rPr>
        <w:t xml:space="preserve"> including instituting a lawsuit to collect such contribution with interest calculated at a rate per annum equal to the sum of the Base Rate plus 300 basis points (but not in excess of the highest rate per annum permitted by Law). Each Member shall use commercially reasonable efforts to furnish to the Company such information and forms as required or reasonably requested in order to comply with any Laws governing withholding of tax or in order to claim any reduced rate of, or exemption from, withholding to which the Member is legally entitled. The Company may withhold any amount that it determines is required to be withheld from any amount otherwise payable to any Member hereunder, and any such withheld amount shall be deemed to have been paid to such Member for purposes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Authority of Manager; Officer Delegation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situations in which the approval or determination of any Member(s) is specifically required by this Agreement, (i) all management powers over the business and affairs of the Company shall be exclusively vested in Manager Sub, as the sole managing member of the Company (Manager Sub, in such capacity, the “</w:t>
      </w:r>
      <w:r>
        <w:rPr>
          <w:rFonts w:ascii="Times New Roman" w:hAnsi="Times New Roman"/>
          <w:b/>
          <w:i/>
          <w:sz w:val="20"/>
        </w:rPr>
        <w:t>Manager</w:t>
      </w:r>
      <w:r>
        <w:rPr>
          <w:rFonts w:ascii="Times New Roman" w:hAnsi="Times New Roman"/>
          <w:sz w:val="20"/>
        </w:rPr>
        <w:t>”)</w:t>
      </w:r>
      <w:r>
        <w:rPr>
          <w:rFonts w:ascii="Times New Roman" w:hAnsi="Times New Roman"/>
          <w:i/>
          <w:sz w:val="20"/>
        </w:rPr>
        <w:t>,</w:t>
      </w:r>
      <w:r>
        <w:rPr>
          <w:rFonts w:ascii="Times New Roman" w:hAnsi="Times New Roman"/>
          <w:sz w:val="20"/>
        </w:rPr>
        <w:t xml:space="preserve"> (ii) the Manager shall conduct, direct and exercise full control over all activities of the Company and (iii) no other Member shall have any right, authority or power to vote, consent or approve any matter, whether under the Delaware Act, this Agreement or otherwise.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Without limiting the authority of the Manager to act on behalf of the Company, the day-to-day business and operations of the Company shall be overseen and implemented by officers of the Company (each, an “</w:t>
      </w:r>
      <w:r>
        <w:rPr>
          <w:rFonts w:ascii="Times New Roman" w:hAnsi="Times New Roman"/>
          <w:b/>
          <w:i/>
          <w:sz w:val="20"/>
        </w:rPr>
        <w:t>Officer</w:t>
      </w:r>
      <w:r>
        <w:rPr>
          <w:rFonts w:ascii="Times New Roman" w:hAnsi="Times New Roman"/>
          <w:sz w:val="20"/>
        </w:rPr>
        <w:t>” and collectively, the “</w:t>
      </w:r>
      <w:r>
        <w:rPr>
          <w:rFonts w:ascii="Times New Roman" w:hAnsi="Times New Roman"/>
          <w:b/>
          <w:i/>
          <w:sz w:val="20"/>
        </w:rPr>
        <w:t>Officers</w:t>
      </w:r>
      <w:r>
        <w:rPr>
          <w:rFonts w:ascii="Times New Roman" w:hAnsi="Times New Roman"/>
          <w:sz w:val="20"/>
        </w:rPr>
        <w:t>”)</w:t>
      </w:r>
      <w:r>
        <w:rPr>
          <w:rFonts w:ascii="Times New Roman" w:hAnsi="Times New Roman"/>
          <w:i/>
          <w:sz w:val="20"/>
        </w:rPr>
        <w:t>,</w:t>
      </w:r>
      <w:r>
        <w:rPr>
          <w:rFonts w:ascii="Times New Roman" w:hAnsi="Times New Roman"/>
          <w:sz w:val="20"/>
        </w:rPr>
        <w:t xml:space="preserve"> subject to the limitations imposed by the Manager. An Officer may, but need not, be a Member. Each Officer 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of this Agreement (including in </w:t>
      </w:r>
      <w:r>
        <w:rPr>
          <w:rFonts w:ascii="Times New Roman" w:hAnsi="Times New Roman"/>
          <w:sz w:val="20"/>
          <w:u w:val="single"/>
        </w:rPr>
        <w:t>Section 6.07</w:t>
      </w:r>
      <w:r>
        <w:rPr>
          <w:rFonts w:ascii="Times New Roman" w:hAnsi="Times New Roman"/>
          <w:sz w:val="20"/>
        </w:rPr>
        <w:t xml:space="preserve"> below), the salaries or other compensation, if any, of the Officers of the Company shall be fixed from time to time by the Manager. The authority and responsibility of the Officers shall be limited to such duties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neither the Manager nor any Officer authorized by the Manager shall have the authority, on behalf of the Company, either directly or indirectly, without the prior approval of the Manager and the holders of a majority of the Common Units then outstanding (excluding all Common Units held by PubCo Members), to take any action that would result in the failure of the Company (or any Subsidiary of the Company that is a partnership or disregarded entity for U.S. federal income tax purposes as of the Effective Date) to be taxable as a partnership (or, with respect to any such Subsidiary, as a partnership or disregarded entity) for purposes of U.S. federal income tax (or take any action that would have a similar effect), or take any position inconsistent with treating the Company as a partnership (or any such Subsidiary as a partnership or disregarded entity) for purposes of U.S. federal income tax,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Actions of the Manager</w:t>
      </w:r>
      <w:r>
        <w:rPr>
          <w:rFonts w:ascii="Times New Roman" w:hAnsi="Times New Roman"/>
          <w:sz w:val="20"/>
        </w:rPr>
        <w:t xml:space="preserve">. The Manager may act through any Officer or through any other Person or Persons to whom authority and duties have been delegated pursuant to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Resignation; No Removal</w:t>
      </w:r>
      <w:r>
        <w:rPr>
          <w:rFonts w:ascii="Times New Roman" w:hAnsi="Times New Roman"/>
          <w:sz w:val="20"/>
        </w:rPr>
        <w:t xml:space="preserve">. The Manager may resign at any time by giving written notice to the Members;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resignation shall be subject to the appointment of a new manager in accordance with </w:t>
      </w:r>
      <w:r>
        <w:rPr>
          <w:rFonts w:ascii="Times New Roman" w:hAnsi="Times New Roman"/>
          <w:sz w:val="20"/>
          <w:u w:val="single"/>
        </w:rPr>
        <w:t>Section 6.04</w:t>
      </w:r>
      <w:r>
        <w:rPr>
          <w:rFonts w:ascii="Times New Roman" w:hAnsi="Times New Roman"/>
          <w:sz w:val="20"/>
        </w:rPr>
        <w:t xml:space="preserve">. Unless otherwise specified in the notice, the resignation shall take effect upon receipt thereof by the Members (subject to the appointment of a new manager in accordance with </w:t>
      </w:r>
      <w:r>
        <w:rPr>
          <w:rFonts w:ascii="Times New Roman" w:hAnsi="Times New Roman"/>
          <w:sz w:val="20"/>
          <w:u w:val="single"/>
        </w:rPr>
        <w:t>Section 6.04</w:t>
      </w:r>
      <w:r>
        <w:rPr>
          <w:rFonts w:ascii="Times New Roman" w:hAnsi="Times New Roman"/>
          <w:sz w:val="20"/>
        </w:rPr>
        <w:t xml:space="preserve">), and the acceptance of the resignation shall not be necessary to make it effective. For the avoidance of doubt, the Members have no right under this Agreement to remove or replace the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Vacancies</w:t>
      </w:r>
      <w:r>
        <w:rPr>
          <w:rFonts w:ascii="Times New Roman" w:hAnsi="Times New Roman"/>
          <w:sz w:val="20"/>
        </w:rPr>
        <w:t xml:space="preserve">. Vacancies in the position of Manager occurring for any reason shall be filled by Manager Sub (or, if Manager Sub has ceased to exist without any successor or assign, then by PubCo or, if PubCo has ceased to exist without any successor or assign, the holders of a majority in interest of the voting capital stock of PubCo immediately prior to such cessation). For the avoidance of doubt, the Members (other than Manager Sub or, if Manager Sub has ceased to exist, PubCo) have no right under this Agreement to fill any vacancy in the position of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Transactions Between the Company and the Manager</w:t>
      </w:r>
      <w:r>
        <w:rPr>
          <w:rFonts w:ascii="Times New Roman" w:hAnsi="Times New Roman"/>
          <w:sz w:val="20"/>
        </w:rPr>
        <w:t xml:space="preserve">. The Manager may cause the Company to contract and deal with the Manager, or any Affiliate of the Manager, </w:t>
      </w:r>
      <w:r>
        <w:rPr>
          <w:rFonts w:ascii="Times New Roman" w:hAnsi="Times New Roman"/>
          <w:i/>
          <w:sz w:val="20"/>
        </w:rPr>
        <w:t xml:space="preserve">provided, </w:t>
      </w:r>
      <w:r>
        <w:rPr>
          <w:rFonts w:ascii="Times New Roman" w:hAnsi="Times New Roman"/>
          <w:sz w:val="20"/>
        </w:rPr>
        <w:t xml:space="preserve">that such contracts and dealings (other than contracts and dealings between the Company and its Subsidiaries) are on terms comparable to and competitive with those available to the Company from others dealing at arm’s length or are approved by the Members and otherwise are permitted by the Credit Agreements; </w:t>
      </w:r>
      <w:r>
        <w:rPr>
          <w:rFonts w:ascii="Times New Roman" w:hAnsi="Times New Roman"/>
          <w:i/>
          <w:sz w:val="20"/>
        </w:rPr>
        <w:t xml:space="preserve">provided </w:t>
      </w:r>
      <w:r>
        <w:rPr>
          <w:rFonts w:ascii="Times New Roman" w:hAnsi="Times New Roman"/>
          <w:sz w:val="20"/>
        </w:rPr>
        <w:t xml:space="preserve">that the foregoing shall in no way limit the Manager’s rights under </w:t>
      </w:r>
      <w:r>
        <w:rPr>
          <w:rFonts w:ascii="Times New Roman" w:hAnsi="Times New Roman"/>
          <w:sz w:val="20"/>
          <w:u w:val="single"/>
        </w:rPr>
        <w:t>Sections 3.02</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3.10</w:t>
      </w:r>
      <w:r>
        <w:rPr>
          <w:rFonts w:ascii="Times New Roman" w:hAnsi="Times New Roman"/>
          <w:sz w:val="20"/>
        </w:rPr>
        <w:t xml:space="preserve"> or </w:t>
      </w:r>
      <w:r>
        <w:rPr>
          <w:rFonts w:ascii="Times New Roman" w:hAnsi="Times New Roman"/>
          <w:sz w:val="20"/>
          <w:u w:val="single"/>
        </w:rPr>
        <w:t>3.11</w:t>
      </w:r>
      <w:r>
        <w:rPr>
          <w:rFonts w:ascii="Times New Roman" w:hAnsi="Times New Roman"/>
          <w:sz w:val="20"/>
        </w:rPr>
        <w:t xml:space="preserve">. The Members hereby approve each of the contracts or agreements between or among the Manager, the Company and their respective Affiliates entered into on or prior to the date of this Agreement that the Existing Member or the Corporate Board has approved in connection with the Reorganization or the IPO as of the date of this Agreement, including the Tax Receivable Agreement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Reimbursement for Expenses</w:t>
      </w:r>
      <w:r>
        <w:rPr>
          <w:rFonts w:ascii="Times New Roman" w:hAnsi="Times New Roman"/>
          <w:sz w:val="20"/>
        </w:rPr>
        <w:t>. The Manager shall not be compensated for its services as Manager of the Company except as expressly provided in this Agreement. The Members acknowledge and agree that, upon consummation of the IPO, PubCo’s Class A Common Stock will be publicly traded and, therefore, the Manager, through PubCo, will have access to the public capital markets and that such status and the services performed by the Manager will inure to the benefit of the Company and all Members; therefore, the Manager shall be reimbursed by the Company for any reasonable out-of-pocket expenses incurred by the Manager or PubCo on behalf of the Company, including all fees, expenses and costs associated with the Reorganization, the IPO and the transactions related thereto, any Secondary Offering or Private Sale, of being a public company (including public reporting obligations, proxy statements, stockholder meetings, stock repurchase excise taxes, Stock Exchange (or such other principal United States securities exchange on which the Class A Common Stock is listed or admitted to trading) fees, transfer agent fees, legal fees, SEC and FINRA filing fees and offering expenses), and maintaining its corporate existence. The Members further acknowledge and agree that the services performed by the Management Holdings Partners, as Employees of the Company and its Subsidiaries, will inure to the benefit of the Company and all Members; therefore, Management Holdings shall be reimbursed for any reasonable out-of-pocket expenses incurred by Management Holdings on behalf of the Company or in connection with holding its Common Units in the Company, including maintaining its corporate existence. In the event that (x) shares of Class A Common Stock are sold to underwriters in the IPO (or in any Secondary Offering) at a price per share that is lower than the price per share for which such shares of Class A Common Stock are sold to the public in the IPO (or in such Secondary Offering, as applicable) after taking into account underwriters’ discounts or commissions and brokers’ fees or commissions (such difference, the “</w:t>
      </w:r>
      <w:r>
        <w:rPr>
          <w:rFonts w:ascii="Times New Roman" w:hAnsi="Times New Roman"/>
          <w:b/>
          <w:i/>
          <w:sz w:val="20"/>
        </w:rPr>
        <w:t>Underwriters Discount</w:t>
      </w:r>
      <w:r>
        <w:rPr>
          <w:rFonts w:ascii="Times New Roman" w:hAnsi="Times New Roman"/>
          <w:sz w:val="20"/>
        </w:rPr>
        <w:t>”) or (y) shares of Class A Common Stock are sold in a Private Sale and the aggregate proceeds therefrom are reduced by the amount of brokers’ or placement agents’ fees or commissions (such difference, the “</w:t>
      </w:r>
      <w:r>
        <w:rPr>
          <w:rFonts w:ascii="Times New Roman" w:hAnsi="Times New Roman"/>
          <w:b/>
          <w:i/>
          <w:sz w:val="20"/>
        </w:rPr>
        <w:t>Placement Agent Discount</w:t>
      </w:r>
      <w:r>
        <w:rPr>
          <w:rFonts w:ascii="Times New Roman" w:hAnsi="Times New Roman"/>
          <w:sz w:val="20"/>
        </w:rPr>
        <w:t>” and, together with the Underwriters Discount, the “</w:t>
      </w:r>
      <w:r>
        <w:rPr>
          <w:rFonts w:ascii="Times New Roman" w:hAnsi="Times New Roman"/>
          <w:b/>
          <w:i/>
          <w:sz w:val="20"/>
        </w:rPr>
        <w:t>Discount</w:t>
      </w:r>
      <w:r>
        <w:rPr>
          <w:rFonts w:ascii="Times New Roman" w:hAnsi="Times New Roman"/>
          <w:sz w:val="20"/>
        </w:rPr>
        <w:t xml:space="preserve">”), if any, (i) PubCo (or a PubCo Member, to the extent PubCo contributes proceeds from the IPO, Secondary Offering or Private Sale to a PubCo Member) shall be deemed to have contributed to the Company in exchange for newly issued Common Units the full amount for which such shares of Class A Common Stock were sold to the public (or in the case of Secondary Offering that is a variable price re-offer, to the underwriter(s)) or the purchaser in a Private Sale, as applicable, and (ii) the Company shall be deemed to have paid the Discount, as applicable, as an expense. To the extent practicable, expenses incurred by the Manager, PubCo or Management Holdings on behalf of or for the benefit of the Company or otherwise reimbursable hereunder shall be billed directly to and paid by the Company and, if and to the extent any reimbursements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Manager, Management Holdings or any of their respective Affiliates by the Company pursuant to this </w:t>
      </w:r>
      <w:r>
        <w:rPr>
          <w:rFonts w:ascii="Times New Roman" w:hAnsi="Times New Roman"/>
          <w:sz w:val="20"/>
          <w:u w:val="single"/>
        </w:rPr>
        <w:t>Section 6.06</w:t>
      </w:r>
      <w:r>
        <w:rPr>
          <w:rFonts w:ascii="Times New Roman" w:hAnsi="Times New Roman"/>
          <w:sz w:val="20"/>
        </w:rPr>
        <w:t xml:space="preserve"> constitute gross income to such Person (as opposed to the repayment of advances made by such Person on behalf of the Company), such amounts shall be treated as “guaranteed payments” within the meaning of Code Section 707(c) and shall not be treated as distributions for purposes of computing the Members’ Capital Accounts (and, for the avoidance of doubt, the income from such guaranteed payments shall not be included for purposes of determining the recipient’s entitlement to Tax Distributions under this Agreement). Notwithstanding the foregoing, the Company shall not bear any income tax obligations of any PubCo Member or Management Holdings or any payments made pursuant to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Delegation of Authority</w:t>
      </w:r>
      <w:r>
        <w:rPr>
          <w:rFonts w:ascii="Times New Roman" w:hAnsi="Times New Roman"/>
          <w:sz w:val="20"/>
        </w:rPr>
        <w:t xml:space="preserve">. The Manager (a) may, from time to time, delegate to one or more Persons such authority and duties as the Manager may deem advisable, and (b) may assign titles (including chief executive officer, president, chief financial officer, chief operating officer, general counsel, senior vice president, vice president, secretary, assistant secretary, treasurer or assistant treasurer) and delegate certain authority and duties to such Persons (including, with respect to Officers, as set forth in </w:t>
      </w:r>
      <w:r>
        <w:rPr>
          <w:rFonts w:ascii="Times New Roman" w:hAnsi="Times New Roman"/>
          <w:sz w:val="20"/>
          <w:u w:val="single"/>
        </w:rPr>
        <w:t>Section 6.01(b)</w:t>
      </w:r>
      <w:r>
        <w:rPr>
          <w:rFonts w:ascii="Times New Roman" w:hAnsi="Times New Roman"/>
          <w:sz w:val="20"/>
        </w:rPr>
        <w:t xml:space="preserve">) which may be amended, restated or otherwise modified from time to time. Any number of titles may be held by the same individual. The salaries or other compensation, if any, of such agents of the Company shall be fixed from time to time by the Manager, subject to the other provisions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Limitation of Liability and Duties of Manager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herein or in an agreement entered into by such Person and the Company, neither the Manager nor any of the Manager’s Affiliates or Manager’s officers, employees or other agents shall be liable to the Company, to any Member that is not the Manager or to any other Person bound by this Agreement for any act or omission performed or omitted by the Manager in its capacity as the sole managing member of the Company pursuant to authority granted to the Manager by this Agreement; </w:t>
      </w:r>
      <w:r>
        <w:rPr>
          <w:rFonts w:ascii="Times New Roman" w:hAnsi="Times New Roman"/>
          <w:i/>
          <w:sz w:val="20"/>
        </w:rPr>
        <w:t xml:space="preserve">provided, however, </w:t>
      </w:r>
      <w:r>
        <w:rPr>
          <w:rFonts w:ascii="Times New Roman" w:hAnsi="Times New Roman"/>
          <w:sz w:val="20"/>
        </w:rPr>
        <w:t xml:space="preserve">that, except as otherwise provided herein, such limitation of liability shall not apply to the extent the act or omission was attributable to the Manager’s willful misconduct or knowing violation of Law or for any present or future material breaches of any representations, warranties or covenants by the Manager or its Affiliates contained herein or in any Other Agreements with the Company. The Manager may exercise any of the powers granted to it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 </w:t>
      </w:r>
    </w:p>
    <w:p>
      <w:pPr>
        <w:pStyle w:val="TextBody"/>
        <w:bidi w:val="0"/>
        <w:spacing w:before="240" w:after="0"/>
        <w:jc w:val="left"/>
        <w:rPr>
          <w:rFonts w:ascii="Times New Roman" w:hAnsi="Times New Roman"/>
          <w:sz w:val="20"/>
        </w:rPr>
      </w:pPr>
      <w:r>
        <w:rPr>
          <w:rFonts w:ascii="Times New Roman" w:hAnsi="Times New Roman"/>
          <w:sz w:val="20"/>
        </w:rPr>
        <w:t xml:space="preserve">(b) To the fullest extent permitted by applicable Law and notwithstanding any other provision of this Agreement or in any agreement contemplated herein or applicable provisions of Law or equity or otherwise, whenever this Agreement or any other agreement contemplated herein provides that the Manager shall act in a manner which is, or provide terms which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fullest extent permitted by applicable Law and notwithstanding any other provision of this Agreement or in any agreement contemplated herein or applicable provisions of Law or equity or otherwise, whenever in this Agreement or any other agreement contemplated herein, the Manager is permitted or required to take any action or to make a decision in its “sole discretion” or “discretion,” with “complete discretion” or under a grant of similar authority or latitude, the Manager shall be entitled to consider such interests and factors as it desires, including its own interests, and shall have no duty or obligation to give any consideration to any interest of or factors affecting the Company, other Members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To the fullest extent permitted by applicable Law and notwithstanding any other provision of this Agreement or in any agreement contemplated herein or applicable provisions of Law or equity or duty otherwise, whenever in this Agreement or any other agreement contemplated herein the Manager is permitted or required to take any action or to make a decision in its “good faith” or under another express standard, the Manager shall act under such express standard and shall not be subject to any other or different standards imposed by this Agreement or any other agreement contemplated herein, and, notwithstanding anything contained herein to the contrary, so long as the Manager acts in good faith or in accordance with such other express standard, the resolution, action or terms so made, taken or provided by the Manager shall not constitute a breach of this Agreement or impose liability upon the Manager or any of the Manager’s Affiliates and shall be deemed approved by all Members. </w:t>
      </w:r>
    </w:p>
    <w:p>
      <w:pPr>
        <w:pStyle w:val="TextBody"/>
        <w:bidi w:val="0"/>
        <w:spacing w:before="240" w:after="0"/>
        <w:jc w:val="left"/>
        <w:rPr>
          <w:rFonts w:ascii="Times New Roman" w:hAnsi="Times New Roman"/>
          <w:sz w:val="20"/>
        </w:rPr>
      </w:pPr>
      <w:r>
        <w:rPr>
          <w:rFonts w:ascii="Times New Roman" w:hAnsi="Times New Roman"/>
          <w:sz w:val="20"/>
        </w:rPr>
        <w:t xml:space="preserve">(e) To the fullest extent permitted by applicable Law, including Section 18-1101(c) of the Delaware Act, and notwithstanding any other provision of this Agreement or in any agreement contemplated herein or applicable provisions of Law or equity or otherwise, the parties hereto hereby agree that to the extent that the Manager (or any of the Manager’s Affiliates or any manager, managing member, general partner, director, officer, employee, agent, fiduciary or trustee of the Manager) has duties (including fiduciary duties) to the Company, to the Members, to any Person who acquires an interest in a Unit or to any other Person bound by this Agreement, all such duties (including fiduciary duties) are hereby eliminated, to the fullest extent permitted by Law, and replaced with the duties or standards expressly set forth herein, if 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shall not eliminate the implied contractual covenant of good faith and fair dealing. The elimination of duties (including fiduciary duties) to the Company, each of the Members, each other Person who acquires an interest in a Unit and each other Person bound by this Agreement and replacement thereof with the duties or standards expressly set forth herein, if any, are approved by the Company, each of the Members, each other Person who acquires an interest in a Unit and each other Person bound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Investment Company Act</w:t>
      </w:r>
      <w:r>
        <w:rPr>
          <w:rFonts w:ascii="Times New Roman" w:hAnsi="Times New Roman"/>
          <w:sz w:val="20"/>
        </w:rPr>
        <w:t xml:space="preserve">. The Manager shall use its best efforts to ensure that the Company shall not be subject to registration as an investment company pursuant to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RIGHTS AND OBLIGATIONS OF MEMBERS AND MANAGER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Limitation of Liability and Duties of Members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this Agreement or in the Delaware Act, the debts, obligations and liabilities of the Company, whether arising in contract, tort or otherwise, shall be solely the debts, obligations and liabilities of the Company and no Member or Manager shall be obligated personally for any such debts, obligations, contracts or liabilities of the Company solely by reason of being a Member or the Manager (except to the extent and under the circumstances set forth in any non-waivable provision of the Delaware Act).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In accordance with the Delaware Act and the laws of the State of Delaware, a Member may, under certain circumstances, be required to return amounts previously distributed to such Member. It is the intent of the Members that no Distribution to any Member pursuant to </w:t>
      </w:r>
      <w:r>
        <w:rPr>
          <w:rFonts w:ascii="Times New Roman" w:hAnsi="Times New Roman"/>
          <w:sz w:val="20"/>
          <w:u w:val="single"/>
        </w:rPr>
        <w:t>Articles IV</w:t>
      </w:r>
      <w:r>
        <w:rPr>
          <w:rFonts w:ascii="Times New Roman" w:hAnsi="Times New Roman"/>
          <w:sz w:val="20"/>
        </w:rPr>
        <w:t xml:space="preserve"> or </w:t>
      </w:r>
      <w:r>
        <w:rPr>
          <w:rFonts w:ascii="Times New Roman" w:hAnsi="Times New Roman"/>
          <w:sz w:val="20"/>
          <w:u w:val="single"/>
        </w:rPr>
        <w:t>Article XIV</w:t>
      </w:r>
      <w:r>
        <w:rPr>
          <w:rFonts w:ascii="Times New Roman" w:hAnsi="Times New Roman"/>
          <w:sz w:val="20"/>
        </w:rPr>
        <w:t xml:space="preserve">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 </w:t>
      </w:r>
    </w:p>
    <w:p>
      <w:pPr>
        <w:pStyle w:val="TextBody"/>
        <w:bidi w:val="0"/>
        <w:spacing w:before="240" w:after="0"/>
        <w:jc w:val="left"/>
        <w:rPr>
          <w:rFonts w:ascii="Times New Roman" w:hAnsi="Times New Roman"/>
          <w:sz w:val="20"/>
        </w:rPr>
      </w:pPr>
      <w:r>
        <w:rPr>
          <w:rFonts w:ascii="Times New Roman" w:hAnsi="Times New Roman"/>
          <w:sz w:val="20"/>
        </w:rPr>
        <w:t xml:space="preserve">(c) To the fullest extent permitted by applicable Law, including Section 18-1101(c) of the Delaware Act, and notwithstanding any other provision of this Agreement (but subject to, and without limitation of, </w:t>
      </w:r>
      <w:r>
        <w:rPr>
          <w:rFonts w:ascii="Times New Roman" w:hAnsi="Times New Roman"/>
          <w:sz w:val="20"/>
          <w:u w:val="single"/>
        </w:rPr>
        <w:t>Section 6.08</w:t>
      </w:r>
      <w:r>
        <w:rPr>
          <w:rFonts w:ascii="Times New Roman" w:hAnsi="Times New Roman"/>
          <w:sz w:val="20"/>
        </w:rPr>
        <w:t xml:space="preserve">, which shall control with respect to the Manager) or in any agreement contemplated herein or applicable provisions of Law or equity or otherwise, the parties hereto hereby agree that to the extent that any Member (or any Member’s Affiliate or any manager, managing member, general partner, director, officer, employee, agent, fiduciary or trustee of any Member or of any Affiliate of a Member) has duties (including fiduciary duties) to the Company, to the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shall not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thereof with the duties or standards expressly set forth herein, if any, are approved by the Company, the Manager, each of the Members, each other Person who acquires an interest in a Unit and each other Person bound by this Agreement. For the avoidance of doubt, PubCo acknowledges that it will take action, as applicable, through the Corporate Board and its officers, that the members of the Corporate Board and its officers owe fiduciary duties to the stockholders of PubCo and that the foregoing shall not be deemed to eliminate any such fiduciary duties owed to any Persons in their capacity as a stockholder of PubCo, for so long and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Lack of Authority</w:t>
      </w:r>
      <w:r>
        <w:rPr>
          <w:rFonts w:ascii="Times New Roman" w:hAnsi="Times New Roman"/>
          <w:sz w:val="20"/>
        </w:rPr>
        <w:t xml:space="preserve">. No Member, other than the Manager or, if applicable, a duly appointed Officer or other Person delegated authority pursuant to </w:t>
      </w:r>
      <w:r>
        <w:rPr>
          <w:rFonts w:ascii="Times New Roman" w:hAnsi="Times New Roman"/>
          <w:sz w:val="20"/>
          <w:u w:val="single"/>
        </w:rPr>
        <w:t>Section 6.07</w:t>
      </w:r>
      <w:r>
        <w:rPr>
          <w:rFonts w:ascii="Times New Roman" w:hAnsi="Times New Roman"/>
          <w:sz w:val="20"/>
        </w:rPr>
        <w:t xml:space="preserve"> (to the extent of such delegation),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them by Law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No Right of Partition</w:t>
      </w:r>
      <w:r>
        <w:rPr>
          <w:rFonts w:ascii="Times New Roman" w:hAnsi="Times New Roman"/>
          <w:sz w:val="20"/>
        </w:rPr>
        <w:t xml:space="preserve">. No Member, other than the Manager, shall have the right to seek or obtain partition by court decree or operation of Law of any property of the Company, or the right to own or use particular or individual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5.06</w:t>
      </w:r>
      <w:r>
        <w:rPr>
          <w:rFonts w:ascii="Times New Roman" w:hAnsi="Times New Roman"/>
          <w:sz w:val="20"/>
        </w:rPr>
        <w:t>, the Company hereby agrees to indemnify and hold harmless any Person (each an “</w:t>
      </w:r>
      <w:r>
        <w:rPr>
          <w:rFonts w:ascii="Times New Roman" w:hAnsi="Times New Roman"/>
          <w:b/>
          <w:i/>
          <w:sz w:val="20"/>
        </w:rPr>
        <w:t>Indemnified Person</w:t>
      </w:r>
      <w:r>
        <w:rPr>
          <w:rFonts w:ascii="Times New Roman" w:hAnsi="Times New Roman"/>
          <w:sz w:val="20"/>
        </w:rPr>
        <w:t xml:space="preserve">”) to the fullest extent permitted under applicable Law, as the same now exists or may hereafter be amended, substituted or replaced (but, to the fullest extent permitted by Law,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and losses (including attorneys’ fees, judgments, fines, excise taxes or penalties) reasonably incurred or suffered by such Person (or one or more of such Person’s Affiliates) by reason of the fact that such Person is or was a Member or an Affiliate thereof (other than as a result of an ownership interest in PubCo) or is or was serving as the Manager or a manager, director, officer, employee or other agent of the Manager, or a director, manager, Officer, employee or other agent of the Company or is or was serving at the request of the Company as a manager, officer, director, principal, member, employee or agent of another corporation, partnership, joint venture, limited liability company, trust or other enterprise; </w:t>
      </w:r>
      <w:r>
        <w:rPr>
          <w:rFonts w:ascii="Times New Roman" w:hAnsi="Times New Roman"/>
          <w:i/>
          <w:sz w:val="20"/>
        </w:rPr>
        <w:t xml:space="preserve">provided, however, </w:t>
      </w:r>
      <w:r>
        <w:rPr>
          <w:rFonts w:ascii="Times New Roman" w:hAnsi="Times New Roman"/>
          <w:sz w:val="20"/>
        </w:rPr>
        <w:t xml:space="preserve">that no Indemnified Person shall be indemnified (i) for any expenses, liabilities and losses suffered that are attributable to such Indemnified Person’s or its Affiliates’ willful misconduct or knowing violation of Law or for any present or future breaches (or, in the case of the Manager or its Affiliates, material breaches) of any representations, warranties or covenants by such Indemnified Person or its Affiliates contained herein or in Other Agreements with the Company or (ii) for the avoidance of doubt, for any taxes other than taxes that (x) are imposed on such Person as a result of the failure by the Company or any Subsidiary thereof to timely pay its taxes and (y) are not attributable to such Person under </w:t>
      </w:r>
      <w:r>
        <w:rPr>
          <w:rFonts w:ascii="Times New Roman" w:hAnsi="Times New Roman"/>
          <w:sz w:val="20"/>
          <w:u w:val="single"/>
        </w:rPr>
        <w:t>Section 5.06</w:t>
      </w:r>
      <w:r>
        <w:rPr>
          <w:rFonts w:ascii="Times New Roman" w:hAnsi="Times New Roman"/>
          <w:sz w:val="20"/>
        </w:rPr>
        <w:t xml:space="preserve">, and then only to the extent such taxes would otherwise be indemnified under this </w:t>
      </w:r>
      <w:r>
        <w:rPr>
          <w:rFonts w:ascii="Times New Roman" w:hAnsi="Times New Roman"/>
          <w:sz w:val="20"/>
          <w:u w:val="single"/>
        </w:rPr>
        <w:t>Section 7.04(a)</w:t>
      </w:r>
      <w:r>
        <w:rPr>
          <w:rFonts w:ascii="Times New Roman" w:hAnsi="Times New Roman"/>
          <w:sz w:val="20"/>
        </w:rPr>
        <w:t xml:space="preserve">.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 right to indemnification and the advancement of expenses conferred in this </w:t>
      </w:r>
      <w:r>
        <w:rPr>
          <w:rFonts w:ascii="Times New Roman" w:hAnsi="Times New Roman"/>
          <w:sz w:val="20"/>
          <w:u w:val="single"/>
        </w:rPr>
        <w:t>Section 7.04</w:t>
      </w:r>
      <w:r>
        <w:rPr>
          <w:rFonts w:ascii="Times New Roman" w:hAnsi="Times New Roman"/>
          <w:sz w:val="20"/>
        </w:rPr>
        <w:t xml:space="preserve"> shall not be exclusive of any other right which any Person may have or hereafter acquire under any statute, agreement, bylaw, action by the Manager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shall maintain directors’ and officers’ liability insurance, or substantially equivalent insurance, at its expense, to protect any Indemnified Person against any expense, liability or loss described in </w:t>
      </w:r>
      <w:r>
        <w:rPr>
          <w:rFonts w:ascii="Times New Roman" w:hAnsi="Times New Roman"/>
          <w:sz w:val="20"/>
          <w:u w:val="single"/>
        </w:rPr>
        <w:t>Section 7.04(a)</w:t>
      </w:r>
      <w:r>
        <w:rPr>
          <w:rFonts w:ascii="Times New Roman" w:hAnsi="Times New Roman"/>
          <w:sz w:val="20"/>
        </w:rPr>
        <w:t xml:space="preserve"> whether or not the Company would have the power to indemnify such Indemnified Person against such expense, liability or loss under the provisions of this </w:t>
      </w:r>
      <w:r>
        <w:rPr>
          <w:rFonts w:ascii="Times New Roman" w:hAnsi="Times New Roman"/>
          <w:sz w:val="20"/>
          <w:u w:val="single"/>
        </w:rPr>
        <w:t>Section 7.04</w:t>
      </w:r>
      <w:r>
        <w:rPr>
          <w:rFonts w:ascii="Times New Roman" w:hAnsi="Times New Roman"/>
          <w:sz w:val="20"/>
        </w:rPr>
        <w:t xml:space="preserve">. The Company shall use its commercially reasonable efforts to purchase (or cause to be purchased) and maintain property, casualty and liability insurance in types and at levels customary for companies of similar size engaged in similar lines of business, as determined in good faith by the Manager, and the Company shall use its commercially reasonable efforts to purchase (or cause to be purchased) directors’ and officers’ liability insurance (including employment practices coverage) with a carrier and in an amount determined necessary or desirable as determined in good faith by the Manager.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and advancement of expenses provided for in this </w:t>
      </w:r>
      <w:r>
        <w:rPr>
          <w:rFonts w:ascii="Times New Roman" w:hAnsi="Times New Roman"/>
          <w:sz w:val="20"/>
          <w:u w:val="single"/>
        </w:rPr>
        <w:t>Section 7.04</w:t>
      </w:r>
      <w:r>
        <w:rPr>
          <w:rFonts w:ascii="Times New Roman" w:hAnsi="Times New Roman"/>
          <w:sz w:val="20"/>
        </w:rPr>
        <w:t xml:space="preserve"> shall be provided out of and to the extent of Company assets only. No Member (unless such Member otherwise agrees in writing or is found in a non-appealable 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Indemnified Person pursuant to this </w:t>
      </w:r>
      <w:r>
        <w:rPr>
          <w:rFonts w:ascii="Times New Roman" w:hAnsi="Times New Roman"/>
          <w:sz w:val="20"/>
          <w:u w:val="single"/>
        </w:rPr>
        <w:t>Section 7.04</w:t>
      </w:r>
      <w:r>
        <w:rPr>
          <w:rFonts w:ascii="Times New Roman" w:hAnsi="Times New Roman"/>
          <w:sz w:val="20"/>
        </w:rPr>
        <w:t xml:space="preserve"> and (ii) shall be fully responsible for the advancement of all expenses and the payment of all damages or liabilities with respect to such Indemnified Person which are addressed by this </w:t>
      </w:r>
      <w:r>
        <w:rPr>
          <w:rFonts w:ascii="Times New Roman" w:hAnsi="Times New Roman"/>
          <w:sz w:val="20"/>
          <w:u w:val="single"/>
        </w:rPr>
        <w:t>Section 7.04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this </w:t>
      </w:r>
      <w:r>
        <w:rPr>
          <w:rFonts w:ascii="Times New Roman" w:hAnsi="Times New Roman"/>
          <w:sz w:val="20"/>
          <w:u w:val="single"/>
        </w:rPr>
        <w:t>Section 7.04</w:t>
      </w:r>
      <w:r>
        <w:rPr>
          <w:rFonts w:ascii="Times New Roman" w:hAnsi="Times New Roman"/>
          <w:sz w:val="20"/>
        </w:rPr>
        <w:t xml:space="preserve"> or any portion hereof shall be invalidated on any ground by any court of competent jurisdiction, then the Company shall nevertheless indemnify and hold harmless each Indemnified Person pursuant to this </w:t>
      </w:r>
      <w:r>
        <w:rPr>
          <w:rFonts w:ascii="Times New Roman" w:hAnsi="Times New Roman"/>
          <w:sz w:val="20"/>
          <w:u w:val="single"/>
        </w:rPr>
        <w:t>Section 7.04</w:t>
      </w:r>
      <w:r>
        <w:rPr>
          <w:rFonts w:ascii="Times New Roman" w:hAnsi="Times New Roman"/>
          <w:sz w:val="20"/>
        </w:rPr>
        <w:t xml:space="preserve"> to the fullest extent permitted by any applicable portion of this </w:t>
      </w:r>
      <w:r>
        <w:rPr>
          <w:rFonts w:ascii="Times New Roman" w:hAnsi="Times New Roman"/>
          <w:sz w:val="20"/>
          <w:u w:val="single"/>
        </w:rPr>
        <w:t>Section 7.04</w:t>
      </w:r>
      <w:r>
        <w:rPr>
          <w:rFonts w:ascii="Times New Roman" w:hAnsi="Times New Roman"/>
          <w:sz w:val="20"/>
        </w:rPr>
        <w:t xml:space="preserve"> that shall not have been invalidated and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Inspection Rights</w:t>
      </w:r>
      <w:r>
        <w:rPr>
          <w:rFonts w:ascii="Times New Roman" w:hAnsi="Times New Roman"/>
          <w:sz w:val="20"/>
        </w:rPr>
        <w:t xml:space="preserve">. Any Member (other than any Person that becomes a Member in connection with effecting a substantially concurrent Redemption in accordance with </w:t>
      </w:r>
      <w:r>
        <w:rPr>
          <w:rFonts w:ascii="Times New Roman" w:hAnsi="Times New Roman"/>
          <w:sz w:val="20"/>
          <w:u w:val="single"/>
        </w:rPr>
        <w:t>Article XI</w:t>
      </w:r>
      <w:r>
        <w:rPr>
          <w:rFonts w:ascii="Times New Roman" w:hAnsi="Times New Roman"/>
          <w:sz w:val="20"/>
        </w:rPr>
        <w:t xml:space="preserve">) holding at least five percent (5%) of the outstanding Vested Units or any of their respective designated representatives, in person or by attorney or other agent, shall, upon written demand stating the purpose thereof, have the right during the usual hours for business to inspect for any proper purpose any of the foregoing books or records; </w:t>
      </w:r>
      <w:r>
        <w:rPr>
          <w:rFonts w:ascii="Times New Roman" w:hAnsi="Times New Roman"/>
          <w:i/>
          <w:sz w:val="20"/>
        </w:rPr>
        <w:t>provided</w:t>
      </w:r>
      <w:r>
        <w:rPr>
          <w:rFonts w:ascii="Times New Roman" w:hAnsi="Times New Roman"/>
          <w:sz w:val="20"/>
        </w:rPr>
        <w:t xml:space="preserve">, that for purposes of this sentence, a proper purpose shall mean any purpose reasonably related to such Person’s interest as a Member. In every instance where an attorney or other agent shall be the Person who seeks the right to inspection, the demand shall be accompanied by a power of attorney or such other writing that authorizes the attorney or other agent to so act on behalf of the Member. The demand shall be directed to the Company at its registered office in the State of Delaware or at its principal place of business. The inspection rights and other information rights provided in this Agreement shall be the sole rights to which Members are entitled in respect of inspection or information, to the fullest extent permitted under applicable Law, and shall supersede and replace all other rights available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Corporate Board</w:t>
      </w:r>
      <w:r>
        <w:rPr>
          <w:rFonts w:ascii="Times New Roman" w:hAnsi="Times New Roman"/>
          <w:sz w:val="20"/>
        </w:rPr>
        <w:t xml:space="preserve">. All determinations required to be made by the Corporate Board under this Agreement shall be made pursuant to the rules and policies of PubCo and in accordance with the Delaware Act, the applicable rules under the Stock Exchange and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BOOKS, RECORDS, ACCOUNTING AND REPORTS,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Records and Accounting</w:t>
      </w:r>
      <w:r>
        <w:rPr>
          <w:rFonts w:ascii="Times New Roman" w:hAnsi="Times New Roman"/>
          <w:sz w:val="20"/>
        </w:rPr>
        <w:t xml:space="preserve">. The Company shall keep, or cause to be kept, appropriate books and records with respect to the Company’s business, including all books and records necessary to provide any information, lists and copies of documents required pursuant to applicable Laws. Subject to any approval right of the AS Representative with respect to such matters, all matters concerning (a) the determination of the relative amount of allocations and Distributions among the Members pursuant to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and (b) 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Fiscal Year</w:t>
      </w:r>
      <w:r>
        <w:rPr>
          <w:rFonts w:ascii="Times New Roman" w:hAnsi="Times New Roman"/>
          <w:sz w:val="20"/>
        </w:rPr>
        <w:t xml:space="preserve">. The Fiscal Year of the Company shall end on the 31st of December of each year or such other date as may be established by the Manager.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Preparation of Tax Returns</w:t>
      </w:r>
      <w:r>
        <w:rPr>
          <w:rFonts w:ascii="Times New Roman" w:hAnsi="Times New Roman"/>
          <w:sz w:val="20"/>
        </w:rPr>
        <w:t xml:space="preserve">. The Manager shall arrange for the preparation and timely filing of all tax returns required to be filed by the Company. The Manager shall use commercially reasonable efforts to prepare and deliver (or cause to be prepared and delivered) to each Member, an estimated K-1, including reasonable quarterly estimates of such Member’s taxable income, gains, losses, deductions or credits for such Taxable Year for U.S. federal, and applicable state and local, income tax reporting purposes, at least five (5) days prior to the corporate quarterly estimated payment deadline for U.S. federal income taxes for calendar year filers. The Manager shall use commercially reasonable efforts to furnish, within one hundred and eighty (180) days of the close of each Taxable Year, to each Member (or former Member that was a Member during the applicable Taxable Year) a completed IRS Schedule K-1 (and any comparable state income tax form) and such other information as is reasonably requested by such Member (or former Member) relating to the Company that is necessary for such Member (or former Member) to comply with its tax reporting obligations. Subject to the terms and conditions of this Agreement and except as otherwise provided in this Agreement, in its capacity as Partnership Representative, the Manager shall have the authority to prepare the tax returns of the Company using such permissible methods and elections as it determines in its reasonable discretion, including the use of any permissible method under Section 706 of the Code for purposes of determining the varying interests of its Members.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Tax Elections</w:t>
      </w:r>
      <w:r>
        <w:rPr>
          <w:rFonts w:ascii="Times New Roman" w:hAnsi="Times New Roman"/>
          <w:sz w:val="20"/>
        </w:rPr>
        <w:t xml:space="preserve">. The Taxable Year shall be the Fiscal Year set forth in </w:t>
      </w:r>
      <w:r>
        <w:rPr>
          <w:rFonts w:ascii="Times New Roman" w:hAnsi="Times New Roman"/>
          <w:sz w:val="20"/>
          <w:u w:val="single"/>
        </w:rPr>
        <w:t>Section 8.02</w:t>
      </w:r>
      <w:r>
        <w:rPr>
          <w:rFonts w:ascii="Times New Roman" w:hAnsi="Times New Roman"/>
          <w:sz w:val="20"/>
        </w:rPr>
        <w:t xml:space="preserve">, unless otherwise required by Section 706 of the Code. The Manager shall cause the Company and each of its Subsidiaries that is treated as a partnership for U.S. federal income tax purposes to have in effect an election pursuant to Section 754 of the Code (or any similar provisions of applicable state, local or foreign tax Law) for each Taxable Year. The Manager shall take commercially reasonable efforts to cause each Person in which the Company owns a direct or indirect equity interest (other than a Subsidiary) that is so treated as a partnership to have in effect any such election for each Taxable Year. Each Member shall upon request supply any information reasonably necessary to give proper effect to any such elections.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Reimbursement for Certain Taxes</w:t>
      </w:r>
      <w:r>
        <w:rPr>
          <w:rFonts w:ascii="Times New Roman" w:hAnsi="Times New Roman"/>
          <w:sz w:val="20"/>
        </w:rPr>
        <w:t xml:space="preserve">. Without duplication of any tax required to be reimbursed under </w:t>
      </w:r>
      <w:r>
        <w:rPr>
          <w:rFonts w:ascii="Times New Roman" w:hAnsi="Times New Roman"/>
          <w:sz w:val="20"/>
          <w:u w:val="single"/>
        </w:rPr>
        <w:t>Section 6.06</w:t>
      </w:r>
      <w:r>
        <w:rPr>
          <w:rFonts w:ascii="Times New Roman" w:hAnsi="Times New Roman"/>
          <w:sz w:val="20"/>
        </w:rPr>
        <w:t xml:space="preserve">, the Company shall reimburse PubCo for any stock repurchase excise tax imposed under Section 4501 of the Code (or any similar Law). If, for any taxable year (or portion thereof), the Company or any Subsidiary thereof is required to be included in a combined, unitary or similar group with any Member for U.S. state or local tax purposes, the Company and the Members shall cooperate to ensure that the Company and its Subsidiaries, on the one hand, and such Member, on the other hand, bear their share of any state or local taxes with respect to such Tax group, as reasonably determined by the Manager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Tax Controversies</w:t>
      </w:r>
      <w:r>
        <w:rPr>
          <w:rFonts w:ascii="Times New Roman" w:hAnsi="Times New Roman"/>
          <w:sz w:val="20"/>
        </w:rPr>
        <w:t>. The Manager shall cause the Company to take all necessary actions required by Law to designate the Manager as the “partnership representative” of the Company as provided in Section 6223(a) of the Code with respect to any taxable year of the Company (including any taxable year of any partnership with respect to which the Company is a continuation under Section 708 of the Code), and the Manager is hereby authorized to designate a “designated individual” (within the meaning of Code Section 6223 and the Treasury Regulations thereunder) to be the sole individual through which such entity “partnership representative” will act (in such capacities, collectively, the “</w:t>
      </w:r>
      <w:r>
        <w:rPr>
          <w:rFonts w:ascii="Times New Roman" w:hAnsi="Times New Roman"/>
          <w:b/>
          <w:i/>
          <w:sz w:val="20"/>
        </w:rPr>
        <w:t>Partnership Representative</w:t>
      </w:r>
      <w:r>
        <w:rPr>
          <w:rFonts w:ascii="Times New Roman" w:hAnsi="Times New Roman"/>
          <w:sz w:val="20"/>
        </w:rPr>
        <w:t xml:space="preserve">”). The Company and the Members shall cooperate fully with each other and shall use reasonable best efforts to, as soon as permitted under applicable Law, cause the Manager (or its designated individual, as applicable) to become the Partnership Representative (and cause any partnership representative or designated individual designated prior to the Effective Date to resign, be revoked or replaced, as applicable) with respect to any relevant taxable period of the Company (or any partnership with respect to which the Company is a continuation under Section 708 of the Code), including (as applicable) by filing certifications pursuant to Treasury Regulations Section 301.6223-1(e)(1) and completing IRS Form 8979. At the direction of the Manager, the Partnership Representative shall have the right and obligation to take all actions authorized and required by the Code for the Partnership Representative and is authorized and required to represent the Company (at the Company’s expense) in connection with all examinations of the Company’s affairs by tax authorities, including any resulting administrative and judicial proceedings, and to expend Company funds for professional services reasonably incurred in connection therewith. Each Member shall cooperate with the Company and the Partnership Representative and do or refrain from doing any or all things reasonably requested by the Company or the Partnership Representative with respect to the conduct of such proceedings. Without limiting the generality of the foregoing, with respect to any audit or other proceeding, the Partnership Representative shall be entitled to cause the Company (and any of its Subsidiaries) to make any available elections pursuant to Section 6226 of the Code (and similar provisions of state, local and other Law), and the Members shall cooperate to the extent reasonably requested by the Company in connection therewith. The Company shall reimburse the Partnership Representative for all reasonable out-of-pocket expenses incurred by the Partnership Representative, including reasonable fees of any professional attorneys, in carrying out its duties as the Partnership Representative. The provisions of this </w:t>
      </w:r>
      <w:r>
        <w:rPr>
          <w:rFonts w:ascii="Times New Roman" w:hAnsi="Times New Roman"/>
          <w:sz w:val="20"/>
          <w:u w:val="single"/>
        </w:rPr>
        <w:t>Section 9.04</w:t>
      </w:r>
      <w:r>
        <w:rPr>
          <w:rFonts w:ascii="Times New Roman" w:hAnsi="Times New Roman"/>
          <w:sz w:val="20"/>
        </w:rPr>
        <w:t xml:space="preserve"> and </w:t>
      </w:r>
      <w:r>
        <w:rPr>
          <w:rFonts w:ascii="Times New Roman" w:hAnsi="Times New Roman"/>
          <w:sz w:val="20"/>
          <w:u w:val="single"/>
        </w:rPr>
        <w:t>Section 5.06</w:t>
      </w:r>
      <w:r>
        <w:rPr>
          <w:rFonts w:ascii="Times New Roman" w:hAnsi="Times New Roman"/>
          <w:sz w:val="20"/>
        </w:rPr>
        <w:t xml:space="preserve"> shall survive the transfer or termination of any Member’s interest in any Units of the Company, the termination of this Agreement and the termination of the Company, shall remain binding on each Member for the period of time necessary to resolve all tax matters relating to the Company (or any partnership with respect to which the Company is a continuation under Section 708 of the Code), and shall be subject to the provisions of the Tax Receivable Agreement,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120" w:after="0"/>
        <w:jc w:val="center"/>
        <w:rPr>
          <w:rFonts w:ascii="Times New Roman" w:hAnsi="Times New Roman"/>
          <w:sz w:val="20"/>
        </w:rPr>
      </w:pPr>
      <w:r>
        <w:rPr>
          <w:rFonts w:ascii="Times New Roman" w:hAnsi="Times New Roman"/>
          <w:sz w:val="20"/>
        </w:rPr>
        <w:t xml:space="preserve">RESTRICTIONS ON TRANSFER OF UNITS; CERTAIN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Transfers by Members</w:t>
      </w:r>
      <w:r>
        <w:rPr>
          <w:rFonts w:ascii="Times New Roman" w:hAnsi="Times New Roman"/>
          <w:sz w:val="20"/>
        </w:rPr>
        <w:t xml:space="preserve">. No holder of Units shall Transfer any interest in any Units, except Transfers (a) pursuant to and in accordance with </w:t>
      </w:r>
      <w:r>
        <w:rPr>
          <w:rFonts w:ascii="Times New Roman" w:hAnsi="Times New Roman"/>
          <w:sz w:val="20"/>
          <w:u w:val="single"/>
        </w:rPr>
        <w:t>Sections 3.02(d)</w:t>
      </w:r>
      <w:r>
        <w:rPr>
          <w:rFonts w:ascii="Times New Roman" w:hAnsi="Times New Roman"/>
          <w:sz w:val="20"/>
        </w:rPr>
        <w:t xml:space="preserve">, </w:t>
      </w:r>
      <w:r>
        <w:rPr>
          <w:rFonts w:ascii="Times New Roman" w:hAnsi="Times New Roman"/>
          <w:sz w:val="20"/>
          <w:u w:val="single"/>
        </w:rPr>
        <w:t>10.02</w:t>
      </w:r>
      <w:r>
        <w:rPr>
          <w:rFonts w:ascii="Times New Roman" w:hAnsi="Times New Roman"/>
          <w:sz w:val="20"/>
        </w:rPr>
        <w:t xml:space="preserve"> and </w:t>
      </w:r>
      <w:r>
        <w:rPr>
          <w:rFonts w:ascii="Times New Roman" w:hAnsi="Times New Roman"/>
          <w:sz w:val="20"/>
          <w:u w:val="single"/>
        </w:rPr>
        <w:t>10.09</w:t>
      </w:r>
      <w:r>
        <w:rPr>
          <w:rFonts w:ascii="Times New Roman" w:hAnsi="Times New Roman"/>
          <w:sz w:val="20"/>
        </w:rPr>
        <w:t xml:space="preserve">, (b) approved in advance and in writing by the Manager, in the case of Transfers by any Member other than the Manager (which transferee shall, following such approval, be deemed for purposes of this Agreement to be a “Permitted Transferee” under </w:t>
      </w:r>
      <w:r>
        <w:rPr>
          <w:rFonts w:ascii="Times New Roman" w:hAnsi="Times New Roman"/>
          <w:sz w:val="20"/>
          <w:u w:val="single"/>
        </w:rPr>
        <w:t>Section 10.02(ii)</w:t>
      </w:r>
      <w:r>
        <w:rPr>
          <w:rFonts w:ascii="Times New Roman" w:hAnsi="Times New Roman"/>
          <w:sz w:val="20"/>
        </w:rPr>
        <w:t xml:space="preserve">), or (c) in the case of Transfers by the Manager, to any Person who succeeds to the Manager in accordance with </w:t>
      </w:r>
      <w:r>
        <w:rPr>
          <w:rFonts w:ascii="Times New Roman" w:hAnsi="Times New Roman"/>
          <w:sz w:val="20"/>
          <w:u w:val="single"/>
        </w:rPr>
        <w:t>Section 6.04</w:t>
      </w:r>
      <w:r>
        <w:rPr>
          <w:rFonts w:ascii="Times New Roman" w:hAnsi="Times New Roman"/>
          <w:sz w:val="20"/>
        </w:rPr>
        <w:t xml:space="preserve">. Notwithstanding the foregoing, “Transfer” shall not include (i) an event that terminates the existence of a Member for income tax purposes (including a change in entity classification of a Member under Treasury Regulations Section 301.7701-3, a sale of assets by, or liquidation of, a Member pursuant to an election under Code Sections 336 or 338,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Units of such trust that is a Member), (ii) any indirect Transfer of Units held by a PubCo Member by virtue of any Transfer of equity securities in PubCo or such other PubCo Member (provided that, in the case of a PubCo Member that is not PubCo, such Transfer of equity securities is to PubCo or another Subsidiary of PubCo), (iii) any indirect Transfer of Units held by a Member by virtue of (x) any Transfer of a partnership interest (or similar equity interest) in an investment fund or investment partnership that is a direct or indirect equityholder of a Member or (y) any Transfer by a Management Holdings Partner that is permitted, and only to the extent permitted, under the Management Holdings Agreement and the applicable Restricted Unit Award Agreement, or (iv) any direct or indirect Transfer of Units in connection with the transactions contemplated by the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Permitted Transfers</w:t>
      </w:r>
      <w:r>
        <w:rPr>
          <w:rFonts w:ascii="Times New Roman" w:hAnsi="Times New Roman"/>
          <w:sz w:val="20"/>
        </w:rPr>
        <w:t xml:space="preserve">. The restrictions contained in </w:t>
      </w:r>
      <w:r>
        <w:rPr>
          <w:rFonts w:ascii="Times New Roman" w:hAnsi="Times New Roman"/>
          <w:sz w:val="20"/>
          <w:u w:val="single"/>
        </w:rPr>
        <w:t>Section 10.01</w:t>
      </w:r>
      <w:r>
        <w:rPr>
          <w:rFonts w:ascii="Times New Roman" w:hAnsi="Times New Roman"/>
          <w:sz w:val="20"/>
        </w:rPr>
        <w:t xml:space="preserve"> shall not apply to any of the following Transfers (each, a “</w:t>
      </w:r>
      <w:r>
        <w:rPr>
          <w:rFonts w:ascii="Times New Roman" w:hAnsi="Times New Roman"/>
          <w:b/>
          <w:i/>
          <w:sz w:val="20"/>
        </w:rPr>
        <w:t>Permitted Transfer</w:t>
      </w:r>
      <w:r>
        <w:rPr>
          <w:rFonts w:ascii="Times New Roman" w:hAnsi="Times New Roman"/>
          <w:sz w:val="20"/>
        </w:rPr>
        <w:t>” and each transferee in a Permitted Transfer, a “</w:t>
      </w:r>
      <w:r>
        <w:rPr>
          <w:rFonts w:ascii="Times New Roman" w:hAnsi="Times New Roman"/>
          <w:b/>
          <w:i/>
          <w:sz w:val="20"/>
        </w:rPr>
        <w:t>Permitted Transferee</w:t>
      </w:r>
      <w:r>
        <w:rPr>
          <w:rFonts w:ascii="Times New Roman" w:hAnsi="Times New Roman"/>
          <w:sz w:val="20"/>
        </w:rPr>
        <w:t xml:space="preserve">”): (i)(A) a Transfer pursuant to a Redemption or Direct Exchange in accordance with </w:t>
      </w:r>
      <w:r>
        <w:rPr>
          <w:rFonts w:ascii="Times New Roman" w:hAnsi="Times New Roman"/>
          <w:sz w:val="20"/>
          <w:u w:val="single"/>
        </w:rPr>
        <w:t>Article XI</w:t>
      </w:r>
      <w:r>
        <w:rPr>
          <w:rFonts w:ascii="Times New Roman" w:hAnsi="Times New Roman"/>
          <w:sz w:val="20"/>
        </w:rPr>
        <w:t xml:space="preserve"> hereof or (B) a Transfer by a Member to PubCo or any of its Subsidiaries, or (ii)(A) a Transfer to an Affiliate of such Member or (B) following the Management Elective Redemption Date, (1) a Transfer made by Management Holdings to any Management Holdings Partner in connection with any Redemption or Direct Exchange to be made in accordance with </w:t>
      </w:r>
      <w:r>
        <w:rPr>
          <w:rFonts w:ascii="Times New Roman" w:hAnsi="Times New Roman"/>
          <w:sz w:val="20"/>
          <w:u w:val="single"/>
        </w:rPr>
        <w:t>Article XI</w:t>
      </w:r>
      <w:r>
        <w:rPr>
          <w:rFonts w:ascii="Times New Roman" w:hAnsi="Times New Roman"/>
          <w:sz w:val="20"/>
        </w:rPr>
        <w:t xml:space="preserve"> (which Transfer shall be permitted to occur following delivery by Management Holdings of a Redemption Notice in respect of Redeemed Units that correspond to Corresponding Management Units held by such Management Holdings Partners (and after which, such Management Holdings Partner shall be deemed to be the Redeeming Member with respect thereto)), and (2) if such Redemption or Direct Exchange cannot be or is not consummated, a subsequent Transfer by such transferee Member to Management Holdings with respect to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Units; </w:t>
      </w:r>
      <w:r>
        <w:rPr>
          <w:rFonts w:ascii="Times New Roman" w:hAnsi="Times New Roman"/>
          <w:i/>
          <w:sz w:val="20"/>
        </w:rPr>
        <w:t xml:space="preserve">provided, however, </w:t>
      </w:r>
      <w:r>
        <w:rPr>
          <w:rFonts w:ascii="Times New Roman" w:hAnsi="Times New Roman"/>
          <w:sz w:val="20"/>
        </w:rPr>
        <w:t xml:space="preserve">that (x) the restrictions contained in this Agreement will continue to apply to Units after any Permitted Transfer of such Units, and (y) in the case of the foregoing </w:t>
      </w:r>
      <w:r>
        <w:rPr>
          <w:rFonts w:ascii="Times New Roman" w:hAnsi="Times New Roman"/>
          <w:sz w:val="20"/>
          <w:u w:val="single"/>
        </w:rPr>
        <w:t>clause (ii)</w:t>
      </w:r>
      <w:r>
        <w:rPr>
          <w:rFonts w:ascii="Times New Roman" w:hAnsi="Times New Roman"/>
          <w:sz w:val="20"/>
        </w:rPr>
        <w:t xml:space="preserve">, the Permitted Transferees of the Units so Transferred shall agree in writing to be bound by the provisions of this Agreement (by delivery of a Joinder) and comply with the other requirements of </w:t>
      </w:r>
      <w:r>
        <w:rPr>
          <w:rFonts w:ascii="Times New Roman" w:hAnsi="Times New Roman"/>
          <w:sz w:val="20"/>
          <w:u w:val="single"/>
        </w:rPr>
        <w:t>Section 10.04</w:t>
      </w:r>
      <w:r>
        <w:rPr>
          <w:rFonts w:ascii="Times New Roman" w:hAnsi="Times New Roman"/>
          <w:sz w:val="20"/>
        </w:rPr>
        <w:t xml:space="preserve"> and, if applicable, </w:t>
      </w:r>
      <w:r>
        <w:rPr>
          <w:rFonts w:ascii="Times New Roman" w:hAnsi="Times New Roman"/>
          <w:sz w:val="20"/>
          <w:u w:val="single"/>
        </w:rPr>
        <w:t>Section 10.08</w:t>
      </w:r>
      <w:r>
        <w:rPr>
          <w:rFonts w:ascii="Times New Roman" w:hAnsi="Times New Roman"/>
          <w:sz w:val="20"/>
        </w:rPr>
        <w:t xml:space="preserve">, and prior to such Transfer the transferor will deliver a written notice to the Company, the Manager and, unless otherwise determined by the Manager, the Members, which notice will disclose in reasonable detail the identity of the proposed Permitted Transferee. In the case of a Permitted Transfer of any Common Units by any Member to a Permitted Transferee in accordance with this </w:t>
      </w:r>
      <w:r>
        <w:rPr>
          <w:rFonts w:ascii="Times New Roman" w:hAnsi="Times New Roman"/>
          <w:sz w:val="20"/>
          <w:u w:val="single"/>
        </w:rPr>
        <w:t>Section 10.02</w:t>
      </w:r>
      <w:r>
        <w:rPr>
          <w:rFonts w:ascii="Times New Roman" w:hAnsi="Times New Roman"/>
          <w:sz w:val="20"/>
        </w:rPr>
        <w:t xml:space="preserve">, such Member (or any subsequent Permitted Transferee of such Member) shall also transfer a number of shares of Class B Common Stock equal to the number of Common Units that were transferred by such Member (or subsequent Permitted Transferee) in the transaction to such Permitted Transferee. All Permitted Transfers are subject to the additional limitations set forth in </w:t>
      </w:r>
      <w:r>
        <w:rPr>
          <w:rFonts w:ascii="Times New Roman" w:hAnsi="Times New Roman"/>
          <w:sz w:val="20"/>
          <w:u w:val="single"/>
        </w:rPr>
        <w:t>Section 10.07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Restricted Units Legend</w:t>
      </w:r>
      <w:r>
        <w:rPr>
          <w:rFonts w:ascii="Times New Roman" w:hAnsi="Times New Roman"/>
          <w:sz w:val="20"/>
        </w:rPr>
        <w:t xml:space="preserve">.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each certificate evidencing Units and each certificate issued in exchange for or upon the Transfer of any Units shall be stamped or otherwise imprinted with a legend in substantially the following form: </w:t>
      </w:r>
    </w:p>
    <w:p>
      <w:pPr>
        <w:pStyle w:val="TextBody"/>
        <w:bidi w:val="0"/>
        <w:spacing w:before="240" w:after="0"/>
        <w:jc w:val="left"/>
        <w:rPr/>
      </w:pPr>
      <w:r>
        <w:rPr/>
        <w:t>“</w:t>
      </w:r>
      <w:r>
        <w:rPr>
          <w:rFonts w:ascii="Times New Roman" w:hAnsi="Times New Roman"/>
          <w:sz w:val="20"/>
        </w:rPr>
        <w:t xml:space="preserve">THE SECURITIES REPRESENTED BY THIS CERTIFICATE WERE ISSUED ON [____], 20[__], AND HAVE NOT BEEN REGISTERED UNDER THE SECURITIES ACT OF 1933, AS AMENDED (THE “ACT”), AND MAY NOT BE SOLD OR TRANSFERRED IN THE ABSENCE OF AN EFFECTIVE REGISTRATION STATEMENT UNDER THE ACT OR AN EXEMPTION FROM REGISTRATION THEREUNDER. THE SECURITIES REPRESENTED BY THIS CERTIFICATE ARE ALSO SUBJECT TO ADDITIONAL RESTRICTIONS ON TRANSFER SPECIFIED IN THE AMENDED AND RESTATED LIMITED LIABILITY COMPANY AGREEMENT OF SOLV ENERGY HOLDINGS LLC, AS IT MAY BE AMENDED, RESTATED, AMENDED AND RESTATED, OR OTHERWISE MODIFIED FROM TIME TO TIME, AND SOLV ENERGY HOLDINGS LLC RESERVES THE RIGHT TO REFUSE THE TRANSFER OF SUCH SECURITIES UNTIL SUCH CONDITIONS HAVE BEEN FULFILLED WITH RESPECT TO ANY TRANSFER. A COPY OF SUCH CONDITIONS SHALL BE FURNISHED BY SOLV ENERGY HOLDINGS LLC TO THE HOLDER HEREOF UPON WRITTEN REQUEST AND WITHOUT CHARGE.”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imprint such legend on certificates (if any) evidencing Units. The legend set forth above shall be removed from the certificates (if any) evidencing any Units which cease to be Units in accordance with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Transfer</w:t>
      </w:r>
      <w:r>
        <w:rPr>
          <w:rFonts w:ascii="Times New Roman" w:hAnsi="Times New Roman"/>
          <w:sz w:val="20"/>
        </w:rPr>
        <w:t>. Prior to Transferring any Units, the Transferring holder of Units shall cause the prospective Permitted Transferee (other than OpCo or a PubCo Member) to be bound by this Agreement and any other agreements executed by the holders of Units and relating to such Units in the aggregate to which the transferor was a party (collectively, the “</w:t>
      </w:r>
      <w:r>
        <w:rPr>
          <w:rFonts w:ascii="Times New Roman" w:hAnsi="Times New Roman"/>
          <w:b/>
          <w:i/>
          <w:sz w:val="20"/>
        </w:rPr>
        <w:t>Other Agreements</w:t>
      </w:r>
      <w:r>
        <w:rPr>
          <w:rFonts w:ascii="Times New Roman" w:hAnsi="Times New Roman"/>
          <w:sz w:val="20"/>
        </w:rPr>
        <w:t xml:space="preserve">”), by executing and delivering to the Company counterparts of this Agreement and any applicable Other Agreements, and to enter into such other documents as may reasonably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or appropriate in connection with such Transfer and admission as a Member, as may reasonably be requested by the Manager; </w:t>
      </w:r>
      <w:r>
        <w:rPr>
          <w:rFonts w:ascii="Times New Roman" w:hAnsi="Times New Roman"/>
          <w:sz w:val="20"/>
          <w:u w:val="single"/>
        </w:rPr>
        <w:t>provided</w:t>
      </w:r>
      <w:r>
        <w:rPr>
          <w:rFonts w:ascii="Times New Roman" w:hAnsi="Times New Roman"/>
          <w:sz w:val="20"/>
        </w:rPr>
        <w:t xml:space="preserve"> that, no Permitted Transferee shall be required to execute and deliver a counterpart to (i) the Tax Receivable Agreement unless the Transferring holder determines to assign its rights thereunder to such Permitted Transferee in accordance with the terms of the Tax Receivable Agreement, or (ii) the Registration Rights Agreement unless such Permitted Transferee would hold Registrable Securities (as such term is defined in the Registration Rights Agreement) as a result of such Permitted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Assignee’s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Transfer of a Unit in accordance with this Agreement shall be effective as of the date of such Transfer (assuming compliance with all of the conditions to such Transfer set forth herein), and such Transfer shall be shown on the books and records of the Company. Profits, Losses and other items of the Company shall be allocated between the transferor and the transferee according to Code Section 706, using any permissible method as determined in the reasonable discretion of the Manager. Distributions made in respect of the Transferred Units before the effective date of such Transfer shall be paid to the transferor, and Distributions made in respect of such Units on or after such date shall be paid to the Assignee. </w:t>
      </w:r>
    </w:p>
    <w:p>
      <w:pPr>
        <w:pStyle w:val="TextBody"/>
        <w:bidi w:val="0"/>
        <w:spacing w:before="240" w:after="0"/>
        <w:jc w:val="left"/>
        <w:rPr>
          <w:rFonts w:ascii="Times New Roman" w:hAnsi="Times New Roman"/>
          <w:sz w:val="20"/>
        </w:rPr>
      </w:pPr>
      <w:r>
        <w:rPr>
          <w:rFonts w:ascii="Times New Roman" w:hAnsi="Times New Roman"/>
          <w:sz w:val="20"/>
        </w:rPr>
        <w:t xml:space="preserve">(b) Unless and until an Assignee becomes a Member pursuant to </w:t>
      </w:r>
      <w:r>
        <w:rPr>
          <w:rFonts w:ascii="Times New Roman" w:hAnsi="Times New Roman"/>
          <w:sz w:val="20"/>
          <w:u w:val="single"/>
        </w:rPr>
        <w:t>Article XII</w:t>
      </w:r>
      <w:r>
        <w:rPr>
          <w:rFonts w:ascii="Times New Roman" w:hAnsi="Times New Roman"/>
          <w:sz w:val="20"/>
        </w:rPr>
        <w:t xml:space="preserve">, the Assignee shall not be entitled to any of the rights granted to a Member hereunder or under applicable Law, other than the rights granted specifically to Assignees pursuant to this Agreement; </w:t>
      </w:r>
      <w:r>
        <w:rPr>
          <w:rFonts w:ascii="Times New Roman" w:hAnsi="Times New Roman"/>
          <w:i/>
          <w:sz w:val="20"/>
        </w:rPr>
        <w:t xml:space="preserve">provided, however, </w:t>
      </w:r>
      <w:r>
        <w:rPr>
          <w:rFonts w:ascii="Times New Roman" w:hAnsi="Times New Roman"/>
          <w:sz w:val="20"/>
        </w:rPr>
        <w:t xml:space="preserve">that, without relieving the Transferring Member from any such limitations or obligations as more fully described in </w:t>
      </w:r>
      <w:r>
        <w:rPr>
          <w:rFonts w:ascii="Times New Roman" w:hAnsi="Times New Roman"/>
          <w:sz w:val="20"/>
          <w:u w:val="single"/>
        </w:rPr>
        <w:t>Section 10.06</w:t>
      </w:r>
      <w:r>
        <w:rPr>
          <w:rFonts w:ascii="Times New Roman" w:hAnsi="Times New Roman"/>
          <w:sz w:val="20"/>
        </w:rPr>
        <w:t xml:space="preserve">, such Assignee shall be bound by any limitations and obligations of a Member contained herein by which a Member would be bound on account of the Assignee’s Units (including the obligation to make Capital Contributions on account of such Units).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Assignor’s Rights and Obligations</w:t>
      </w:r>
      <w:r>
        <w:rPr>
          <w:rFonts w:ascii="Times New Roman" w:hAnsi="Times New Roman"/>
          <w:sz w:val="20"/>
        </w:rPr>
        <w:t xml:space="preserve">. Any Member who shall Transfer any Unit in a manner in accordance with this Agreement shall cease to be a Member with respect to such Units and shall no longer have any rights or privileges, or, except as set forth in this </w:t>
      </w:r>
      <w:r>
        <w:rPr>
          <w:rFonts w:ascii="Times New Roman" w:hAnsi="Times New Roman"/>
          <w:sz w:val="20"/>
          <w:u w:val="single"/>
        </w:rPr>
        <w:t>Section 10.06</w:t>
      </w:r>
      <w:r>
        <w:rPr>
          <w:rFonts w:ascii="Times New Roman" w:hAnsi="Times New Roman"/>
          <w:sz w:val="20"/>
        </w:rPr>
        <w:t xml:space="preserve">, duties, liabilities or obligations, of a Member with respect to such Units or other interest (it being understood, however, that the applicable provisions of </w:t>
      </w:r>
      <w:r>
        <w:rPr>
          <w:rFonts w:ascii="Times New Roman" w:hAnsi="Times New Roman"/>
          <w:sz w:val="20"/>
          <w:u w:val="single"/>
        </w:rPr>
        <w:t>Sections 6.08</w:t>
      </w:r>
      <w:r>
        <w:rPr>
          <w:rFonts w:ascii="Times New Roman" w:hAnsi="Times New Roman"/>
          <w:sz w:val="20"/>
        </w:rPr>
        <w:t xml:space="preserve"> and </w:t>
      </w:r>
      <w:r>
        <w:rPr>
          <w:rFonts w:ascii="Times New Roman" w:hAnsi="Times New Roman"/>
          <w:sz w:val="20"/>
          <w:u w:val="single"/>
        </w:rPr>
        <w:t>7.04</w:t>
      </w:r>
      <w:r>
        <w:rPr>
          <w:rFonts w:ascii="Times New Roman" w:hAnsi="Times New Roman"/>
          <w:sz w:val="20"/>
        </w:rPr>
        <w:t xml:space="preserve"> shall continue to inure to such Person’s benefit and </w:t>
      </w:r>
      <w:r>
        <w:rPr>
          <w:rFonts w:ascii="Times New Roman" w:hAnsi="Times New Roman"/>
          <w:sz w:val="20"/>
          <w:u w:val="single"/>
        </w:rPr>
        <w:t>Sections 5.06</w:t>
      </w:r>
      <w:r>
        <w:rPr>
          <w:rFonts w:ascii="Times New Roman" w:hAnsi="Times New Roman"/>
          <w:sz w:val="20"/>
        </w:rPr>
        <w:t xml:space="preserve"> and </w:t>
      </w:r>
      <w:r>
        <w:rPr>
          <w:rFonts w:ascii="Times New Roman" w:hAnsi="Times New Roman"/>
          <w:sz w:val="20"/>
          <w:u w:val="single"/>
        </w:rPr>
        <w:t>9.04</w:t>
      </w:r>
      <w:r>
        <w:rPr>
          <w:rFonts w:ascii="Times New Roman" w:hAnsi="Times New Roman"/>
          <w:sz w:val="20"/>
        </w:rPr>
        <w:t xml:space="preserve"> shall continue to bind such Person), except that unless and until the Assignee (if not already a Member) is admitted as a Substituted Member in accordance with the provisions of </w:t>
      </w:r>
      <w:r>
        <w:rPr>
          <w:rFonts w:ascii="Times New Roman" w:hAnsi="Times New Roman"/>
          <w:sz w:val="20"/>
          <w:u w:val="single"/>
        </w:rPr>
        <w:t>Article XII</w:t>
      </w:r>
      <w:r>
        <w:rPr>
          <w:rFonts w:ascii="Times New Roman" w:hAnsi="Times New Roman"/>
          <w:sz w:val="20"/>
        </w:rPr>
        <w:t xml:space="preserve"> (the “</w:t>
      </w:r>
      <w:r>
        <w:rPr>
          <w:rFonts w:ascii="Times New Roman" w:hAnsi="Times New Roman"/>
          <w:b/>
          <w:i/>
          <w:sz w:val="20"/>
        </w:rPr>
        <w:t>Admission Date</w:t>
      </w:r>
      <w:r>
        <w:rPr>
          <w:rFonts w:ascii="Times New Roman" w:hAnsi="Times New Roman"/>
          <w:sz w:val="20"/>
        </w:rPr>
        <w:t>”)</w:t>
      </w:r>
      <w:r>
        <w:rPr>
          <w:rFonts w:ascii="Times New Roman" w:hAnsi="Times New Roman"/>
          <w:i/>
          <w:sz w:val="20"/>
        </w:rPr>
        <w:t>,</w:t>
      </w:r>
      <w:r>
        <w:rPr>
          <w:rFonts w:ascii="Times New Roman" w:hAnsi="Times New Roman"/>
          <w:sz w:val="20"/>
        </w:rPr>
        <w:t xml:space="preserve"> (i) such Transferring Member shall retain all of the duties, liabilities and obligations of a Member with respect to such Units, and (ii) the Manager may, in its sole discretion, 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Units that may exist as of the Admission Date or that is otherwise specified in the Delaware Act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Overriding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Transfer or attempted Transfer of any Units in violation of this Agreement (including any prohibited indirect Transfers) shall be, to the fullest extent permitted by applicable law, null and void </w:t>
      </w:r>
      <w:r>
        <w:rPr>
          <w:rFonts w:ascii="Times New Roman" w:hAnsi="Times New Roman"/>
          <w:i/>
          <w:sz w:val="20"/>
        </w:rPr>
        <w:t xml:space="preserve">ab initio, </w:t>
      </w:r>
      <w:r>
        <w:rPr>
          <w:rFonts w:ascii="Times New Roman" w:hAnsi="Times New Roman"/>
          <w:sz w:val="20"/>
        </w:rPr>
        <w:t xml:space="preserve">and the provisions of </w:t>
      </w:r>
      <w:r>
        <w:rPr>
          <w:rFonts w:ascii="Times New Roman" w:hAnsi="Times New Roman"/>
          <w:sz w:val="20"/>
          <w:u w:val="single"/>
        </w:rPr>
        <w:t>Sections 10.05</w:t>
      </w:r>
      <w:r>
        <w:rPr>
          <w:rFonts w:ascii="Times New Roman" w:hAnsi="Times New Roman"/>
          <w:sz w:val="20"/>
        </w:rPr>
        <w:t xml:space="preserve"> and </w:t>
      </w:r>
      <w:r>
        <w:rPr>
          <w:rFonts w:ascii="Times New Roman" w:hAnsi="Times New Roman"/>
          <w:sz w:val="20"/>
          <w:u w:val="single"/>
        </w:rPr>
        <w:t>10.06</w:t>
      </w:r>
      <w:r>
        <w:rPr>
          <w:rFonts w:ascii="Times New Roman" w:hAnsi="Times New Roman"/>
          <w:sz w:val="20"/>
        </w:rPr>
        <w:t xml:space="preserve"> shall not apply to any such Transfers. For the avoidance of doubt,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to reflect any Permitted Transfer pursuant to this </w:t>
      </w:r>
      <w:r>
        <w:rPr>
          <w:rFonts w:ascii="Times New Roman" w:hAnsi="Times New Roman"/>
          <w:sz w:val="20"/>
          <w:u w:val="single"/>
        </w:rPr>
        <w:t>Article X</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Permitted Transferee pursuant to a Permitted Transfer of the type set forth in </w:t>
      </w:r>
      <w:r>
        <w:rPr>
          <w:rFonts w:ascii="Times New Roman" w:hAnsi="Times New Roman"/>
          <w:sz w:val="20"/>
          <w:u w:val="single"/>
        </w:rPr>
        <w:t>Section 10.02(ii)(B)</w:t>
      </w:r>
      <w:r>
        <w:rPr>
          <w:rFonts w:ascii="Times New Roman" w:hAnsi="Times New Roman"/>
          <w:sz w:val="20"/>
        </w:rPr>
        <w:t xml:space="preserve"> that is redeemed or exchanged pursuant to </w:t>
      </w:r>
      <w:r>
        <w:rPr>
          <w:rFonts w:ascii="Times New Roman" w:hAnsi="Times New Roman"/>
          <w:sz w:val="20"/>
          <w:u w:val="single"/>
        </w:rPr>
        <w:t>Article XI</w:t>
      </w:r>
      <w:r>
        <w:rPr>
          <w:rFonts w:ascii="Times New Roman" w:hAnsi="Times New Roman"/>
          <w:sz w:val="20"/>
        </w:rPr>
        <w:t xml:space="preserve"> substantially concurrently with the consummation of such Permitted Transfer shall be deemed to be set forth on the Schedule of Members until such time as such Redemption or Direct Exchange is consummated, with no further action required by the Manager (provided that the Manager shall amend the Schedule of Members following the consummation of such Redemption or Direct Exchange to reflect the occurrence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such Redemption or Direct Exchange is not consummated reasonably promptly following such Permitted Transfer, then the Manager shall promptly amend the Schedule of Members to either reflect such Permitted Transferee or any subsequent Permitted Transfer by such Permitted Transferee, as described in </w:t>
      </w:r>
      <w:r>
        <w:rPr>
          <w:rFonts w:ascii="Times New Roman" w:hAnsi="Times New Roman"/>
          <w:sz w:val="20"/>
          <w:u w:val="single"/>
        </w:rPr>
        <w:t>Section 10.02(ii)(B)</w:t>
      </w:r>
      <w:r>
        <w:rPr>
          <w:rFonts w:ascii="Times New Roman" w:hAnsi="Times New Roman"/>
          <w:sz w:val="20"/>
        </w:rPr>
        <w:t xml:space="preserve">, as applicable, in order to maintain a definitive record of ownership of the Units in accordance with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herein to the contrary (including, for the avoidance of doubt, the provisions of </w:t>
      </w:r>
      <w:r>
        <w:rPr>
          <w:rFonts w:ascii="Times New Roman" w:hAnsi="Times New Roman"/>
          <w:sz w:val="20"/>
          <w:u w:val="single"/>
        </w:rPr>
        <w:t>Section 10.01</w:t>
      </w:r>
      <w:r>
        <w:rPr>
          <w:rFonts w:ascii="Times New Roman" w:hAnsi="Times New Roman"/>
          <w:sz w:val="20"/>
        </w:rPr>
        <w:t xml:space="preserve">, </w:t>
      </w:r>
      <w:r>
        <w:rPr>
          <w:rFonts w:ascii="Times New Roman" w:hAnsi="Times New Roman"/>
          <w:sz w:val="20"/>
          <w:u w:val="single"/>
        </w:rPr>
        <w:t>Section 10.02</w:t>
      </w:r>
      <w:r>
        <w:rPr>
          <w:rFonts w:ascii="Times New Roman" w:hAnsi="Times New Roman"/>
          <w:sz w:val="20"/>
        </w:rPr>
        <w:t xml:space="preserve">, </w:t>
      </w:r>
      <w:r>
        <w:rPr>
          <w:rFonts w:ascii="Times New Roman" w:hAnsi="Times New Roman"/>
          <w:sz w:val="20"/>
          <w:u w:val="single"/>
        </w:rPr>
        <w:t>Article XI</w:t>
      </w:r>
      <w:r>
        <w:rPr>
          <w:rFonts w:ascii="Times New Roman" w:hAnsi="Times New Roman"/>
          <w:sz w:val="20"/>
        </w:rPr>
        <w:t xml:space="preserve"> and </w:t>
      </w:r>
      <w:r>
        <w:rPr>
          <w:rFonts w:ascii="Times New Roman" w:hAnsi="Times New Roman"/>
          <w:sz w:val="20"/>
          <w:u w:val="single"/>
        </w:rPr>
        <w:t>Article XII)</w:t>
      </w:r>
      <w:r>
        <w:rPr>
          <w:rFonts w:ascii="Times New Roman" w:hAnsi="Times New Roman"/>
          <w:sz w:val="20"/>
        </w:rPr>
        <w:t xml:space="preserve">, in no event shall any Member Transfer any Units to the extent such Transfer would: </w:t>
      </w:r>
    </w:p>
    <w:p>
      <w:pPr>
        <w:pStyle w:val="TextBody"/>
        <w:bidi w:val="0"/>
        <w:spacing w:before="120" w:after="0"/>
        <w:jc w:val="left"/>
        <w:rPr>
          <w:rFonts w:ascii="Times New Roman" w:hAnsi="Times New Roman"/>
          <w:sz w:val="20"/>
        </w:rPr>
      </w:pPr>
      <w:r>
        <w:rPr>
          <w:rFonts w:ascii="Times New Roman" w:hAnsi="Times New Roman"/>
          <w:sz w:val="20"/>
        </w:rPr>
        <w:t xml:space="preserve">(i) result in the violation of the Securities Act, or any other applicable federal, state or foreign Laws; </w:t>
      </w:r>
    </w:p>
    <w:p>
      <w:pPr>
        <w:pStyle w:val="TextBody"/>
        <w:bidi w:val="0"/>
        <w:spacing w:before="240" w:after="0"/>
        <w:jc w:val="left"/>
        <w:rPr>
          <w:rFonts w:ascii="Times New Roman" w:hAnsi="Times New Roman"/>
          <w:sz w:val="20"/>
        </w:rPr>
      </w:pPr>
      <w:r>
        <w:rPr>
          <w:rFonts w:ascii="Times New Roman" w:hAnsi="Times New Roman"/>
          <w:sz w:val="20"/>
        </w:rPr>
        <w:t xml:space="preserve">(ii) cause an assignment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(iii) in the reasonable determination of the Manager, be a violation of or a default (or an event that, with notice or the lapse of time or both, would constitute a default) under, or result in an acceleration of any obligation under any Credit Agreement to which PubCo, the Company or any of its Subsidiaries is a party; </w:t>
      </w:r>
      <w:r>
        <w:rPr>
          <w:rFonts w:ascii="Times New Roman" w:hAnsi="Times New Roman"/>
          <w:i/>
          <w:sz w:val="20"/>
        </w:rPr>
        <w:t xml:space="preserve">provided </w:t>
      </w:r>
      <w:r>
        <w:rPr>
          <w:rFonts w:ascii="Times New Roman" w:hAnsi="Times New Roman"/>
          <w:sz w:val="20"/>
        </w:rPr>
        <w:t xml:space="preserve">that the payee or creditor to whom PubCo, the Company or any of its Subsidiaries owes such obligation is not an Affiliate of thereof; </w:t>
      </w:r>
    </w:p>
    <w:p>
      <w:pPr>
        <w:pStyle w:val="TextBody"/>
        <w:bidi w:val="0"/>
        <w:spacing w:before="240" w:after="0"/>
        <w:jc w:val="left"/>
        <w:rPr>
          <w:rFonts w:ascii="Times New Roman" w:hAnsi="Times New Roman"/>
          <w:sz w:val="20"/>
        </w:rPr>
      </w:pPr>
      <w:r>
        <w:rPr>
          <w:rFonts w:ascii="Times New Roman" w:hAnsi="Times New Roman"/>
          <w:sz w:val="20"/>
        </w:rPr>
        <w:t xml:space="preserve">(iv) be a Transfer to a Person who is not legally competent or who has not achieved his or her majority of age under applicable Law (excluding trusts or similar arrangements established for the benefit of minors or other permitted transfers to minors under the Management Holdings Agreement); </w:t>
      </w:r>
    </w:p>
    <w:p>
      <w:pPr>
        <w:pStyle w:val="TextBody"/>
        <w:bidi w:val="0"/>
        <w:spacing w:before="240" w:after="0"/>
        <w:jc w:val="left"/>
        <w:rPr>
          <w:rFonts w:ascii="Times New Roman" w:hAnsi="Times New Roman"/>
          <w:sz w:val="20"/>
        </w:rPr>
      </w:pPr>
      <w:r>
        <w:rPr>
          <w:rFonts w:ascii="Times New Roman" w:hAnsi="Times New Roman"/>
          <w:sz w:val="20"/>
        </w:rPr>
        <w:t xml:space="preserve">(v) cause the Company to be (or create a material risk of the Company being) treated as a “publicly traded partnership” or taxed as a corporation pursuant to Section 7704 of the Code or any successor provision thereto under the Code, in each case as determined in good faith by the Manager;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unless approved by the Manager, result in the Company having more than one hundred (100) partners, within the meaning of Treasury Regulations Section 1.7704-1(h)(1) (determined by taking into account Treasury Regulations Section 1.7704-1(h)(3)).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herein to the contrary, in no event shall any Member that is not a “United States person” within the meaning of Section 7701(a)(30) of the Code Transfer any Units, unless such Member and the transferee have delivered to the Company, in respect of the relevant Transfer, written evidence that all required withholding under Section 1446(f) of the Code has been done and duly remitted to the applicable taxing authority or duly executed certifications (prepared in accordance with the applicable Treasury Regulations or other authorities) of an exemption from such withholding; </w:t>
      </w:r>
      <w:r>
        <w:rPr>
          <w:rFonts w:ascii="Times New Roman" w:hAnsi="Times New Roman"/>
          <w:i/>
          <w:sz w:val="20"/>
        </w:rPr>
        <w:t>provided</w:t>
      </w:r>
      <w:r>
        <w:rPr>
          <w:rFonts w:ascii="Times New Roman" w:hAnsi="Times New Roman"/>
          <w:sz w:val="20"/>
        </w:rPr>
        <w:t xml:space="preserve">, that the Company shall reasonably cooperate with any reasonable requests from such Member for certifications or other information from the Company in connection with satisfying this </w:t>
      </w:r>
      <w:r>
        <w:rPr>
          <w:rFonts w:ascii="Times New Roman" w:hAnsi="Times New Roman"/>
          <w:sz w:val="20"/>
          <w:u w:val="single"/>
        </w:rPr>
        <w:t>Section 10.07(c)</w:t>
      </w:r>
      <w:r>
        <w:rPr>
          <w:rFonts w:ascii="Times New Roman" w:hAnsi="Times New Roman"/>
          <w:sz w:val="20"/>
        </w:rPr>
        <w:t xml:space="preserve"> prior to the relevant Transfer (or Redemption or Direct Exchange,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Spousal Consent</w:t>
      </w:r>
      <w:r>
        <w:rPr>
          <w:rFonts w:ascii="Times New Roman" w:hAnsi="Times New Roman"/>
          <w:sz w:val="20"/>
        </w:rPr>
        <w:t xml:space="preserve">. In connection with the execution and delivery of this Agreement, any Member who is a natural person will deliver to the Company an executed consent from such Member’s spouse (if any) in the form of </w:t>
      </w:r>
      <w:r>
        <w:rPr>
          <w:rFonts w:ascii="Times New Roman" w:hAnsi="Times New Roman"/>
          <w:sz w:val="20"/>
          <w:u w:val="single"/>
        </w:rPr>
        <w:t>Exhibit B</w:t>
      </w:r>
      <w:r>
        <w:rPr>
          <w:rFonts w:ascii="Times New Roman" w:hAnsi="Times New Roman"/>
          <w:sz w:val="20"/>
        </w:rPr>
        <w:t xml:space="preserve"> attached hereto. If, at any time subsequent to the date of this Agreement such Member becomes legally married (whether in the first instance or to a different spouse), such Member shall cause his or her spouse to execute and deliver to the Company a consent in the form of </w:t>
      </w:r>
      <w:r>
        <w:rPr>
          <w:rFonts w:ascii="Times New Roman" w:hAnsi="Times New Roman"/>
          <w:sz w:val="20"/>
          <w:u w:val="single"/>
        </w:rPr>
        <w:t>Exhibit B</w:t>
      </w:r>
      <w:r>
        <w:rPr>
          <w:rFonts w:ascii="Times New Roman" w:hAnsi="Times New Roman"/>
          <w:sz w:val="20"/>
        </w:rPr>
        <w:t xml:space="preserve"> attached hereto. Such Member’s non-delivery to the Company of an executed consent in the form of </w:t>
      </w:r>
      <w:r>
        <w:rPr>
          <w:rFonts w:ascii="Times New Roman" w:hAnsi="Times New Roman"/>
          <w:sz w:val="20"/>
          <w:u w:val="single"/>
        </w:rPr>
        <w:t>Exhibit B</w:t>
      </w:r>
      <w:r>
        <w:rPr>
          <w:rFonts w:ascii="Times New Roman" w:hAnsi="Times New Roman"/>
          <w:sz w:val="20"/>
        </w:rPr>
        <w:t xml:space="preserve"> at any time shall constitute such Member’s continuing representation and warranty that such Member is not legally married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Certain Transactions with respect to PubCo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 Change of Control Transaction, the Manager shall have the right, in its sole discretion, to require each Non-PubCo Member to effect a Redemption of all or a portion of such Member’s Vested Units and Unvested Units that accelerate pursuant to the terms of the Restricted Unit Award Agreement in connection with such Change of Control Transaction, together with the cancellation of an equal number of shares of Class B Common Stock, pursuant to which such Units will be exchanged for shares of Class A Common Stock (or economically equivalent cash or securities of a successor entity), </w:t>
      </w:r>
      <w:r>
        <w:rPr>
          <w:rFonts w:ascii="Times New Roman" w:hAnsi="Times New Roman"/>
          <w:i/>
          <w:sz w:val="20"/>
        </w:rPr>
        <w:t xml:space="preserve">mutatis mutandis, </w:t>
      </w:r>
      <w:r>
        <w:rPr>
          <w:rFonts w:ascii="Times New Roman" w:hAnsi="Times New Roman"/>
          <w:sz w:val="20"/>
        </w:rPr>
        <w:t xml:space="preserve">in accordance with the Redemption provisions of </w:t>
      </w:r>
      <w:r>
        <w:rPr>
          <w:rFonts w:ascii="Times New Roman" w:hAnsi="Times New Roman"/>
          <w:sz w:val="20"/>
          <w:u w:val="single"/>
        </w:rPr>
        <w:t>Article XI</w:t>
      </w:r>
      <w:r>
        <w:rPr>
          <w:rFonts w:ascii="Times New Roman" w:hAnsi="Times New Roman"/>
          <w:sz w:val="20"/>
        </w:rPr>
        <w:t xml:space="preserve"> (applied for this purpose as if PubCo had delivered an Election Notice that specified a Share Settlement with respect to such Redemption) and otherwise in accordance with this </w:t>
      </w:r>
      <w:r>
        <w:rPr>
          <w:rFonts w:ascii="Times New Roman" w:hAnsi="Times New Roman"/>
          <w:sz w:val="20"/>
          <w:u w:val="single"/>
        </w:rPr>
        <w:t>Section 10.09(a)</w:t>
      </w:r>
      <w:r>
        <w:rPr>
          <w:rFonts w:ascii="Times New Roman" w:hAnsi="Times New Roman"/>
          <w:sz w:val="20"/>
        </w:rPr>
        <w:t xml:space="preserve">. Any such Redemption pursuant to this </w:t>
      </w:r>
      <w:r>
        <w:rPr>
          <w:rFonts w:ascii="Times New Roman" w:hAnsi="Times New Roman"/>
          <w:sz w:val="20"/>
          <w:u w:val="single"/>
        </w:rPr>
        <w:t>Section 10.09(a)</w:t>
      </w:r>
      <w:r>
        <w:rPr>
          <w:rFonts w:ascii="Times New Roman" w:hAnsi="Times New Roman"/>
          <w:sz w:val="20"/>
        </w:rPr>
        <w:t xml:space="preserve"> 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w:t>
      </w:r>
      <w:r>
        <w:rPr>
          <w:rFonts w:ascii="Times New Roman" w:hAnsi="Times New Roman"/>
          <w:sz w:val="20"/>
          <w:u w:val="single"/>
        </w:rPr>
        <w:t>Section 10.09(a)</w:t>
      </w:r>
      <w:r>
        <w:rPr>
          <w:rFonts w:ascii="Times New Roman" w:hAnsi="Times New Roman"/>
          <w:sz w:val="20"/>
        </w:rPr>
        <w:t>, the “</w:t>
      </w:r>
      <w:r>
        <w:rPr>
          <w:rFonts w:ascii="Times New Roman" w:hAnsi="Times New Roman"/>
          <w:b/>
          <w:i/>
          <w:sz w:val="20"/>
        </w:rPr>
        <w:t>Change of Control Date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From and after the Change of Control Date, (i) the Vested Units, accelerated Unvested Units and any shares of Class B Common Stock subject to such Redemption shall be deemed to be transferred to PubCo on the Change of Control Date and (ii) each such Member shall cease to have any rights with respect to such Units and shares of Class B Common Stock subject to such Redemption (other than the right to receive shares of Class A Common Stock (or economically equivalent cash or equity securities in a successor entity) pursuant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Redemption, and, for the avoidance of doubt, any rights under the Tax Receivable Agreement). In the event the Manager desires to initiate the provisions of this </w:t>
      </w:r>
      <w:r>
        <w:rPr>
          <w:rFonts w:ascii="Times New Roman" w:hAnsi="Times New Roman"/>
          <w:sz w:val="20"/>
          <w:u w:val="single"/>
        </w:rPr>
        <w:t>Section 10.09</w:t>
      </w:r>
      <w:r>
        <w:rPr>
          <w:rFonts w:ascii="Times New Roman" w:hAnsi="Times New Roman"/>
          <w:sz w:val="20"/>
        </w:rPr>
        <w:t xml:space="preserve">, the Manager shall provide written notice of an expected Change of Control Transaction to all Members within the earlier of (x) five (5) Business Days following the execution of an agreement with respect to such Change of Control Transaction and (y) ten (10) Business Days before the proposed date upon which the contemplated Change of Control Transaction is to be effected, including in such notice such information as may reasonably describe the Change of Control Transaction, subject to Law, including the date of execution of such agreement or such proposed effective date, as applicable, the amount and types of consideration to be paid for shares 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Following delivery of such notice and on or prior to the Change of Control Date, the Members shall take all actions reasonably requested by PubCo to effect such Redemption in accordance with the terms of </w:t>
      </w:r>
      <w:r>
        <w:rPr>
          <w:rFonts w:ascii="Times New Roman" w:hAnsi="Times New Roman"/>
          <w:sz w:val="20"/>
          <w:u w:val="single"/>
        </w:rPr>
        <w:t>Article XI</w:t>
      </w:r>
      <w:r>
        <w:rPr>
          <w:rFonts w:ascii="Times New Roman" w:hAnsi="Times New Roman"/>
          <w:sz w:val="20"/>
        </w:rPr>
        <w:t xml:space="preserve">, including taking any action and delivering any document required pursuant to this </w:t>
      </w:r>
      <w:r>
        <w:rPr>
          <w:rFonts w:ascii="Times New Roman" w:hAnsi="Times New Roman"/>
          <w:sz w:val="20"/>
          <w:u w:val="single"/>
        </w:rPr>
        <w:t>Section 10.09(a)</w:t>
      </w:r>
      <w:r>
        <w:rPr>
          <w:rFonts w:ascii="Times New Roman" w:hAnsi="Times New Roman"/>
          <w:sz w:val="20"/>
        </w:rPr>
        <w:t xml:space="preserve"> to effect such Redemption. Notwithstanding the foregoing, in the event the Manager requires the Members to exchange less than all of their outstanding Units (and to surrender a corresponding number of shares of Class B Common Stock for cancellation), each Member’s participation in the Change of Control Transaction shall be reduced </w:t>
      </w:r>
      <w:r>
        <w:rPr>
          <w:rFonts w:ascii="Times New Roman" w:hAnsi="Times New Roman"/>
          <w:i/>
          <w:sz w:val="20"/>
        </w:rPr>
        <w:t>pro</w:t>
      </w:r>
      <w:r>
        <w:rPr>
          <w:rFonts w:ascii="Times New Roman" w:hAnsi="Times New Roman"/>
          <w:sz w:val="20"/>
        </w:rPr>
        <w:t xml:space="preserve"> </w:t>
      </w:r>
      <w:r>
        <w:rPr>
          <w:rFonts w:ascii="Times New Roman" w:hAnsi="Times New Roman"/>
          <w:i/>
          <w:sz w:val="20"/>
        </w:rPr>
        <w:t>rata.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In the event that a tender offer, share exchange offer, issuer bid, take-over bid, recapitalization, or similar transaction with respect to Class A Common Stock (a “</w:t>
      </w:r>
      <w:r>
        <w:rPr>
          <w:rFonts w:ascii="Times New Roman" w:hAnsi="Times New Roman"/>
          <w:b/>
          <w:i/>
          <w:sz w:val="20"/>
        </w:rPr>
        <w:t>PubCo Offer</w:t>
      </w:r>
      <w:r>
        <w:rPr>
          <w:rFonts w:ascii="Times New Roman" w:hAnsi="Times New Roman"/>
          <w:sz w:val="20"/>
        </w:rPr>
        <w:t xml:space="preserve">”) is proposed by PubCo or is proposed to PubCo or its stockholders and approved by the Corporate Board or is otherwise effected or to be effected with the consent or approval of the Corporate Board, the Manager shall provide written notice of the PubCo Offer to all Non-PubCo Members within the earlier of (i) five (5) Business Days following the execution of an agreement (if applicable) with respect to, or the commencement of (if applicable), such PubCo Offer and (ii) ten (10) Business Days before the proposed date upon which the PubCo Offer is to be effected, including in such notice such information as may reasonably describe the PubCo Offer, subject to Law, including the date of execution of such agreement (if applicable) or of such commencement (if applicable), the material terms of such PubCo Offer, including the amount and types of consideration to be received by holders of shares of Class A Common Stock in the PubCo Offer, any election with respect to types of consideration that a holder of shares of Class A Common Stock, as applicable, shall be entitled to make in connection with such PubCo Offer, and the number of Units (and the corresponding shares of Class B Common Stock) held by such Member that is applicable to such PubCo Offer. The Non-PubCo Members shall be permitted to participate in such PubCo Offer in respect of such Member’s Vested Units by delivering a written notice of participation that is effective immediately prior to the consummation of such PubCo Offer (and that is contingent upon consummation of such offer), and shall include such information necessary for consummation of such offer as requested by PubCo. In the case of any PubCo Offer that was initially proposed by PubCo, PubCo shall use reasonable best efforts to enable and permit the Non-PubCo Members to participate in such transaction in respect of such Member’s Vested Units to the same extent or on an economically equivalent basis as the holders of shares of Class A Common Stock, and to enable such Members to participate in such transaction without being required to exchange Vested Units or shares of Class B Common Stock prior to the consummation of such transaction. For the avoidance of doubt, in no event shall Common Unitholders be entitled to receive in such PubCo Offer aggregate consideration for each Common Unit that is greater than the consideration payable in respect of each share of Class A Common Stock in connection with a PubCo Offer (it being understood that payments under or in respect of the Tax Receivable Agreement shall not be considered part of any such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that a transaction or proposed transaction constitutes both a Change of Control Transaction and a PubCo Offer, the provisions of </w:t>
      </w:r>
      <w:r>
        <w:rPr>
          <w:rFonts w:ascii="Times New Roman" w:hAnsi="Times New Roman"/>
          <w:sz w:val="20"/>
          <w:u w:val="single"/>
        </w:rPr>
        <w:t>Section 10.09(a)</w:t>
      </w:r>
      <w:r>
        <w:rPr>
          <w:rFonts w:ascii="Times New Roman" w:hAnsi="Times New Roman"/>
          <w:sz w:val="20"/>
        </w:rPr>
        <w:t xml:space="preserve"> shall take precedence over the provisions of </w:t>
      </w:r>
      <w:r>
        <w:rPr>
          <w:rFonts w:ascii="Times New Roman" w:hAnsi="Times New Roman"/>
          <w:sz w:val="20"/>
          <w:u w:val="single"/>
        </w:rPr>
        <w:t>Section 10.09(b)</w:t>
      </w:r>
      <w:r>
        <w:rPr>
          <w:rFonts w:ascii="Times New Roman" w:hAnsi="Times New Roman"/>
          <w:sz w:val="20"/>
        </w:rPr>
        <w:t xml:space="preserve"> with respect to such transaction, and the provisions of </w:t>
      </w:r>
      <w:r>
        <w:rPr>
          <w:rFonts w:ascii="Times New Roman" w:hAnsi="Times New Roman"/>
          <w:sz w:val="20"/>
          <w:u w:val="single"/>
        </w:rPr>
        <w:t xml:space="preserve">Section 10.09(b) </w:t>
      </w:r>
      <w:r>
        <w:rPr>
          <w:rFonts w:ascii="Times New Roman" w:hAnsi="Times New Roman"/>
          <w:sz w:val="20"/>
        </w:rPr>
        <w:t xml:space="preserve">shall be subordinate to provisions of </w:t>
      </w:r>
      <w:r>
        <w:rPr>
          <w:rFonts w:ascii="Times New Roman" w:hAnsi="Times New Roman"/>
          <w:sz w:val="20"/>
          <w:u w:val="single"/>
        </w:rPr>
        <w:t>Section 10.09(a)</w:t>
      </w:r>
      <w:r>
        <w:rPr>
          <w:rFonts w:ascii="Times New Roman" w:hAnsi="Times New Roman"/>
          <w:sz w:val="20"/>
        </w:rPr>
        <w:t xml:space="preserve">, and may only be triggered if the Manager elects to waive the provisions of </w:t>
      </w:r>
      <w:r>
        <w:rPr>
          <w:rFonts w:ascii="Times New Roman" w:hAnsi="Times New Roman"/>
          <w:sz w:val="20"/>
          <w:u w:val="single"/>
        </w:rPr>
        <w:t>Section 10.09(a)</w:t>
      </w:r>
      <w:r>
        <w:rPr>
          <w:rFonts w:ascii="Times New Roman" w:hAnsi="Times New Roman"/>
          <w:sz w:val="20"/>
        </w:rPr>
        <w:t xml:space="preserve">. </w:t>
      </w:r>
    </w:p>
    <w:p>
      <w:pPr>
        <w:pStyle w:val="TextBody"/>
        <w:bidi w:val="0"/>
        <w:spacing w:before="480" w:after="0"/>
        <w:jc w:val="center"/>
        <w:rPr>
          <w:rFonts w:ascii="Times New Roman" w:hAnsi="Times New Roman"/>
          <w:sz w:val="24"/>
        </w:rPr>
      </w:pPr>
      <w:r>
        <w:rPr>
          <w:rFonts w:ascii="Times New Roman" w:hAnsi="Times New Roman"/>
          <w:sz w:val="24"/>
        </w:rPr>
        <w:t xml:space="preserve">ARTICLE XI </w:t>
      </w:r>
    </w:p>
    <w:p>
      <w:pPr>
        <w:pStyle w:val="TextBody"/>
        <w:bidi w:val="0"/>
        <w:spacing w:before="120" w:after="0"/>
        <w:jc w:val="center"/>
        <w:rPr>
          <w:rFonts w:ascii="Times New Roman" w:hAnsi="Times New Roman"/>
          <w:sz w:val="20"/>
        </w:rPr>
      </w:pPr>
      <w:r>
        <w:rPr>
          <w:rFonts w:ascii="Times New Roman" w:hAnsi="Times New Roman"/>
          <w:sz w:val="20"/>
        </w:rPr>
        <w:t xml:space="preserve">REDEMPTION AND DIRECT EXCHANGE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Redemption Right of a Member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11.01(b)</w:t>
      </w:r>
      <w:r>
        <w:rPr>
          <w:rFonts w:ascii="Times New Roman" w:hAnsi="Times New Roman"/>
          <w:sz w:val="20"/>
        </w:rPr>
        <w:t xml:space="preserve"> and </w:t>
      </w:r>
      <w:r>
        <w:rPr>
          <w:rFonts w:ascii="Times New Roman" w:hAnsi="Times New Roman"/>
          <w:sz w:val="20"/>
          <w:u w:val="single"/>
        </w:rPr>
        <w:t>Section 11.08</w:t>
      </w:r>
      <w:r>
        <w:rPr>
          <w:rFonts w:ascii="Times New Roman" w:hAnsi="Times New Roman"/>
          <w:sz w:val="20"/>
        </w:rPr>
        <w:t>, each Non-PubCo Member shall be entitled to cause the Company to redeem (a “</w:t>
      </w:r>
      <w:r>
        <w:rPr>
          <w:rFonts w:ascii="Times New Roman" w:hAnsi="Times New Roman"/>
          <w:b/>
          <w:i/>
          <w:sz w:val="20"/>
        </w:rPr>
        <w:t>Redemption</w:t>
      </w:r>
      <w:r>
        <w:rPr>
          <w:rFonts w:ascii="Times New Roman" w:hAnsi="Times New Roman"/>
          <w:sz w:val="20"/>
        </w:rPr>
        <w:t>”) all or any portion of its Common Units (excluding any Common Units that are Unvested Units, unless otherwise determined by the Manager (which determination, prior to the Management Elective Redemption Date, shall require the consent of the AS Representative)) (such Common Units, the “</w:t>
      </w:r>
      <w:r>
        <w:rPr>
          <w:rFonts w:ascii="Times New Roman" w:hAnsi="Times New Roman"/>
          <w:b/>
          <w:i/>
          <w:sz w:val="20"/>
        </w:rPr>
        <w:t>Eligible Units</w:t>
      </w:r>
      <w:r>
        <w:rPr>
          <w:rFonts w:ascii="Times New Roman" w:hAnsi="Times New Roman"/>
          <w:sz w:val="20"/>
        </w:rPr>
        <w:t>”, and such right, the “</w:t>
      </w:r>
      <w:r>
        <w:rPr>
          <w:rFonts w:ascii="Times New Roman" w:hAnsi="Times New Roman"/>
          <w:b/>
          <w:i/>
          <w:sz w:val="20"/>
        </w:rPr>
        <w:t>Redemption Right</w:t>
      </w:r>
      <w:r>
        <w:rPr>
          <w:rFonts w:ascii="Times New Roman" w:hAnsi="Times New Roman"/>
          <w:sz w:val="20"/>
        </w:rPr>
        <w:t xml:space="preserve">”) (i) with respect to a Permitted Redemption, at any time and from time to time following the waiver or expiration of any contractual lock-up period relating to the shares of PubCo that may be applicable to such Member and (ii) in any other case, during the Quarterly Redemption Notice Period preceding the desired Redemption Date; </w:t>
      </w:r>
      <w:r>
        <w:rPr>
          <w:rFonts w:ascii="Times New Roman" w:hAnsi="Times New Roman"/>
          <w:i/>
          <w:sz w:val="20"/>
        </w:rPr>
        <w:t>provided</w:t>
      </w:r>
      <w:r>
        <w:rPr>
          <w:rFonts w:ascii="Times New Roman" w:hAnsi="Times New Roman"/>
          <w:sz w:val="20"/>
        </w:rPr>
        <w:t xml:space="preserve"> that, with respect to any Redemption other than a Management Co-Redemption, a Member (or a Management Holdings Partner on whose behalf Management Holdings is effecting a Redemption of Eligible Units) shall be required to redeem at least the Minimum Redemption Threshold. A Member desiring to exercise its Redemption Right (each, a “</w:t>
      </w:r>
      <w:r>
        <w:rPr>
          <w:rFonts w:ascii="Times New Roman" w:hAnsi="Times New Roman"/>
          <w:b/>
          <w:i/>
          <w:sz w:val="20"/>
        </w:rPr>
        <w:t>Redeeming Member</w:t>
      </w:r>
      <w:r>
        <w:rPr>
          <w:rFonts w:ascii="Times New Roman" w:hAnsi="Times New Roman"/>
          <w:sz w:val="20"/>
        </w:rPr>
        <w:t>”) shall exercise such right by giving written notice (the “</w:t>
      </w:r>
      <w:r>
        <w:rPr>
          <w:rFonts w:ascii="Times New Roman" w:hAnsi="Times New Roman"/>
          <w:b/>
          <w:i/>
          <w:sz w:val="20"/>
        </w:rPr>
        <w:t>Redemption Notice</w:t>
      </w:r>
      <w:r>
        <w:rPr>
          <w:rFonts w:ascii="Times New Roman" w:hAnsi="Times New Roman"/>
          <w:sz w:val="20"/>
        </w:rPr>
        <w:t>”) to the Company with a copy to PubCo. The Redemption Notice shall specify the number of Eligible Units (the “</w:t>
      </w:r>
      <w:r>
        <w:rPr>
          <w:rFonts w:ascii="Times New Roman" w:hAnsi="Times New Roman"/>
          <w:b/>
          <w:i/>
          <w:sz w:val="20"/>
        </w:rPr>
        <w:t>Redeemed Units</w:t>
      </w:r>
      <w:r>
        <w:rPr>
          <w:rFonts w:ascii="Times New Roman" w:hAnsi="Times New Roman"/>
          <w:sz w:val="20"/>
        </w:rPr>
        <w:t>”) that the Redeeming Member intends to have the Company redeem and the applicable Redemption Date</w:t>
      </w:r>
      <w:r>
        <w:rPr>
          <w:rFonts w:ascii="Times New Roman" w:hAnsi="Times New Roman"/>
          <w:i/>
          <w:sz w:val="20"/>
        </w:rPr>
        <w:t>;</w:t>
      </w:r>
      <w:r>
        <w:rPr>
          <w:rFonts w:ascii="Times New Roman" w:hAnsi="Times New Roman"/>
          <w:sz w:val="20"/>
        </w:rPr>
        <w:t> </w:t>
      </w:r>
      <w:r>
        <w:rPr>
          <w:rFonts w:ascii="Times New Roman" w:hAnsi="Times New Roman"/>
          <w:i/>
          <w:sz w:val="20"/>
        </w:rPr>
        <w:t xml:space="preserve">provided, </w:t>
      </w:r>
      <w:r>
        <w:rPr>
          <w:rFonts w:ascii="Times New Roman" w:hAnsi="Times New Roman"/>
          <w:sz w:val="20"/>
        </w:rPr>
        <w:t xml:space="preserve">that the Company, PubCo and the Redeeming Member may change the number of Redeemed Units and/or the Redemption Date specified in such Redemption Notice to another number and/or date by mutual agreement signed in writing by each of them; </w:t>
      </w:r>
      <w:r>
        <w:rPr>
          <w:rFonts w:ascii="Times New Roman" w:hAnsi="Times New Roman"/>
          <w:i/>
          <w:sz w:val="20"/>
        </w:rPr>
        <w:t>provided, further</w:t>
      </w:r>
      <w:r>
        <w:rPr>
          <w:rFonts w:ascii="Times New Roman" w:hAnsi="Times New Roman"/>
          <w:sz w:val="20"/>
        </w:rPr>
        <w:t xml:space="preserve"> that in the event PubCo elects a Share Settlement in connection with a Permitted Redemption, the Permitted Redemption may be conditioned (including as to timing) by the Redeeming Member on the closing of a purchase by another Person (whether in an underwritten offering, tender or exchange offer, or otherwise) of the shares of Class A Common Stock that may be issued in connection with such proposed Permitted Redemption. Subject to </w:t>
      </w:r>
      <w:r>
        <w:rPr>
          <w:rFonts w:ascii="Times New Roman" w:hAnsi="Times New Roman"/>
          <w:sz w:val="20"/>
          <w:u w:val="single"/>
        </w:rPr>
        <w:t>Section 11.03</w:t>
      </w:r>
      <w:r>
        <w:rPr>
          <w:rFonts w:ascii="Times New Roman" w:hAnsi="Times New Roman"/>
          <w:sz w:val="20"/>
        </w:rPr>
        <w:t xml:space="preserve"> and unless the Redeeming Member timely has delivered a Retraction Notice as provided in </w:t>
      </w:r>
      <w:r>
        <w:rPr>
          <w:rFonts w:ascii="Times New Roman" w:hAnsi="Times New Roman"/>
          <w:sz w:val="20"/>
          <w:u w:val="single"/>
        </w:rPr>
        <w:t>Section 11.01(d)</w:t>
      </w:r>
      <w:r>
        <w:rPr>
          <w:rFonts w:ascii="Times New Roman" w:hAnsi="Times New Roman"/>
          <w:sz w:val="20"/>
        </w:rPr>
        <w:t xml:space="preserve"> or has revoked or delayed a Redemption as provided in </w:t>
      </w:r>
      <w:r>
        <w:rPr>
          <w:rFonts w:ascii="Times New Roman" w:hAnsi="Times New Roman"/>
          <w:sz w:val="20"/>
          <w:u w:val="single"/>
        </w:rPr>
        <w:t>Section 11.01(e)</w:t>
      </w:r>
      <w:r>
        <w:rPr>
          <w:rFonts w:ascii="Times New Roman" w:hAnsi="Times New Roman"/>
          <w:sz w:val="20"/>
        </w:rPr>
        <w:t xml:space="preserve">, on the Redemption Date (to be effective immediately prior to the close of business on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Redeeming Member shall Transfer and surrender, free and clear of all liens and encumbrances, (x) the Redeemed Units to the Company (including any certificates representing the Redeemed Units if they are certificated), and (y) a number of shares of Class B Common Stock (together with any Corresponding Rights) equal to the number of Redeemed Units to PubCo;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(w) cancel the Redeemed Units, (x) transfer to the Redeeming Member the consideration to which the Redeeming Member is entitled under </w:t>
      </w:r>
      <w:r>
        <w:rPr>
          <w:rFonts w:ascii="Times New Roman" w:hAnsi="Times New Roman"/>
          <w:sz w:val="20"/>
          <w:u w:val="single"/>
        </w:rPr>
        <w:t>Section 11.01(c)</w:t>
      </w:r>
      <w:r>
        <w:rPr>
          <w:rFonts w:ascii="Times New Roman" w:hAnsi="Times New Roman"/>
          <w:sz w:val="20"/>
        </w:rPr>
        <w:t xml:space="preserve"> (and equal to the Capital Contribution with respect thereto received from PubCo pursuant to </w:t>
      </w:r>
      <w:r>
        <w:rPr>
          <w:rFonts w:ascii="Times New Roman" w:hAnsi="Times New Roman"/>
          <w:sz w:val="20"/>
          <w:u w:val="single"/>
        </w:rPr>
        <w:t>Section 11.02)</w:t>
      </w:r>
      <w:r>
        <w:rPr>
          <w:rFonts w:ascii="Times New Roman" w:hAnsi="Times New Roman"/>
          <w:sz w:val="20"/>
        </w:rPr>
        <w:t xml:space="preserve">, (y) if the Units are certificated, issue to the Redeeming Member a certificate for a number of Common Units equal to the difference (if any) between the number of Common Units evidenced by the certificate surrendered by the Redeeming Member pursuant to </w:t>
      </w:r>
      <w:r>
        <w:rPr>
          <w:rFonts w:ascii="Times New Roman" w:hAnsi="Times New Roman"/>
          <w:sz w:val="20"/>
          <w:u w:val="single"/>
        </w:rPr>
        <w:t>Section 11.01(a)(i)(x)</w:t>
      </w:r>
      <w:r>
        <w:rPr>
          <w:rFonts w:ascii="Times New Roman" w:hAnsi="Times New Roman"/>
          <w:sz w:val="20"/>
        </w:rPr>
        <w:t xml:space="preserve"> above and the Redeemed Units and (z) issue to PubCo a number of Common Units equal to the number of Redeemed Units surrendered by the Redeeming Member in accordance with </w:t>
      </w:r>
      <w:r>
        <w:rPr>
          <w:rFonts w:ascii="Times New Roman" w:hAnsi="Times New Roman"/>
          <w:sz w:val="20"/>
          <w:u w:val="single"/>
        </w:rPr>
        <w:t>Section 11.02</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PubCo shall cancel and retire for no consideration the shares of Class B Common Stock (together with any Corresponding Rights) that were Transferred to PubCo pursuant to </w:t>
      </w:r>
      <w:r>
        <w:rPr>
          <w:rFonts w:ascii="Times New Roman" w:hAnsi="Times New Roman"/>
          <w:sz w:val="20"/>
          <w:u w:val="single"/>
        </w:rPr>
        <w:t>Section 11.01(a)(i)(y)</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w:t>
      </w:r>
      <w:r>
        <w:rPr>
          <w:rFonts w:ascii="Times New Roman" w:hAnsi="Times New Roman"/>
          <w:sz w:val="20"/>
          <w:u w:val="single"/>
        </w:rPr>
        <w:t>ARTICLE XI</w:t>
      </w:r>
      <w:r>
        <w:rPr>
          <w:rFonts w:ascii="Times New Roman" w:hAnsi="Times New Roman"/>
          <w:sz w:val="20"/>
        </w:rPr>
        <w:t>, during the period from the Effective Date until the Management Elective Redemption Date, (i) if at any time (subject to any limitations in this Agreement and applicable Law) one or more AS Aggregators elect to exercise a Redemption Right (an “</w:t>
      </w:r>
      <w:r>
        <w:rPr>
          <w:rFonts w:ascii="Times New Roman" w:hAnsi="Times New Roman"/>
          <w:b/>
          <w:i/>
          <w:sz w:val="20"/>
        </w:rPr>
        <w:t>AS Redemption</w:t>
      </w:r>
      <w:r>
        <w:rPr>
          <w:rFonts w:ascii="Times New Roman" w:hAnsi="Times New Roman"/>
          <w:sz w:val="20"/>
        </w:rPr>
        <w:t>”), Management Holdings shall transfer, in a Redemption or Direct Exchange (as applicable), a percentage of its Eligible Units that corresponds to the percentage of the AS Aggregators’ Eligible Units (relative to the AS Aggregators’ total aggregate Eligible Units held) in respect of which a Redemption Right is being exercised (such percentage, the “</w:t>
      </w:r>
      <w:r>
        <w:rPr>
          <w:rFonts w:ascii="Times New Roman" w:hAnsi="Times New Roman"/>
          <w:b/>
          <w:i/>
          <w:sz w:val="20"/>
        </w:rPr>
        <w:t>AS Sale Percentage</w:t>
      </w:r>
      <w:r>
        <w:rPr>
          <w:rFonts w:ascii="Times New Roman" w:hAnsi="Times New Roman"/>
          <w:sz w:val="20"/>
        </w:rPr>
        <w:t xml:space="preserve">”), and (ii) Management Holdings shall not be permitted to exercise its Redemption Right pursuant to </w:t>
      </w:r>
      <w:r>
        <w:rPr>
          <w:rFonts w:ascii="Times New Roman" w:hAnsi="Times New Roman"/>
          <w:sz w:val="20"/>
          <w:u w:val="single"/>
        </w:rPr>
        <w:t>Section 11.01(a)</w:t>
      </w:r>
      <w:r>
        <w:rPr>
          <w:rFonts w:ascii="Times New Roman" w:hAnsi="Times New Roman"/>
          <w:sz w:val="20"/>
        </w:rPr>
        <w:t xml:space="preserve"> independently of an AS Redemption (any such mandatory Redemption event, a “</w:t>
      </w:r>
      <w:r>
        <w:rPr>
          <w:rFonts w:ascii="Times New Roman" w:hAnsi="Times New Roman"/>
          <w:b/>
          <w:i/>
          <w:sz w:val="20"/>
        </w:rPr>
        <w:t>Management Co-Redemption</w:t>
      </w:r>
      <w:r>
        <w:rPr>
          <w:rFonts w:ascii="Times New Roman" w:hAnsi="Times New Roman"/>
          <w:sz w:val="20"/>
        </w:rPr>
        <w:t xml:space="preserve">”). In furtherance of the foregoing, if a redeeming AS Aggregator delivers a Redemption Notice, Management Holdings shall be deemed to have delivered a Redemption Notice for purposes of a simultaneous Management Co-Redemption, with the number of Redeemed Units with respect thereto to be calculated based on the AS Sale Percentage. A Management Co-Redemption shall be effectuated at the same time and on the same terms (including by means of a Direct Exchange, if elected by Pubco pursuant to </w:t>
      </w:r>
      <w:r>
        <w:rPr>
          <w:rFonts w:ascii="Times New Roman" w:hAnsi="Times New Roman"/>
          <w:sz w:val="20"/>
          <w:u w:val="single"/>
        </w:rPr>
        <w:t>Section 11.03(a)</w:t>
      </w:r>
      <w:r>
        <w:rPr>
          <w:rFonts w:ascii="Times New Roman" w:hAnsi="Times New Roman"/>
          <w:sz w:val="20"/>
        </w:rPr>
        <w:t xml:space="preserve">) as the corresponding AS Redemption. If a redeeming AS Aggregator retracts, revokes or delays its Redemption or Direct Exchange, as applicable, a corresponding action shall be deemed to be taken with respect to the Management Co-Redemption, so that in all instances, until the Management Elective Redemption Date, a Management Co-Redemption shall occur or not occur together with the AS Redemption giving rise to such Management Co-Redemption. In connection with any Management Co-Redemption, Management Holdings agrees to take such actions and provide such cooperation (including as to the calculation of Redeemed Units, if applicable) as may be reasonably requested by the Company or PubCo in connection with consummating such Management Co-Redemption. For the avoidance of doubt, the terms of </w:t>
      </w:r>
      <w:r>
        <w:rPr>
          <w:rFonts w:ascii="Times New Roman" w:hAnsi="Times New Roman"/>
          <w:sz w:val="20"/>
          <w:u w:val="single"/>
        </w:rPr>
        <w:t>Section 11.01(d)</w:t>
      </w:r>
      <w:r>
        <w:rPr>
          <w:rFonts w:ascii="Times New Roman" w:hAnsi="Times New Roman"/>
          <w:sz w:val="20"/>
        </w:rPr>
        <w:t xml:space="preserve">, </w:t>
      </w:r>
      <w:r>
        <w:rPr>
          <w:rFonts w:ascii="Times New Roman" w:hAnsi="Times New Roman"/>
          <w:sz w:val="20"/>
          <w:u w:val="single"/>
        </w:rPr>
        <w:t>Section 11.01(e)</w:t>
      </w:r>
      <w:r>
        <w:rPr>
          <w:rFonts w:ascii="Times New Roman" w:hAnsi="Times New Roman"/>
          <w:sz w:val="20"/>
        </w:rPr>
        <w:t xml:space="preserve"> and </w:t>
      </w:r>
      <w:r>
        <w:rPr>
          <w:rFonts w:ascii="Times New Roman" w:hAnsi="Times New Roman"/>
          <w:sz w:val="20"/>
          <w:u w:val="single"/>
        </w:rPr>
        <w:t>Section 11.01(i)</w:t>
      </w:r>
      <w:r>
        <w:rPr>
          <w:rFonts w:ascii="Times New Roman" w:hAnsi="Times New Roman"/>
          <w:sz w:val="20"/>
        </w:rPr>
        <w:t xml:space="preserve"> pertaining to Management Holdings Partners shall not apply in the case of a Management Co-Redemption.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PubCo shall have the option (as determined by the Corporate Board), as provided in </w:t>
      </w:r>
      <w:r>
        <w:rPr>
          <w:rFonts w:ascii="Times New Roman" w:hAnsi="Times New Roman"/>
          <w:sz w:val="20"/>
          <w:u w:val="single"/>
        </w:rPr>
        <w:t>Section 11.02</w:t>
      </w:r>
      <w:r>
        <w:rPr>
          <w:rFonts w:ascii="Times New Roman" w:hAnsi="Times New Roman"/>
          <w:sz w:val="20"/>
        </w:rPr>
        <w:t xml:space="preserve">, to elect to have the Redeemed Units be redeemed in consideration for either a Share Settlement or a Cash Settlement; </w:t>
      </w:r>
      <w:r>
        <w:rPr>
          <w:rFonts w:ascii="Times New Roman" w:hAnsi="Times New Roman"/>
          <w:i/>
          <w:sz w:val="20"/>
        </w:rPr>
        <w:t xml:space="preserve">provided, </w:t>
      </w:r>
      <w:r>
        <w:rPr>
          <w:rFonts w:ascii="Times New Roman" w:hAnsi="Times New Roman"/>
          <w:sz w:val="20"/>
        </w:rPr>
        <w:t>for the avoidance of doubt, that PubCo may elect to have the Redeemed Units be redeemed in consideration for a Cash Settlement only to the extent that PubCo has funds available from a Secondary Offering in an amount at least equal to the Redeemed Units Equivalent. PubCo shall give written notice (the “</w:t>
      </w:r>
      <w:r>
        <w:rPr>
          <w:rFonts w:ascii="Times New Roman" w:hAnsi="Times New Roman"/>
          <w:b/>
          <w:i/>
          <w:sz w:val="20"/>
        </w:rPr>
        <w:t>Election Notice</w:t>
      </w:r>
      <w:r>
        <w:rPr>
          <w:rFonts w:ascii="Times New Roman" w:hAnsi="Times New Roman"/>
          <w:sz w:val="20"/>
        </w:rPr>
        <w:t xml:space="preserve">”) to the Company (with a copy to the applicable Redeeming Member) of such election within three (3) Business Days of receiving the Redemption Notice; </w:t>
      </w:r>
      <w:r>
        <w:rPr>
          <w:rFonts w:ascii="Times New Roman" w:hAnsi="Times New Roman"/>
          <w:i/>
          <w:sz w:val="20"/>
        </w:rPr>
        <w:t xml:space="preserve">provided, </w:t>
      </w:r>
      <w:r>
        <w:rPr>
          <w:rFonts w:ascii="Times New Roman" w:hAnsi="Times New Roman"/>
          <w:sz w:val="20"/>
        </w:rPr>
        <w:t xml:space="preserve">that if PubCo does not timely deliver an Election Notice, PubCo shall be deemed to have elected the Share Settlement method. If PubCo elects a Share Settlement (including in connection with a Direct Exchange pursuant to </w:t>
      </w:r>
      <w:r>
        <w:rPr>
          <w:rFonts w:ascii="Times New Roman" w:hAnsi="Times New Roman"/>
          <w:sz w:val="20"/>
          <w:u w:val="single"/>
        </w:rPr>
        <w:t>Section 11.03</w:t>
      </w:r>
      <w:r>
        <w:rPr>
          <w:rFonts w:ascii="Times New Roman" w:hAnsi="Times New Roman"/>
          <w:sz w:val="20"/>
        </w:rPr>
        <w:t xml:space="preserve">), PubCo shall deliver or cause to be delivered the number of shares of Class A Common Stock deliverable upon such Share Settlement as promptly as practicable (but not later than three (3) Business Days) after the Redemption Date, at the offices of the then-acting registrar and transfer agent of the shares of Class A Common Stock (or, if there is no then-acting registrar and transfer agent of Class A Common Stock, at the principal executive offices of PubCo), registered in the name of the relevant Redeeming Member (or in such other name(s) as is requested in writing by the Redeeming Member), in certificated or uncertificated form, as determined by PubCo; </w:t>
      </w:r>
      <w:r>
        <w:rPr>
          <w:rFonts w:ascii="Times New Roman" w:hAnsi="Times New Roman"/>
          <w:i/>
          <w:sz w:val="20"/>
        </w:rPr>
        <w:t xml:space="preserve">provided, </w:t>
      </w:r>
      <w:r>
        <w:rPr>
          <w:rFonts w:ascii="Times New Roman" w:hAnsi="Times New Roman"/>
          <w:sz w:val="20"/>
        </w:rPr>
        <w:t xml:space="preserve">that to the extent the shares of Class A Common Stock are settled through the facilities of The Depository Trust Company, upon the written instruction of the Redeeming Member set forth in the Redemption Notice, PubCo shall use its commercially reasonable efforts to deliver the shares of Class A Common Stock deliverable to such Redeeming Member through the facilities of The Depository Trust Company, to the account of the participant(s) of The Depository Trust Company designated by such Redeeming Member by no later than the close of business on the Business Day immediately following the Redemption Date. Notwithstanding anything to the contrary in this Agreement, neither PubCo nor the Company shall effectuate a Cash Settlement that is to be funded by a Secondary Offering unless PubCo has authorized and consummated such Secondary Offering by no later than the Redemption Date for the purpose of satisfying such Cash Settlement. If for any reason PubCo is unable to complete such Secondary Offering by the Redemption Date, then the applicable Redeemed Units shall instead be redeemed by Share Settlement, notwithstanding that PubCo may have initially elected a Cash Settlement of such Redeemed Units. </w:t>
      </w:r>
    </w:p>
    <w:p>
      <w:pPr>
        <w:pStyle w:val="TextBody"/>
        <w:bidi w:val="0"/>
        <w:spacing w:before="240" w:after="0"/>
        <w:jc w:val="left"/>
        <w:rPr>
          <w:rFonts w:ascii="Times New Roman" w:hAnsi="Times New Roman"/>
          <w:sz w:val="20"/>
        </w:rPr>
      </w:pPr>
      <w:r>
        <w:rPr>
          <w:rFonts w:ascii="Times New Roman" w:hAnsi="Times New Roman"/>
          <w:sz w:val="20"/>
        </w:rPr>
        <w:t>(d) Unless otherwise agreed by the Redeeming Member, in the event PubCo elects the Cash Settlement in connection with any Permitted Redemption, the Redeeming Member may retract its Redemption Notice by giving written notice (the “</w:t>
      </w:r>
      <w:r>
        <w:rPr>
          <w:rFonts w:ascii="Times New Roman" w:hAnsi="Times New Roman"/>
          <w:b/>
          <w:i/>
          <w:sz w:val="20"/>
        </w:rPr>
        <w:t>Retraction Notice</w:t>
      </w:r>
      <w:r>
        <w:rPr>
          <w:rFonts w:ascii="Times New Roman" w:hAnsi="Times New Roman"/>
          <w:sz w:val="20"/>
        </w:rPr>
        <w:t xml:space="preserve">”) to the Company (with a copy to PubCo) within two (2) Business Days of delivery of the Election Notice. Subject to the last three sentences of this </w:t>
      </w:r>
      <w:r>
        <w:rPr>
          <w:rFonts w:ascii="Times New Roman" w:hAnsi="Times New Roman"/>
          <w:sz w:val="20"/>
          <w:u w:val="single"/>
        </w:rPr>
        <w:t>Section 11.01(d)</w:t>
      </w:r>
      <w:r>
        <w:rPr>
          <w:rFonts w:ascii="Times New Roman" w:hAnsi="Times New Roman"/>
          <w:sz w:val="20"/>
        </w:rPr>
        <w:t xml:space="preserve">, if, in the case of a Redemption that is not a Permitted Redemption, the Common Unit Redemption Price (calculated for purposes of this </w:t>
      </w:r>
      <w:r>
        <w:rPr>
          <w:rFonts w:ascii="Times New Roman" w:hAnsi="Times New Roman"/>
          <w:sz w:val="20"/>
          <w:u w:val="single"/>
        </w:rPr>
        <w:t>Section 11.01(d)</w:t>
      </w:r>
      <w:r>
        <w:rPr>
          <w:rFonts w:ascii="Times New Roman" w:hAnsi="Times New Roman"/>
          <w:sz w:val="20"/>
        </w:rPr>
        <w:t xml:space="preserve"> as set forth in </w:t>
      </w:r>
      <w:r>
        <w:rPr>
          <w:rFonts w:ascii="Times New Roman" w:hAnsi="Times New Roman"/>
          <w:sz w:val="20"/>
          <w:u w:val="single"/>
        </w:rPr>
        <w:t>clause (ii)</w:t>
      </w:r>
      <w:r>
        <w:rPr>
          <w:rFonts w:ascii="Times New Roman" w:hAnsi="Times New Roman"/>
          <w:sz w:val="20"/>
        </w:rPr>
        <w:t> of such definition) (determined by treating the last full Trading Day that is three (3) Business Days immediately prior to the applicable Redemption Date as the final measurement date of the five-day period used to calculate the Common Unit Redemption Price) decreases by more than 10% from the Common Unit Redemption Price (determined by treating the last full Trading Day that is immediately prior to the date of delivery of the applicable Redemption Notice as the final measurement date of such five-day period used to calculate the Common Unit Redemption Price), the Redeeming Member may (unless otherwise agreed by the Redeeming Member) elect to retract its Redemption Notice by giving written notice of such election (a “</w:t>
      </w:r>
      <w:r>
        <w:rPr>
          <w:rFonts w:ascii="Times New Roman" w:hAnsi="Times New Roman"/>
          <w:b/>
          <w:i/>
          <w:sz w:val="20"/>
        </w:rPr>
        <w:t>Restricted Retraction Notice</w:t>
      </w:r>
      <w:r>
        <w:rPr>
          <w:rFonts w:ascii="Times New Roman" w:hAnsi="Times New Roman"/>
          <w:sz w:val="20"/>
        </w:rPr>
        <w:t xml:space="preserve">”) to PubCo and the Company no later than three (3) Business Days prior to the Redemption Date. The timely delivery of a Retraction Notice or Restricted Retraction Notice, as applicable, shall terminate all of the Redeeming Member’s,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and PubCo’s rights and obligations under this </w:t>
      </w:r>
      <w:r>
        <w:rPr>
          <w:rFonts w:ascii="Times New Roman" w:hAnsi="Times New Roman"/>
          <w:sz w:val="20"/>
          <w:u w:val="single"/>
        </w:rPr>
        <w:t>Section 11.01</w:t>
      </w:r>
      <w:r>
        <w:rPr>
          <w:rFonts w:ascii="Times New Roman" w:hAnsi="Times New Roman"/>
          <w:sz w:val="20"/>
        </w:rPr>
        <w:t xml:space="preserve"> arising from the applicable Redemption Notice (but not, for the avoidance of doubt, from any Redemption Notice not retracted or that may be delivered in the future). A Redeeming Member may deliver a Restricted Retraction Notice only once in every 12-month period (and any additional Restricted Retraction Notice delivered by such Redeeming Member within such 12-month period shall be deemed null and void </w:t>
      </w:r>
      <w:r>
        <w:rPr>
          <w:rFonts w:ascii="Times New Roman" w:hAnsi="Times New Roman"/>
          <w:i/>
          <w:sz w:val="20"/>
        </w:rPr>
        <w:t>ab initio</w:t>
      </w:r>
      <w:r>
        <w:rPr>
          <w:rFonts w:ascii="Times New Roman" w:hAnsi="Times New Roman"/>
          <w:sz w:val="20"/>
        </w:rPr>
        <w:t xml:space="preserve"> and ineffective with respect to the revocation of the Redemption specified therein). A Redeeming Member who revokes a Redemption pursuant to a Restricted Retraction Notice may not participate in the Redemption to occur on the next Quarterly Redemption Date immediately following the Quarterly Redemption Date with respect to which the Restricted Retraction Notice pertains. In the event that Management Holdings is the Redeeming Member, (a) any retraction that is permitted under this </w:t>
      </w:r>
      <w:r>
        <w:rPr>
          <w:rFonts w:ascii="Times New Roman" w:hAnsi="Times New Roman"/>
          <w:sz w:val="20"/>
          <w:u w:val="single"/>
        </w:rPr>
        <w:t>Section 11.01(d)</w:t>
      </w:r>
      <w:r>
        <w:rPr>
          <w:rFonts w:ascii="Times New Roman" w:hAnsi="Times New Roman"/>
          <w:sz w:val="20"/>
        </w:rPr>
        <w:t xml:space="preserve"> may be made or not made separately as to Redeemed Units that correspond to Corresponding Management Units held by different Management Holdings Partners that have requested a Redemption pursuant to the terms of the Management Holdings Agreement, in which case the provisions of this </w:t>
      </w:r>
      <w:r>
        <w:rPr>
          <w:rFonts w:ascii="Times New Roman" w:hAnsi="Times New Roman"/>
          <w:sz w:val="20"/>
          <w:u w:val="single"/>
        </w:rPr>
        <w:t xml:space="preserve">Section 11.01(d) </w:t>
      </w:r>
      <w:r>
        <w:rPr>
          <w:rFonts w:ascii="Times New Roman" w:hAnsi="Times New Roman"/>
          <w:sz w:val="20"/>
        </w:rPr>
        <w:t xml:space="preserve">shall be applied to reflect such partial retraction, </w:t>
      </w:r>
      <w:r>
        <w:rPr>
          <w:rFonts w:ascii="Times New Roman" w:hAnsi="Times New Roman"/>
          <w:i/>
          <w:sz w:val="20"/>
        </w:rPr>
        <w:t>mutatis mutandis</w:t>
      </w:r>
      <w:r>
        <w:rPr>
          <w:rFonts w:ascii="Times New Roman" w:hAnsi="Times New Roman"/>
          <w:sz w:val="20"/>
        </w:rPr>
        <w:t xml:space="preserve">, and (b) the limitations set forth in the preceding two sentences shall apply to the Management Holdings Partner in relation to whom a Redemption Notice or Restricted Retraction Notice has been delivered by Management Holdings, and not to Management Holdings itself.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PubCo elects a Share Settlement in connection with a Redemption, a Redeeming Member shall be entitled (unless otherwise agreed by the Redeeming Member) to revoke its Redemption Notice or delay the consummation of a Redemption (or, in the case of Management Holdings, revoke that portion of the Redemption Notice or delay that portion of the Redemption corresponding to the Corresponding Management Units held by any particular requesting Management Holdings Partner pursuant to the terms of the Management Holdings Agreement) if any of the following conditions exists: </w:t>
      </w:r>
    </w:p>
    <w:p>
      <w:pPr>
        <w:pStyle w:val="TextBody"/>
        <w:bidi w:val="0"/>
        <w:spacing w:before="240" w:after="0"/>
        <w:jc w:val="left"/>
        <w:rPr>
          <w:rFonts w:ascii="Times New Roman" w:hAnsi="Times New Roman"/>
          <w:sz w:val="20"/>
        </w:rPr>
      </w:pPr>
      <w:r>
        <w:rPr>
          <w:rFonts w:ascii="Times New Roman" w:hAnsi="Times New Roman"/>
          <w:sz w:val="20"/>
        </w:rPr>
        <w:t xml:space="preserve">(i) any registration statement pursuant to which the resale of the Class A Common Stock to be registered for such Redeeming Member (or corresponding Management Holdings Partner) at or immediately following the consummation of the Redemption shall have ceased to be effective pursuant to any action or inaction by the SEC or no such resale registration statement has yet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(ii) PubCo shall have failed to cause any related prospectus to be supplemented by any required prospectus supplement necessary to effect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(iii) PubCo shall have exercised its right to defer, delay or suspend the filing or effectiveness of a registration statement and such deferral, delay or suspension shall affect the ability of such Redeeming Member (or corresponding Management Holdings Partner) to have its Class A Common Stock registered at or immediately following the consummation of the Redemption; </w:t>
      </w:r>
    </w:p>
    <w:p>
      <w:pPr>
        <w:pStyle w:val="TextBody"/>
        <w:bidi w:val="0"/>
        <w:spacing w:before="240" w:after="0"/>
        <w:jc w:val="left"/>
        <w:rPr>
          <w:rFonts w:ascii="Times New Roman" w:hAnsi="Times New Roman"/>
          <w:sz w:val="20"/>
        </w:rPr>
      </w:pPr>
      <w:r>
        <w:rPr>
          <w:rFonts w:ascii="Times New Roman" w:hAnsi="Times New Roman"/>
          <w:sz w:val="20"/>
        </w:rPr>
        <w:t xml:space="preserve">(iv) the Redeeming Member (or corresponding Management Holdings Partner) is in possession of any material non-public information concerning PubCo, the receipt of which results in such Redeeming Member (or corresponding Management Holdings Partner) being prohibited or restricted from selling Class A Common Stock at or immediately following the Redemption without disclosure of such information (and PubCo does not permit disclosure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stop order relating to the registration statement pursuant to which the Class A Common Stock was to be registered by such Redeeming Member (or corresponding Management Holdings Partner) at or immediately following the Redemption shall have been issued by the SEC; </w:t>
      </w:r>
    </w:p>
    <w:p>
      <w:pPr>
        <w:pStyle w:val="TextBody"/>
        <w:bidi w:val="0"/>
        <w:spacing w:before="240" w:after="0"/>
        <w:jc w:val="left"/>
        <w:rPr>
          <w:rFonts w:ascii="Times New Roman" w:hAnsi="Times New Roman"/>
          <w:sz w:val="20"/>
        </w:rPr>
      </w:pPr>
      <w:r>
        <w:rPr>
          <w:rFonts w:ascii="Times New Roman" w:hAnsi="Times New Roman"/>
          <w:sz w:val="20"/>
        </w:rPr>
        <w:t xml:space="preserve">(vi) there shall have occurred a material disruption in the securities markets generally or in the market or markets in which the Class A Common Stock is then traded; </w:t>
      </w:r>
    </w:p>
    <w:p>
      <w:pPr>
        <w:pStyle w:val="TextBody"/>
        <w:bidi w:val="0"/>
        <w:spacing w:before="240" w:after="0"/>
        <w:jc w:val="left"/>
        <w:rPr>
          <w:rFonts w:ascii="Times New Roman" w:hAnsi="Times New Roman"/>
          <w:sz w:val="20"/>
        </w:rPr>
      </w:pPr>
      <w:r>
        <w:rPr>
          <w:rFonts w:ascii="Times New Roman" w:hAnsi="Times New Roman"/>
          <w:sz w:val="20"/>
        </w:rPr>
        <w:t xml:space="preserve">(vii) there shall be in effect an injunction, a restraining order or a decree of any nature of any Governmental Entity that restrains or prohibits the Redemption; </w:t>
      </w:r>
    </w:p>
    <w:p>
      <w:pPr>
        <w:pStyle w:val="TextBody"/>
        <w:bidi w:val="0"/>
        <w:spacing w:before="240" w:after="0"/>
        <w:jc w:val="left"/>
        <w:rPr>
          <w:rFonts w:ascii="Times New Roman" w:hAnsi="Times New Roman"/>
          <w:sz w:val="20"/>
        </w:rPr>
      </w:pPr>
      <w:r>
        <w:rPr>
          <w:rFonts w:ascii="Times New Roman" w:hAnsi="Times New Roman"/>
          <w:sz w:val="20"/>
        </w:rPr>
        <w:t xml:space="preserve">(viii) PubCo shall have failed to comply in all material respects with its obligations under the Registration Rights Agreement, and such failure shall have affected the ability of such Redeeming Member (or corresponding Management Holdings Partner), if applicable, to consummate the resale of Class A Common Stock to be received upon such Redemption pursuant to an effective registration statement; or </w:t>
      </w:r>
    </w:p>
    <w:p>
      <w:pPr>
        <w:pStyle w:val="TextBody"/>
        <w:bidi w:val="0"/>
        <w:spacing w:before="240" w:after="0"/>
        <w:jc w:val="left"/>
        <w:rPr>
          <w:rFonts w:ascii="Times New Roman" w:hAnsi="Times New Roman"/>
          <w:sz w:val="20"/>
        </w:rPr>
      </w:pPr>
      <w:r>
        <w:rPr>
          <w:rFonts w:ascii="Times New Roman" w:hAnsi="Times New Roman"/>
          <w:sz w:val="20"/>
        </w:rPr>
        <w:t xml:space="preserve">(ix) the Redemption Date would occur three (3) Business Days or less prior to, or during, a Redemption Black-Out Period. </w:t>
      </w:r>
    </w:p>
    <w:p>
      <w:pPr>
        <w:pStyle w:val="TextBody"/>
        <w:bidi w:val="0"/>
        <w:spacing w:before="240" w:after="0"/>
        <w:jc w:val="left"/>
        <w:rPr>
          <w:rFonts w:ascii="Times New Roman" w:hAnsi="Times New Roman"/>
          <w:sz w:val="20"/>
        </w:rPr>
      </w:pPr>
      <w:r>
        <w:rPr>
          <w:rFonts w:ascii="Times New Roman" w:hAnsi="Times New Roman"/>
          <w:sz w:val="20"/>
        </w:rPr>
        <w:t xml:space="preserve">If a Redeeming Member delays the consummation of a Redemption pursuant to this </w:t>
      </w:r>
      <w:r>
        <w:rPr>
          <w:rFonts w:ascii="Times New Roman" w:hAnsi="Times New Roman"/>
          <w:sz w:val="20"/>
          <w:u w:val="single"/>
        </w:rPr>
        <w:t>Section 11.01(e)</w:t>
      </w:r>
      <w:r>
        <w:rPr>
          <w:rFonts w:ascii="Times New Roman" w:hAnsi="Times New Roman"/>
          <w:sz w:val="20"/>
        </w:rPr>
        <w:t xml:space="preserve">, the Redemption Date shall occur on the fifth (5th) Business Day following the date on which the condition(s) giving rise to such delay cease to exist (or such earlier date as PubCo, the Company and such Redeeming Member may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(f) 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w:t>
      </w:r>
      <w:r>
        <w:rPr>
          <w:rFonts w:ascii="Times New Roman" w:hAnsi="Times New Roman"/>
          <w:i/>
          <w:sz w:val="20"/>
        </w:rPr>
        <w:t xml:space="preserve">provided, however, </w:t>
      </w:r>
      <w:r>
        <w:rPr>
          <w:rFonts w:ascii="Times New Roman" w:hAnsi="Times New Roman"/>
          <w:sz w:val="20"/>
        </w:rPr>
        <w:t xml:space="preserve">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p>
    <w:p>
      <w:pPr>
        <w:pStyle w:val="TextBody"/>
        <w:bidi w:val="0"/>
        <w:spacing w:before="240" w:after="0"/>
        <w:jc w:val="left"/>
        <w:rPr>
          <w:rFonts w:ascii="Times New Roman" w:hAnsi="Times New Roman"/>
          <w:sz w:val="20"/>
        </w:rPr>
      </w:pPr>
      <w:r>
        <w:rPr>
          <w:rFonts w:ascii="Times New Roman" w:hAnsi="Times New Roman"/>
          <w:sz w:val="20"/>
        </w:rPr>
        <w:t xml:space="preserve">(g) 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Notwithstanding anything to the contrary herein, (i) no Redemption shall be permitted (and, if attempted, shall be void </w:t>
      </w:r>
      <w:r>
        <w:rPr>
          <w:rFonts w:ascii="Times New Roman" w:hAnsi="Times New Roman"/>
          <w:i/>
          <w:sz w:val="20"/>
        </w:rPr>
        <w:t>ab initio</w:t>
      </w:r>
      <w:r>
        <w:rPr>
          <w:rFonts w:ascii="Times New Roman" w:hAnsi="Times New Roman"/>
          <w:sz w:val="20"/>
        </w:rPr>
        <w:t xml:space="preserve">) if, in the good faith determination of the Company or of PubCo, such Redemption would have the effect set forth in </w:t>
      </w:r>
      <w:r>
        <w:rPr>
          <w:rFonts w:ascii="Times New Roman" w:hAnsi="Times New Roman"/>
          <w:sz w:val="20"/>
          <w:u w:val="single"/>
        </w:rPr>
        <w:t>Section 10.07(b)(v)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or otherwise pose a material risk that the Company would be a “publicly traded partnership” under Section 7704 of the Code, and (ii) if there is a material risk that the Company would be a “publicly traded partnership” under Section 7704 of the Code notwithstanding the restrictions then in effect with respect to any Redemptions, the Company or PubCo may impose additional restrictions on Redemptions as the Company or PubCo may determine to be necessary or advisable so that the Company is not treated as a “publicly traded partnership” under Section 7704 of the Code. </w:t>
      </w:r>
    </w:p>
    <w:p>
      <w:pPr>
        <w:pStyle w:val="TextBody"/>
        <w:bidi w:val="0"/>
        <w:spacing w:before="240" w:after="0"/>
        <w:jc w:val="left"/>
        <w:rPr>
          <w:rFonts w:ascii="Times New Roman" w:hAnsi="Times New Roman"/>
          <w:sz w:val="20"/>
        </w:rPr>
      </w:pPr>
      <w:r>
        <w:rPr>
          <w:rFonts w:ascii="Times New Roman" w:hAnsi="Times New Roman"/>
          <w:sz w:val="20"/>
        </w:rPr>
        <w:t xml:space="preserve">(i) For the avoidance of doubt, and notwithstanding anything to the contrary herein, a Member shall not be entitled to redeem Redeemed Units to the extent PubCo determines that such Redemption (i) would be prohibited by Law or regulation (including the unavailability of any requisite registration statement filed under the U.S. Securities Act of 1933, as amended) or (ii) would not be permitted under any other agreements with PubCo or its Subsidiaries to which such Member (or corresponding Management Holdings Partner) may be party or any written policies of PubCo related to unlawful or improper trading (including the policies of PubCo relating to insider trading).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Election and Contribution of PubCo</w:t>
      </w:r>
      <w:r>
        <w:rPr>
          <w:rFonts w:ascii="Times New Roman" w:hAnsi="Times New Roman"/>
          <w:sz w:val="20"/>
        </w:rPr>
        <w:t xml:space="preserve">. Unless the Redeeming Member has timely delivered a Retraction Notice or Restricted Retraction Notice as provided in </w:t>
      </w:r>
      <w:r>
        <w:rPr>
          <w:rFonts w:ascii="Times New Roman" w:hAnsi="Times New Roman"/>
          <w:sz w:val="20"/>
          <w:u w:val="single"/>
        </w:rPr>
        <w:t>Section 11.01(d)</w:t>
      </w:r>
      <w:r>
        <w:rPr>
          <w:rFonts w:ascii="Times New Roman" w:hAnsi="Times New Roman"/>
          <w:sz w:val="20"/>
        </w:rPr>
        <w:t xml:space="preserve">, or has revoked or delayed a Redemption as provided in </w:t>
      </w:r>
      <w:r>
        <w:rPr>
          <w:rFonts w:ascii="Times New Roman" w:hAnsi="Times New Roman"/>
          <w:sz w:val="20"/>
          <w:u w:val="single"/>
        </w:rPr>
        <w:t>Section 11.01(e)</w:t>
      </w:r>
      <w:r>
        <w:rPr>
          <w:rFonts w:ascii="Times New Roman" w:hAnsi="Times New Roman"/>
          <w:sz w:val="20"/>
        </w:rPr>
        <w:t xml:space="preserve">, subject to </w:t>
      </w:r>
      <w:r>
        <w:rPr>
          <w:rFonts w:ascii="Times New Roman" w:hAnsi="Times New Roman"/>
          <w:sz w:val="20"/>
          <w:u w:val="single"/>
        </w:rPr>
        <w:t>Section 11.03</w:t>
      </w:r>
      <w:r>
        <w:rPr>
          <w:rFonts w:ascii="Times New Roman" w:hAnsi="Times New Roman"/>
          <w:sz w:val="20"/>
        </w:rPr>
        <w:t xml:space="preserve">, on the Redemption Date (to be effective immediately prior to the close of business on the Redemption Date) (i) PubCo shall make a Capital Contribution to the Company (in the form of the Share Settlement or the Cash Settlement, as determined by PubCo in accordance with </w:t>
      </w:r>
      <w:r>
        <w:rPr>
          <w:rFonts w:ascii="Times New Roman" w:hAnsi="Times New Roman"/>
          <w:sz w:val="20"/>
          <w:u w:val="single"/>
        </w:rPr>
        <w:t>Section 11.01(c)</w:t>
      </w:r>
      <w:r>
        <w:rPr>
          <w:rFonts w:ascii="Times New Roman" w:hAnsi="Times New Roman"/>
          <w:sz w:val="20"/>
        </w:rPr>
        <w:t xml:space="preserve">), and (ii) except in connection with a Direct Exchange pursuant to </w:t>
      </w:r>
      <w:r>
        <w:rPr>
          <w:rFonts w:ascii="Times New Roman" w:hAnsi="Times New Roman"/>
          <w:sz w:val="20"/>
          <w:u w:val="single"/>
        </w:rPr>
        <w:t>Section 11.03</w:t>
      </w:r>
      <w:r>
        <w:rPr>
          <w:rFonts w:ascii="Times New Roman" w:hAnsi="Times New Roman"/>
          <w:sz w:val="20"/>
        </w:rPr>
        <w:t xml:space="preserve">, the Company shall issue to PubCo a number of Common Units equal to the number of Redeemed Units surrendered by the Redeeming Member. Notwithstanding any other provisions of this Agreement to the contrary, but subject to </w:t>
      </w:r>
      <w:r>
        <w:rPr>
          <w:rFonts w:ascii="Times New Roman" w:hAnsi="Times New Roman"/>
          <w:sz w:val="20"/>
          <w:u w:val="single"/>
        </w:rPr>
        <w:t>Section 11.01(c)</w:t>
      </w:r>
      <w:r>
        <w:rPr>
          <w:rFonts w:ascii="Times New Roman" w:hAnsi="Times New Roman"/>
          <w:sz w:val="20"/>
        </w:rPr>
        <w:t xml:space="preserve"> and </w:t>
      </w:r>
      <w:r>
        <w:rPr>
          <w:rFonts w:ascii="Times New Roman" w:hAnsi="Times New Roman"/>
          <w:sz w:val="20"/>
          <w:u w:val="single"/>
        </w:rPr>
        <w:t>Section 11.03</w:t>
      </w:r>
      <w:r>
        <w:rPr>
          <w:rFonts w:ascii="Times New Roman" w:hAnsi="Times New Roman"/>
          <w:sz w:val="20"/>
        </w:rPr>
        <w:t xml:space="preserve">, in the event that PubCo elects a Cash Settlement, PubCo shall only be obligated to contribute to the Company an amount in respect of such Cash Settlement equal to the Redeemed Units Equivalent with respect to such Cash Settlement, which in no event shall exceed the amount actually paid by the Company to the Redeeming Member as the Cash Settlement. The timely delivery of a Retraction Notice or Restricted Retraction Notice shall terminate all of the Company’s and PubCo’s rights and obligations under this </w:t>
      </w:r>
      <w:r>
        <w:rPr>
          <w:rFonts w:ascii="Times New Roman" w:hAnsi="Times New Roman"/>
          <w:sz w:val="20"/>
          <w:u w:val="single"/>
        </w:rPr>
        <w:t>Section 11.02</w:t>
      </w:r>
      <w:r>
        <w:rPr>
          <w:rFonts w:ascii="Times New Roman" w:hAnsi="Times New Roman"/>
          <w:sz w:val="20"/>
        </w:rPr>
        <w:t xml:space="preserve"> arising from the Redemption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Direct Exchange Right of PubCo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in this </w:t>
      </w:r>
      <w:r>
        <w:rPr>
          <w:rFonts w:ascii="Times New Roman" w:hAnsi="Times New Roman"/>
          <w:sz w:val="20"/>
          <w:u w:val="single"/>
        </w:rPr>
        <w:t>Article XI</w:t>
      </w:r>
      <w:r>
        <w:rPr>
          <w:rFonts w:ascii="Times New Roman" w:hAnsi="Times New Roman"/>
          <w:sz w:val="20"/>
        </w:rPr>
        <w:t xml:space="preserve"> (save for the limitations set forth in </w:t>
      </w:r>
      <w:r>
        <w:rPr>
          <w:rFonts w:ascii="Times New Roman" w:hAnsi="Times New Roman"/>
          <w:sz w:val="20"/>
          <w:u w:val="single"/>
        </w:rPr>
        <w:t>Section 11.01(c)</w:t>
      </w:r>
      <w:r>
        <w:rPr>
          <w:rFonts w:ascii="Times New Roman" w:hAnsi="Times New Roman"/>
          <w:sz w:val="20"/>
        </w:rPr>
        <w:t xml:space="preserve"> regarding PubCo’s option to select the Share Settlement or the Cash Settlement and the timing for such election, and without limitation to the rights of the Non-PubCo Members under </w:t>
      </w:r>
      <w:r>
        <w:rPr>
          <w:rFonts w:ascii="Times New Roman" w:hAnsi="Times New Roman"/>
          <w:sz w:val="20"/>
          <w:u w:val="single"/>
        </w:rPr>
        <w:t>Section 11.01</w:t>
      </w:r>
      <w:r>
        <w:rPr>
          <w:rFonts w:ascii="Times New Roman" w:hAnsi="Times New Roman"/>
          <w:sz w:val="20"/>
        </w:rPr>
        <w:t xml:space="preserve">, including the right to revoke a Redemption Notice or otherwise delay the consummation of a Redemption, unless otherwise agreed by a Redeeming Member), PubCo may, in its sole and absolute discretion (as determined by the Corporate Board) (subject to the limitations on such discretion set forth in </w:t>
      </w:r>
      <w:r>
        <w:rPr>
          <w:rFonts w:ascii="Times New Roman" w:hAnsi="Times New Roman"/>
          <w:sz w:val="20"/>
          <w:u w:val="single"/>
        </w:rPr>
        <w:t>Section 11.01(c)</w:t>
      </w:r>
      <w:r>
        <w:rPr>
          <w:rFonts w:ascii="Times New Roman" w:hAnsi="Times New Roman"/>
          <w:sz w:val="20"/>
        </w:rPr>
        <w:t xml:space="preserve">), elect to effect on the Redemption Date the exchange of Redeemed Units for the Share Settlement or the Cash Settlement, as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may be, through a direct exchange of such Redeemed Units and the Share Settlement or the Cash Settlement, as applicable, between the Redeeming Member and PubCo (a “</w:t>
      </w:r>
      <w:r>
        <w:rPr>
          <w:rFonts w:ascii="Times New Roman" w:hAnsi="Times New Roman"/>
          <w:b/>
          <w:i/>
          <w:sz w:val="20"/>
        </w:rPr>
        <w:t>Direct Exchange</w:t>
      </w:r>
      <w:r>
        <w:rPr>
          <w:rFonts w:ascii="Times New Roman" w:hAnsi="Times New Roman"/>
          <w:sz w:val="20"/>
        </w:rPr>
        <w:t xml:space="preserve">”) (rather than contributing the Share Settlement or the Cash Settlement, as the case may be, to the Company in accordance with </w:t>
      </w:r>
      <w:r>
        <w:rPr>
          <w:rFonts w:ascii="Times New Roman" w:hAnsi="Times New Roman"/>
          <w:sz w:val="20"/>
          <w:u w:val="single"/>
        </w:rPr>
        <w:t>Section 11.02</w:t>
      </w:r>
      <w:r>
        <w:rPr>
          <w:rFonts w:ascii="Times New Roman" w:hAnsi="Times New Roman"/>
          <w:sz w:val="20"/>
        </w:rPr>
        <w:t xml:space="preserve"> for purposes of the Company redeeming the Redeemed Units from the Redeeming Member in consideration of the Share Settlement or the Cash Settlement, as applicable). Upon such Direct Exchange pursuant to this </w:t>
      </w:r>
      <w:r>
        <w:rPr>
          <w:rFonts w:ascii="Times New Roman" w:hAnsi="Times New Roman"/>
          <w:sz w:val="20"/>
          <w:u w:val="single"/>
        </w:rPr>
        <w:t>Section 11.03</w:t>
      </w:r>
      <w:r>
        <w:rPr>
          <w:rFonts w:ascii="Times New Roman" w:hAnsi="Times New Roman"/>
          <w:sz w:val="20"/>
        </w:rPr>
        <w:t xml:space="preserve">, PubCo shall acquire the Redeemed Units and shall be treated for all purposes of this Agreement as the owner of such Units. </w:t>
      </w:r>
    </w:p>
    <w:p>
      <w:pPr>
        <w:pStyle w:val="TextBody"/>
        <w:bidi w:val="0"/>
        <w:spacing w:before="240" w:after="0"/>
        <w:jc w:val="left"/>
        <w:rPr>
          <w:rFonts w:ascii="Times New Roman" w:hAnsi="Times New Roman"/>
          <w:sz w:val="20"/>
        </w:rPr>
      </w:pPr>
      <w:r>
        <w:rPr>
          <w:rFonts w:ascii="Times New Roman" w:hAnsi="Times New Roman"/>
          <w:sz w:val="20"/>
        </w:rPr>
        <w:t xml:space="preserve">(b) PubCo may, at any time prior to a Redemption Date (including after delivery of an Election Notice pursuant to </w:t>
      </w:r>
      <w:r>
        <w:rPr>
          <w:rFonts w:ascii="Times New Roman" w:hAnsi="Times New Roman"/>
          <w:sz w:val="20"/>
          <w:u w:val="single"/>
        </w:rPr>
        <w:t>Section 11.01(c)</w:t>
      </w:r>
      <w:r>
        <w:rPr>
          <w:rFonts w:ascii="Times New Roman" w:hAnsi="Times New Roman"/>
          <w:sz w:val="20"/>
        </w:rPr>
        <w:t>), deliver written notice (an “</w:t>
      </w:r>
      <w:r>
        <w:rPr>
          <w:rFonts w:ascii="Times New Roman" w:hAnsi="Times New Roman"/>
          <w:b/>
          <w:i/>
          <w:sz w:val="20"/>
        </w:rPr>
        <w:t>Exchange Election Notice</w:t>
      </w:r>
      <w:r>
        <w:rPr>
          <w:rFonts w:ascii="Times New Roman" w:hAnsi="Times New Roman"/>
          <w:sz w:val="20"/>
        </w:rPr>
        <w:t xml:space="preserve">”) to the Company and the Redeeming Member setting forth its election to exercise its right to consummate a Direct Exchange; </w:t>
      </w:r>
      <w:r>
        <w:rPr>
          <w:rFonts w:ascii="Times New Roman" w:hAnsi="Times New Roman"/>
          <w:i/>
          <w:sz w:val="20"/>
        </w:rPr>
        <w:t xml:space="preserve">provided, </w:t>
      </w:r>
      <w:r>
        <w:rPr>
          <w:rFonts w:ascii="Times New Roman" w:hAnsi="Times New Roman"/>
          <w:sz w:val="20"/>
        </w:rPr>
        <w:t xml:space="preserve">that such election is subject to the limitations set forth in </w:t>
      </w:r>
      <w:r>
        <w:rPr>
          <w:rFonts w:ascii="Times New Roman" w:hAnsi="Times New Roman"/>
          <w:sz w:val="20"/>
          <w:u w:val="single"/>
        </w:rPr>
        <w:t>Section 11.01(c)</w:t>
      </w:r>
      <w:r>
        <w:rPr>
          <w:rFonts w:ascii="Times New Roman" w:hAnsi="Times New Roman"/>
          <w:sz w:val="20"/>
        </w:rPr>
        <w:t xml:space="preserve"> and does not unreasonably prejudice the ability of the parties to consummate a Redemption or Direct Exchange on the Redemption Date. An Exchange Election Notice may be revoked by PubCo at any time; </w:t>
      </w:r>
      <w:r>
        <w:rPr>
          <w:rFonts w:ascii="Times New Roman" w:hAnsi="Times New Roman"/>
          <w:i/>
          <w:sz w:val="20"/>
        </w:rPr>
        <w:t xml:space="preserve">provided, </w:t>
      </w:r>
      <w:r>
        <w:rPr>
          <w:rFonts w:ascii="Times New Roman" w:hAnsi="Times New Roman"/>
          <w:sz w:val="20"/>
        </w:rPr>
        <w:t xml:space="preserve">that any such revocation does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by this </w:t>
      </w:r>
      <w:r>
        <w:rPr>
          <w:rFonts w:ascii="Times New Roman" w:hAnsi="Times New Roman"/>
          <w:sz w:val="20"/>
          <w:u w:val="single"/>
        </w:rPr>
        <w:t>Section 11.03</w:t>
      </w:r>
      <w:r>
        <w:rPr>
          <w:rFonts w:ascii="Times New Roman" w:hAnsi="Times New Roman"/>
          <w:sz w:val="20"/>
        </w:rPr>
        <w:t xml:space="preserve">, a Direct Exchange shall be consummated pursuant to the same timeframe as the relevant Redemption would have been consummated if PubCo had not delivered an Exchange Election Notice and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Redeeming Member shall transfer and surrender to PubCo, free and clear of all liens and encumbrances, (x) the Redeemed Units (including any certificates representing the Redeemed Units if they are certificated, for delivery to the Company in exchange for a new certificate pursuant to </w:t>
      </w:r>
      <w:r>
        <w:rPr>
          <w:rFonts w:ascii="Times New Roman" w:hAnsi="Times New Roman"/>
          <w:sz w:val="20"/>
          <w:u w:val="single"/>
        </w:rPr>
        <w:t>Section 11.03(c)(iii)</w:t>
      </w:r>
      <w:r>
        <w:rPr>
          <w:rFonts w:ascii="Times New Roman" w:hAnsi="Times New Roman"/>
          <w:sz w:val="20"/>
        </w:rPr>
        <w:t xml:space="preserve">) and (y) a number of shares of Class B Common Stock (together with any Corresponding Rights) equal to the number of Redeemed Units,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(ii) PubCo shall (x) pay to the Redeeming Member the Share Settlement or the Cash Settlement, as applicable, (y) cancel and retire for no consideration the shares of Class B Common Stock (together with any Corresponding Rights) that were Transferred to PubCo pursuant to </w:t>
      </w:r>
      <w:r>
        <w:rPr>
          <w:rFonts w:ascii="Times New Roman" w:hAnsi="Times New Roman"/>
          <w:sz w:val="20"/>
          <w:u w:val="single"/>
        </w:rPr>
        <w:t>Section 11.03(c)(i)(y)</w:t>
      </w:r>
      <w:r>
        <w:rPr>
          <w:rFonts w:ascii="Times New Roman" w:hAnsi="Times New Roman"/>
          <w:sz w:val="20"/>
        </w:rPr>
        <w:t xml:space="preserve"> above, and (z) deliver to the Company any certificates representing the Redeemed Units, if they are certificated, in exchange for a new certificate pursuant to </w:t>
      </w:r>
      <w:r>
        <w:rPr>
          <w:rFonts w:ascii="Times New Roman" w:hAnsi="Times New Roman"/>
          <w:sz w:val="20"/>
          <w:u w:val="single"/>
        </w:rPr>
        <w:t>Section 11.03(c)(iii)</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shall (x) register PubCo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Times New Roman" w:hAnsi="Times New Roman"/>
          <w:sz w:val="20"/>
          <w:u w:val="single"/>
        </w:rPr>
        <w:t>Section 11.03(c)(i)(x)</w:t>
      </w:r>
      <w:r>
        <w:rPr>
          <w:rFonts w:ascii="Times New Roman" w:hAnsi="Times New Roman"/>
          <w:sz w:val="20"/>
        </w:rPr>
        <w:t xml:space="preserve"> and the Redeemed Units, and issue to PubCo a certificate for the number of Redeemed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 xml:space="preserve">Reservation of shares of Class A Common Stock; Listing; Certificate of PubCo. </w:t>
      </w:r>
    </w:p>
    <w:p>
      <w:pPr>
        <w:pStyle w:val="TextBody"/>
        <w:bidi w:val="0"/>
        <w:spacing w:before="240" w:after="0"/>
        <w:jc w:val="left"/>
        <w:rPr>
          <w:rFonts w:ascii="Times New Roman" w:hAnsi="Times New Roman"/>
          <w:sz w:val="20"/>
        </w:rPr>
      </w:pPr>
      <w:r>
        <w:rPr>
          <w:rFonts w:ascii="Times New Roman" w:hAnsi="Times New Roman"/>
          <w:sz w:val="20"/>
        </w:rPr>
        <w:t xml:space="preserve">(a) At all times PubCo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w:t>
      </w:r>
      <w:r>
        <w:rPr>
          <w:rFonts w:ascii="Times New Roman" w:hAnsi="Times New Roman"/>
          <w:i/>
          <w:sz w:val="20"/>
        </w:rPr>
        <w:t xml:space="preserve">provided </w:t>
      </w:r>
      <w:r>
        <w:rPr>
          <w:rFonts w:ascii="Times New Roman" w:hAnsi="Times New Roman"/>
          <w:sz w:val="20"/>
        </w:rPr>
        <w:t xml:space="preserve">that nothing contained herein shall be construed to preclude PubCo from satisfying its obligations in respect of any such Share Settlement pursuant to a Redemption or Direct Exchange by delivery of purchased Class A Common Stock (which may or may not be held in the treasury of PubCo) or by way of Cash Settlement (subject to the limitations in </w:t>
      </w:r>
      <w:r>
        <w:rPr>
          <w:rFonts w:ascii="Times New Roman" w:hAnsi="Times New Roman"/>
          <w:sz w:val="20"/>
          <w:u w:val="single"/>
        </w:rPr>
        <w:t>Section 11.01(c)</w:t>
      </w:r>
      <w:r>
        <w:rPr>
          <w:rFonts w:ascii="Times New Roman" w:hAnsi="Times New Roman"/>
          <w:sz w:val="20"/>
        </w:rPr>
        <w:t xml:space="preserve">). PubCo shall deliver Class A Common Stock that has been registered under the Securities Act with respect to any Share Settlement pursuant to a Redemption or Direct Exchange to the extent a registration statement is effective and available with respect to such shares; </w:t>
      </w:r>
      <w:r>
        <w:rPr>
          <w:rFonts w:ascii="Times New Roman" w:hAnsi="Times New Roman"/>
          <w:i/>
          <w:sz w:val="20"/>
        </w:rPr>
        <w:t xml:space="preserve">provided, </w:t>
      </w:r>
      <w:r>
        <w:rPr>
          <w:rFonts w:ascii="Times New Roman" w:hAnsi="Times New Roman"/>
          <w:sz w:val="20"/>
        </w:rPr>
        <w:t xml:space="preserve">all such unregistered shares of Class A Common Stock (if any) shall be entitled to the registration rights set forth in the Registration Rights Agreement if the holders thereof are party to the Registration Rights Agreement and have such rights thereunder. PubCo shall use its commercially reasonable efforts to list the Class A Common Stock required to be delivered upon any such Share Settlement pursuant to a Redemption or Direct Exchange prior to such delivery upon each national securities exchange upon which the outstanding shares of Class A Common Stock are listed at the time of such Share Settlement pursuant to a Redemption or Direct Exchange (it being understood that any such shares may be subject to transfer restrictions under applicable securities Laws). PubCo covenants that all shares of Class A Common Stock issued in connection with a Share Settlement pursuant to a Redemption or Direct Exchange will, upon issuance, be validly issued, fully paid and non-assessable. The provisions of this </w:t>
      </w:r>
      <w:r>
        <w:rPr>
          <w:rFonts w:ascii="Times New Roman" w:hAnsi="Times New Roman"/>
          <w:sz w:val="20"/>
          <w:u w:val="single"/>
        </w:rPr>
        <w:t>Article XI</w:t>
      </w:r>
      <w:r>
        <w:rPr>
          <w:rFonts w:ascii="Times New Roman" w:hAnsi="Times New Roman"/>
          <w:sz w:val="20"/>
        </w:rPr>
        <w:t xml:space="preserve"> shall be interpreted and applied in a manner consistent with any corresponding provisions of PubCo’s certificate of incorporation (if any). </w:t>
      </w:r>
    </w:p>
    <w:p>
      <w:pPr>
        <w:pStyle w:val="TextBody"/>
        <w:bidi w:val="0"/>
        <w:spacing w:before="240" w:after="0"/>
        <w:jc w:val="left"/>
        <w:rPr>
          <w:rFonts w:ascii="Times New Roman" w:hAnsi="Times New Roman"/>
          <w:sz w:val="20"/>
        </w:rPr>
      </w:pPr>
      <w:r>
        <w:rPr>
          <w:rFonts w:ascii="Times New Roman" w:hAnsi="Times New Roman"/>
          <w:sz w:val="20"/>
        </w:rPr>
        <w:t xml:space="preserve">(b) Prior to any Redemption or Direct Exchange effected pursuant to this Agreement, PubCo shall take all such steps as may be required to cause to qualify for exemption under Rule 16b-3(d) or (e), as applicable, under the Exchange Act, and to be exempt for purposes of Section 16(b) under the Exchange Act, any acquisitions from, or dispositions to, PubCo of equity securities of PubCo (including derivative securities with respect thereto) and any securities that may be deemed to be equity securities or derivative securities of PubCo for such purposes that result from the transactions contemplated by this Agreement, by each officer or director of PubCo, including any director by deputization. The authorizing resolutions shall be approved by either the Corporate Board or a committee thereof composed solely of two or more Non-Employee Directors (as defined in Rule 16b-3) of PubCo (with the authorizing resolutions specifying the name of each such director or officer whose acquisition or disposition of securities is to be exempted and the number of securities that may be acquired and disposed of by each such Person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Effect of Exercise of Redemption or Direct Exchange</w:t>
      </w:r>
      <w:r>
        <w:rPr>
          <w:rFonts w:ascii="Times New Roman" w:hAnsi="Times New Roman"/>
          <w:sz w:val="20"/>
        </w:rPr>
        <w:t xml:space="preserve">. This Agreement shall continue notwithstanding the consummation of a Redemption or Direct Exchange by a Member and all rights set forth herein shall continue in effect with respect to the remaining Members and, to the extent the Redeeming Member has a remaining Unit following such Redemption or Direct Exchange, the Redeeming Member. No Redemption or Direct Exchange shall relieve a Redeeming Member, the Company or PubCo of any prior breach of this Agreement by such Redeeming Member, the Company or PubCo.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connection with any Redemption or Direct Exchange, the Redeeming Member shall to the extent it is legally entitled to deliver such form, deliver to PubCo or the Company, as applicable, a certificate, dated as of the Redemption Date, in a form reasonably acceptable to PubCo or the Company, as applicable, certifying as to such Redeeming Member’s taxpayer identification number and that such Redeeming Member is a not a foreign person for purposes of Section 1445 and Section 1446(f) of the Code (which certificate may be an IRS Form W-9 if then sufficient for such purposes under applicable Law) (such certificate a “</w:t>
      </w:r>
      <w:r>
        <w:rPr>
          <w:rFonts w:ascii="Times New Roman" w:hAnsi="Times New Roman"/>
          <w:b/>
          <w:i/>
          <w:sz w:val="20"/>
        </w:rPr>
        <w:t>Non-Foreign Person Certificate</w:t>
      </w:r>
      <w:r>
        <w:rPr>
          <w:rFonts w:ascii="Times New Roman" w:hAnsi="Times New Roman"/>
          <w:sz w:val="20"/>
        </w:rPr>
        <w:t xml:space="preserve">”). If a Redeeming Member is unable to provide a Non-Foreign Person Certificate in connection with a Redemption or a Direct Exchange, then (i) such Redeeming Member and the Company shall cooperate to provide any other certification or determination described in Treasury Regulations Sections 1.1446(f)-2(b) and 1.1446(f)-2(c) or otherwise permitted under applicable Law at the time of such Redemption or Direct Exchange, and PubCo or the Company, as applicable, shall be permitted to withhold on the amount realized by such Redeeming Member in respect of such Redemption or Direct Exchange to the extent required under in Section 1446(f) of the Code and Treasury Regulations thereunder after taking into account the certificate or other determination provided pursuant this sentence and (ii) upon request and to the extent permitted under applicable Law, the Company shall deliver a certificate pursuant to Treasury Regulations Section 1.1445-11T(d)(2) certifying that fifty percent (50%) or more of the value of the gross assets of the Company does not consist of “U.S. real property interests” (as used in Treasury Regulations Section 1.1445-11T), or that ninety percent (90%) or more of the value of the gross assets of the Company does not consist of “U.S. real property interests” plus “cash or cash equivalents” (as used in Treasury Regulations Section 1.1445-11T); </w:t>
      </w:r>
      <w:r>
        <w:rPr>
          <w:rFonts w:ascii="Times New Roman" w:hAnsi="Times New Roman"/>
          <w:i/>
          <w:sz w:val="20"/>
        </w:rPr>
        <w:t>provided</w:t>
      </w:r>
      <w:r>
        <w:rPr>
          <w:rFonts w:ascii="Times New Roman" w:hAnsi="Times New Roman"/>
          <w:sz w:val="20"/>
        </w:rPr>
        <w:t xml:space="preserve">, that if the Company is not legally entitled to provide the certificate described in clause (ii), PubCo shall be permitted to withhold on the amount realized by such Redeeming Member in respect of such Redemption or Direct Exchange to the extent required under in Section 1445 of the Code and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required by applicable Law, the parties hereto acknowledge and agree that a Redemption or a Direct Exchange, as the case may be, shall be treated as a direct exchange between PubCo and the Redeeming Member for U.S. federal and applicable state and local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Company Exchange and Redemption Right</w:t>
      </w:r>
      <w:r>
        <w:rPr>
          <w:rFonts w:ascii="Times New Roman" w:hAnsi="Times New Roman"/>
          <w:sz w:val="20"/>
        </w:rPr>
        <w:t xml:space="preserve">. At the discretion of PubCo, and provided that the Class A Common Stock is listed or admitted to trading on the Stock Exchange, the Common Units may be subject to mandatory Redemption in each of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if PubCo or the Company has obtained the consent of each of (i) the holders of a majority of the Common Units then outstanding (excluding all Common Units held by PubCo Members) and (ii) if AS Persons collectively then hold, directly or indirectly (other than through PubCo and its Subsidiaries), more than 5% of the outstanding Common Units in the aggregate, the AS Representative, then the Company may cause all outstanding Common Units then held by all Members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(i) the Members (other than the PubCo Members) hold less than 10% of the then-outstanding Common Units and (ii) AS Persons collectively then hold, directly or indirectly (other than through PubCo and its Subsidiaries), less than 5% of the outstanding Common Units in the aggregate, then the Company may cause all outstanding Common Units then held by all Members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either (i) AS Persons collectively own, directly or indirectly (other than through PubCo and its Subsidiaries), less than 5% of the then outstanding Common Units in the aggregate, or (ii) the Company has more than 85 partners, within the meaning of Treasury Regulations Section 1.7704-1(h)(1) (determined by taking into account Treasury Regulations Section 1.7704-1(h)(3)), then the Company may cause the then-held Common Units of any or all Members who hold less than 1% of the Common Units then outstanding (excluding all Common Units held by PubCo Members)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(i) any Involuntary Transfer by any Member (other than a PubCo Member), the Company may cause any or all Common Units then held by such Member or transferee in such Involuntary Transfer (if applicable) to be redeemed, or (ii) any Corresponding Involuntary Transfer, the Company may cause the Common Units then held by Management Holdings corresponding to such Corresponding Management Units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(e) If, following the Management Elective Redemption Date, any Management Holdings Partner becomes a Member of this Agreement in connection with effecting a substantially concurrent Redemption of such Person’s Units pursuant to </w:t>
      </w:r>
      <w:r>
        <w:rPr>
          <w:rFonts w:ascii="Times New Roman" w:hAnsi="Times New Roman"/>
          <w:sz w:val="20"/>
          <w:u w:val="single"/>
        </w:rPr>
        <w:t>Article XI</w:t>
      </w:r>
      <w:r>
        <w:rPr>
          <w:rFonts w:ascii="Times New Roman" w:hAnsi="Times New Roman"/>
          <w:sz w:val="20"/>
        </w:rPr>
        <w:t xml:space="preserve"> and such Person does not (i) deliver a Redemption Notice within three (3) Business Days of being admitted as a Member (provided that Management Holdings has not delivered a Redemption Notice with respect to such Units on behalf of such Management Holdings Partner prior to such date) or (ii) effect such Redemption or Direct Exchange within three (3) Business Days of the date on which such Redemption or Direct Exchange was intended to be consummated, then, with the Manager’s consent, the Company may cause all outstanding Common Units then held by such Member (and which, for avoidance of doubt, were received as a Permitted Transfer pursuant to </w:t>
      </w:r>
      <w:r>
        <w:rPr>
          <w:rFonts w:ascii="Times New Roman" w:hAnsi="Times New Roman"/>
          <w:sz w:val="20"/>
          <w:u w:val="single"/>
        </w:rPr>
        <w:t>Section 10.02(ii)(B)</w:t>
      </w:r>
      <w:r>
        <w:rPr>
          <w:rFonts w:ascii="Times New Roman" w:hAnsi="Times New Roman"/>
          <w:sz w:val="20"/>
        </w:rPr>
        <w:t>) to be redeemed (this clause (e) and the foregoing clauses (a), (b), (c) and (d), a “</w:t>
      </w:r>
      <w:r>
        <w:rPr>
          <w:rFonts w:ascii="Times New Roman" w:hAnsi="Times New Roman"/>
          <w:b/>
          <w:i/>
          <w:sz w:val="20"/>
        </w:rPr>
        <w:t>Company Redemption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exercise the Company Redemption Right by delivering written notice to each Member whose Common Units are the subject of the Redemption (the “</w:t>
      </w:r>
      <w:r>
        <w:rPr>
          <w:rFonts w:ascii="Times New Roman" w:hAnsi="Times New Roman"/>
          <w:b/>
          <w:i/>
          <w:sz w:val="20"/>
        </w:rPr>
        <w:t>Company Redemption Notice</w:t>
      </w:r>
      <w:r>
        <w:rPr>
          <w:rFonts w:ascii="Times New Roman" w:hAnsi="Times New Roman"/>
          <w:sz w:val="20"/>
        </w:rPr>
        <w:t xml:space="preserve">”) not later than five (5) Business Days prior to the proposed Redemption Date, which notice shall specify the Redemption Date and whether the redemption shall be effected through a Cash Settlement, a Share Settlement or a Direct Exchange. The Member whose Common Units are the subject of the Company Redemption Notice shall not have the right to deliver a Retraction Notice or otherwise cancel or reverse the Company’s decision to proceed with the Redemption. Except as otherwise provided in this </w:t>
      </w:r>
      <w:r>
        <w:rPr>
          <w:rFonts w:ascii="Times New Roman" w:hAnsi="Times New Roman"/>
          <w:sz w:val="20"/>
          <w:u w:val="single"/>
        </w:rPr>
        <w:t>Section 11.07</w:t>
      </w:r>
      <w:r>
        <w:rPr>
          <w:rFonts w:ascii="Times New Roman" w:hAnsi="Times New Roman"/>
          <w:sz w:val="20"/>
        </w:rPr>
        <w:t xml:space="preserve">, the Company Redemption Right shall be settled in accordance with the provisions of this </w:t>
      </w:r>
      <w:r>
        <w:rPr>
          <w:rFonts w:ascii="Times New Roman" w:hAnsi="Times New Roman"/>
          <w:sz w:val="20"/>
          <w:u w:val="single"/>
        </w:rPr>
        <w:t>Article XI</w:t>
      </w:r>
      <w:r>
        <w:rPr>
          <w:rFonts w:ascii="Times New Roman" w:hAnsi="Times New Roman"/>
          <w:sz w:val="20"/>
        </w:rPr>
        <w:t xml:space="preserve">. Notwithstanding anything in this </w:t>
      </w:r>
      <w:r>
        <w:rPr>
          <w:rFonts w:ascii="Times New Roman" w:hAnsi="Times New Roman"/>
          <w:sz w:val="20"/>
          <w:u w:val="single"/>
        </w:rPr>
        <w:t>Article XI</w:t>
      </w:r>
      <w:r>
        <w:rPr>
          <w:rFonts w:ascii="Times New Roman" w:hAnsi="Times New Roman"/>
          <w:sz w:val="20"/>
        </w:rPr>
        <w:t xml:space="preserve">, the Company’s right to cause a Redemption and/or Direct Exchange under this </w:t>
      </w:r>
      <w:r>
        <w:rPr>
          <w:rFonts w:ascii="Times New Roman" w:hAnsi="Times New Roman"/>
          <w:sz w:val="20"/>
          <w:u w:val="single"/>
        </w:rPr>
        <w:t>Section 11.07</w:t>
      </w:r>
      <w:r>
        <w:rPr>
          <w:rFonts w:ascii="Times New Roman" w:hAnsi="Times New Roman"/>
          <w:sz w:val="20"/>
        </w:rPr>
        <w:t xml:space="preserve"> shall apply to any and all Common Units (including Unvested Units, if any) and any shares received in exchange for or redemption of any such Unvested Units shall be subject to the same vesting conditions and in the same proportions as such Unvested Units. In connection with the Company’s exercise of a Company Redemption Right, any Member subject to such right agrees to take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actions as may be reasonably requested by the Company in connection with consummating the exercise of such Company Redemption Right, including executing and delivering such documents as may be reasonably requested in order to consummate the exercise of such Company Redemption Right and making such representations, warranties and covenants as are customary for similar redemption transactions. Notwithstanding the foregoing, the Common Units shall in no event be subject to a Company Redemption Right unless, in the event of a Share Settlement of such Company Redemption Right, (x) there is an active shelf registration statement in effect with respect to all of the Common Units that would be subject to Redemption and (y) the Class A Common Stock issuable in connection with such Redemption shall not be subject to any lock-up or other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Policies</w:t>
      </w:r>
      <w:r>
        <w:rPr>
          <w:rFonts w:ascii="Times New Roman" w:hAnsi="Times New Roman"/>
          <w:sz w:val="20"/>
        </w:rPr>
        <w:t xml:space="preserve">. All Redemptions pursuant to this </w:t>
      </w:r>
      <w:r>
        <w:rPr>
          <w:rFonts w:ascii="Times New Roman" w:hAnsi="Times New Roman"/>
          <w:sz w:val="20"/>
          <w:u w:val="single"/>
        </w:rPr>
        <w:t>Article XI</w:t>
      </w:r>
      <w:r>
        <w:rPr>
          <w:rFonts w:ascii="Times New Roman" w:hAnsi="Times New Roman"/>
          <w:sz w:val="20"/>
        </w:rPr>
        <w:t xml:space="preserve"> shall be subject to any formal policies or procedures implemented by the Manager in connection with the administration or facilitation of Redemptions and Direct Exchanges hereunder, as such policies or procedures may be modified, amended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Management Holdings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By virtue of their ownership of Corresponding Management Units, Management Holdings Partners indirectly hold interests in the Company. In applying the provisions of this Agreement (other than </w:t>
      </w:r>
      <w:r>
        <w:rPr>
          <w:rFonts w:ascii="Times New Roman" w:hAnsi="Times New Roman"/>
          <w:sz w:val="20"/>
          <w:u w:val="single"/>
        </w:rPr>
        <w:t>Section 11.01(b)</w:t>
      </w:r>
      <w:r>
        <w:rPr>
          <w:rFonts w:ascii="Times New Roman" w:hAnsi="Times New Roman"/>
          <w:sz w:val="20"/>
        </w:rPr>
        <w:t xml:space="preserve"> prior to the Management Elective Redemption Date) and in order to determine equitably the rights and obligations of Management Holdings and the Management Holdings Partners, the Manager, the Company, PubCo and/or Management Holdings may treat (a) the Common Units held by Management Holdings as if they were hypothetically directly held by the Management Holdings Partners having an indirect economic interest therein and (b) any Management Holdings Partner as if it were hypothetically a Member with a corresponding interest in a proportionate portion of the Common Units owned by such Management Holdings Partner. Accordingly, with respect to Management Holdings, upon (i) any issuance of additional Units or other Equity Securities of the Company to Management Holdings for the benefit of any Management Holdings Partner (or the occurrence of any event that causes the repurchase, redemption or forfeiture of any Units), (ii) the Transfer of Units by Management Holdings or (iii) any merger, consolidation, sale of all or substantially all of the assets of the Company, issuance of debt or any other similar capital transaction of the Company (each, a “</w:t>
      </w:r>
      <w:r>
        <w:rPr>
          <w:rFonts w:ascii="Times New Roman" w:hAnsi="Times New Roman"/>
          <w:b/>
          <w:i/>
          <w:sz w:val="20"/>
        </w:rPr>
        <w:t>Management Holdings Action</w:t>
      </w:r>
      <w:r>
        <w:rPr>
          <w:rFonts w:ascii="Times New Roman" w:hAnsi="Times New Roman"/>
          <w:sz w:val="20"/>
        </w:rPr>
        <w:t xml:space="preserve">”), Management Holdings and/or the Manager, as applicable, may take any action or make any adjustment with respect to the Corresponding Management Units to replicate, as closely as possible, such Management Holdings Action (including the effects thereof). Likewise, if Management Holdings takes any action with respect to its own securities that would be a Management Holdings Action if such action were taken by the Company with respect to its securities (to the extent permitted by this Agreement and the Management Holdings Agreement), the Manager may take any action or make any adjustment with respect to the Common Units to replicate, as closely as possible, such action (including the effects thereof). The Members shall take all actions reasonably requested by the Manager in connection with any Management Holdings Action and this </w:t>
      </w:r>
      <w:r>
        <w:rPr>
          <w:rFonts w:ascii="Times New Roman" w:hAnsi="Times New Roman"/>
          <w:sz w:val="20"/>
          <w:u w:val="single"/>
        </w:rPr>
        <w:t>Section 11.09(a)</w:t>
      </w:r>
      <w:r>
        <w:rPr>
          <w:rFonts w:ascii="Times New Roman" w:hAnsi="Times New Roman"/>
          <w:sz w:val="20"/>
        </w:rPr>
        <w:t xml:space="preserve"> to the extent not inconsistent with this Agreement. For the avoidance of doubt, nothing in this </w:t>
      </w:r>
      <w:r>
        <w:rPr>
          <w:rFonts w:ascii="Times New Roman" w:hAnsi="Times New Roman"/>
          <w:sz w:val="20"/>
          <w:u w:val="single"/>
        </w:rPr>
        <w:t>Section 11.09(a)</w:t>
      </w:r>
      <w:r>
        <w:rPr>
          <w:rFonts w:ascii="Times New Roman" w:hAnsi="Times New Roman"/>
          <w:sz w:val="20"/>
        </w:rPr>
        <w:t xml:space="preserve"> shall (i) require or authorize any issuance, cancellation, reclassification or other change to Units except as permitted by, and subject to, </w:t>
      </w:r>
      <w:r>
        <w:rPr>
          <w:rFonts w:ascii="Times New Roman" w:hAnsi="Times New Roman"/>
          <w:sz w:val="20"/>
          <w:u w:val="single"/>
        </w:rPr>
        <w:t>Article III</w:t>
      </w:r>
      <w:r>
        <w:rPr>
          <w:rFonts w:ascii="Times New Roman" w:hAnsi="Times New Roman"/>
          <w:sz w:val="20"/>
        </w:rPr>
        <w:t xml:space="preserve"> (including </w:t>
      </w:r>
      <w:r>
        <w:rPr>
          <w:rFonts w:ascii="Times New Roman" w:hAnsi="Times New Roman"/>
          <w:sz w:val="20"/>
          <w:u w:val="single"/>
        </w:rPr>
        <w:t>Section 3.02</w:t>
      </w:r>
      <w:r>
        <w:rPr>
          <w:rFonts w:ascii="Times New Roman" w:hAnsi="Times New Roman"/>
          <w:sz w:val="20"/>
        </w:rPr>
        <w:t xml:space="preserve"> and </w:t>
      </w:r>
      <w:r>
        <w:rPr>
          <w:rFonts w:ascii="Times New Roman" w:hAnsi="Times New Roman"/>
          <w:sz w:val="20"/>
          <w:u w:val="single"/>
        </w:rPr>
        <w:t>Section 3.04</w:t>
      </w:r>
      <w:r>
        <w:rPr>
          <w:rFonts w:ascii="Times New Roman" w:hAnsi="Times New Roman"/>
          <w:sz w:val="20"/>
        </w:rPr>
        <w:t xml:space="preserve">), (ii) be construed to modify the one-to-one maintenance and capitalization mechanics set forth in </w:t>
      </w:r>
      <w:r>
        <w:rPr>
          <w:rFonts w:ascii="Times New Roman" w:hAnsi="Times New Roman"/>
          <w:sz w:val="20"/>
          <w:u w:val="single"/>
        </w:rPr>
        <w:t>Section 3.04</w:t>
      </w:r>
      <w:r>
        <w:rPr>
          <w:rFonts w:ascii="Times New Roman" w:hAnsi="Times New Roman"/>
          <w:sz w:val="20"/>
        </w:rPr>
        <w:t xml:space="preserve">, (iii) alter or override the application of any provision of this Agreement that expressly references Management Holdings, (iv) confer Member status on any Management Holdings Partner, except as provided in </w:t>
      </w:r>
      <w:r>
        <w:rPr>
          <w:rFonts w:ascii="Times New Roman" w:hAnsi="Times New Roman"/>
          <w:sz w:val="20"/>
          <w:u w:val="single"/>
        </w:rPr>
        <w:t>Article XII</w:t>
      </w:r>
      <w:r>
        <w:rPr>
          <w:rFonts w:ascii="Times New Roman" w:hAnsi="Times New Roman"/>
          <w:sz w:val="20"/>
        </w:rPr>
        <w:t xml:space="preserve">, or (v) modify this </w:t>
      </w:r>
      <w:r>
        <w:rPr>
          <w:rFonts w:ascii="Times New Roman" w:hAnsi="Times New Roman"/>
          <w:sz w:val="20"/>
          <w:u w:val="single"/>
        </w:rPr>
        <w:t>Article XI</w:t>
      </w:r>
      <w:r>
        <w:rPr>
          <w:rFonts w:ascii="Times New Roman" w:hAnsi="Times New Roman"/>
          <w:sz w:val="20"/>
        </w:rPr>
        <w:t xml:space="preserve"> (including as to timing, eligibility or other limitations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11.01(i)</w:t>
      </w:r>
      <w:r>
        <w:rPr>
          <w:rFonts w:ascii="Times New Roman" w:hAnsi="Times New Roman"/>
          <w:sz w:val="20"/>
        </w:rPr>
        <w:t xml:space="preserve">, following the Management Elective Redemption Date, for purposes of determining the applicability of any contractual lock-up period or Redemption Black-Out Period or the Redemption Date, if the Redeeming Member is Management Holdings, then such determination shall be made by reference to the applicable Management Holdings Partner holding Corresponding Management Units corresponding to the Redeemed Units (or portion thereof) subject to such Redemption. </w:t>
      </w:r>
    </w:p>
    <w:p>
      <w:pPr>
        <w:pStyle w:val="TextBody"/>
        <w:bidi w:val="0"/>
        <w:spacing w:before="480" w:after="0"/>
        <w:jc w:val="center"/>
        <w:rPr>
          <w:rFonts w:ascii="Times New Roman" w:hAnsi="Times New Roman"/>
          <w:sz w:val="20"/>
        </w:rPr>
      </w:pPr>
      <w:r>
        <w:rPr>
          <w:rFonts w:ascii="Times New Roman" w:hAnsi="Times New Roman"/>
          <w:sz w:val="20"/>
        </w:rPr>
        <w:t xml:space="preserve">ARTICLE XII </w:t>
      </w:r>
    </w:p>
    <w:p>
      <w:pPr>
        <w:pStyle w:val="TextBody"/>
        <w:bidi w:val="0"/>
        <w:spacing w:before="120" w:after="0"/>
        <w:jc w:val="center"/>
        <w:rPr>
          <w:rFonts w:ascii="Times New Roman" w:hAnsi="Times New Roman"/>
          <w:sz w:val="20"/>
        </w:rPr>
      </w:pPr>
      <w:r>
        <w:rPr>
          <w:rFonts w:ascii="Times New Roman" w:hAnsi="Times New Roman"/>
          <w:sz w:val="20"/>
        </w:rPr>
        <w:t xml:space="preserve">ADMISSION OF MEMBERS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Substituted Members</w:t>
      </w:r>
      <w:r>
        <w:rPr>
          <w:rFonts w:ascii="Times New Roman" w:hAnsi="Times New Roman"/>
          <w:sz w:val="20"/>
        </w:rPr>
        <w:t xml:space="preserve">. Subject to the provisions of </w:t>
      </w:r>
      <w:r>
        <w:rPr>
          <w:rFonts w:ascii="Times New Roman" w:hAnsi="Times New Roman"/>
          <w:sz w:val="20"/>
          <w:u w:val="single"/>
        </w:rPr>
        <w:t>Article X</w:t>
      </w:r>
      <w:r>
        <w:rPr>
          <w:rFonts w:ascii="Times New Roman" w:hAnsi="Times New Roman"/>
          <w:sz w:val="20"/>
        </w:rPr>
        <w:t xml:space="preserve"> hereof, in connection with the Permitted Transfer of a Unit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 (subject to </w:t>
      </w:r>
      <w:r>
        <w:rPr>
          <w:rFonts w:ascii="Times New Roman" w:hAnsi="Times New Roman"/>
          <w:sz w:val="20"/>
          <w:u w:val="single"/>
        </w:rPr>
        <w:t>Section 10.07(a)</w:t>
      </w:r>
      <w:r>
        <w:rPr>
          <w:rFonts w:ascii="Times New Roman" w:hAnsi="Times New Roman"/>
          <w:sz w:val="20"/>
        </w:rPr>
        <w:t xml:space="preserve">). Following admission, the Substituted Member shall enter into such additional documentation, if any, as the Manager reasonably and in good faith requests in connection with the Substituted Member’s admission and status as a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Additional Members</w:t>
      </w:r>
      <w:r>
        <w:rPr>
          <w:rFonts w:ascii="Times New Roman" w:hAnsi="Times New Roman"/>
          <w:sz w:val="20"/>
        </w:rPr>
        <w:t xml:space="preserve">. Subject to the provisions of </w:t>
      </w:r>
      <w:r>
        <w:rPr>
          <w:rFonts w:ascii="Times New Roman" w:hAnsi="Times New Roman"/>
          <w:sz w:val="20"/>
          <w:u w:val="single"/>
        </w:rPr>
        <w:t>Article X</w:t>
      </w:r>
      <w:r>
        <w:rPr>
          <w:rFonts w:ascii="Times New Roman" w:hAnsi="Times New Roman"/>
          <w:sz w:val="20"/>
        </w:rPr>
        <w:t xml:space="preserve"> hereof, any Person that is not a Member as of the Effective Date (and is not a Permitted Transferee) may be admitted to the Company as an additional Member (any such Person, an “</w:t>
      </w:r>
      <w:r>
        <w:rPr>
          <w:rFonts w:ascii="Times New Roman" w:hAnsi="Times New Roman"/>
          <w:b/>
          <w:i/>
          <w:sz w:val="20"/>
        </w:rPr>
        <w:t>Additional Member</w:t>
      </w:r>
      <w:r>
        <w:rPr>
          <w:rFonts w:ascii="Times New Roman" w:hAnsi="Times New Roman"/>
          <w:sz w:val="20"/>
        </w:rPr>
        <w:t xml:space="preserve">”) only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XIII </w:t>
      </w:r>
    </w:p>
    <w:p>
      <w:pPr>
        <w:pStyle w:val="TextBody"/>
        <w:bidi w:val="0"/>
        <w:spacing w:before="120" w:after="0"/>
        <w:jc w:val="center"/>
        <w:rPr>
          <w:rFonts w:ascii="Times New Roman" w:hAnsi="Times New Roman"/>
          <w:sz w:val="20"/>
        </w:rPr>
      </w:pPr>
      <w:r>
        <w:rPr>
          <w:rFonts w:ascii="Times New Roman" w:hAnsi="Times New Roman"/>
          <w:sz w:val="20"/>
        </w:rPr>
        <w:t xml:space="preserve">WITHDRAWAL AND RESIGNATION; TERMINATION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Withdrawal and Resignation of Members</w:t>
      </w:r>
      <w:r>
        <w:rPr>
          <w:rFonts w:ascii="Times New Roman" w:hAnsi="Times New Roman"/>
          <w:sz w:val="20"/>
        </w:rPr>
        <w:t xml:space="preserve">. Except in the event of Transfers pursuant to </w:t>
      </w:r>
      <w:r>
        <w:rPr>
          <w:rFonts w:ascii="Times New Roman" w:hAnsi="Times New Roman"/>
          <w:sz w:val="20"/>
          <w:u w:val="single"/>
        </w:rPr>
        <w:t>Section 10.06</w:t>
      </w:r>
      <w:r>
        <w:rPr>
          <w:rFonts w:ascii="Times New Roman" w:hAnsi="Times New Roman"/>
          <w:sz w:val="20"/>
        </w:rPr>
        <w:t xml:space="preserve"> and the Manager’s right to resign pursuant to </w:t>
      </w:r>
      <w:r>
        <w:rPr>
          <w:rFonts w:ascii="Times New Roman" w:hAnsi="Times New Roman"/>
          <w:sz w:val="20"/>
          <w:u w:val="single"/>
        </w:rPr>
        <w:t>Section 6.03</w:t>
      </w:r>
      <w:r>
        <w:rPr>
          <w:rFonts w:ascii="Times New Roman" w:hAnsi="Times New Roman"/>
          <w:sz w:val="20"/>
        </w:rPr>
        <w:t xml:space="preserve">, no Member shall have the power or right to withdraw or otherwise resign as a Member from the Company prior to the dissolution and winding up of the Company pursuant to </w:t>
      </w:r>
      <w:r>
        <w:rPr>
          <w:rFonts w:ascii="Times New Roman" w:hAnsi="Times New Roman"/>
          <w:sz w:val="20"/>
          <w:u w:val="single"/>
        </w:rPr>
        <w:t>Article XIV</w:t>
      </w:r>
      <w:r>
        <w:rPr>
          <w:rFonts w:ascii="Times New Roman" w:hAnsi="Times New Roman"/>
          <w:sz w:val="20"/>
        </w:rPr>
        <w:t xml:space="preserve">. Upon a Transfer of all of a Member’s Units in a Transfer permitted by this Agreement, subject to the provisions of </w:t>
      </w:r>
      <w:r>
        <w:rPr>
          <w:rFonts w:ascii="Times New Roman" w:hAnsi="Times New Roman"/>
          <w:sz w:val="20"/>
          <w:u w:val="single"/>
        </w:rPr>
        <w:t>Section 10.06</w:t>
      </w:r>
      <w:r>
        <w:rPr>
          <w:rFonts w:ascii="Times New Roman" w:hAnsi="Times New Roman"/>
          <w:sz w:val="20"/>
        </w:rPr>
        <w:t xml:space="preserve">, such Member shall cease to be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XIV </w:t>
      </w:r>
    </w:p>
    <w:p>
      <w:pPr>
        <w:pStyle w:val="TextBody"/>
        <w:bidi w:val="0"/>
        <w:spacing w:before="120" w:after="0"/>
        <w:jc w:val="center"/>
        <w:rPr>
          <w:rFonts w:ascii="Times New Roman" w:hAnsi="Times New Roman"/>
          <w:sz w:val="20"/>
        </w:rPr>
      </w:pPr>
      <w:r>
        <w:rPr>
          <w:rFonts w:ascii="Times New Roman" w:hAnsi="Times New Roman"/>
          <w:sz w:val="20"/>
        </w:rPr>
        <w:t xml:space="preserve">DISSOLUTION AND LIQUIDATION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Dissolution</w:t>
      </w:r>
      <w:r>
        <w:rPr>
          <w:rFonts w:ascii="Times New Roman" w:hAnsi="Times New Roman"/>
          <w:sz w:val="20"/>
        </w:rPr>
        <w:t xml:space="preserve">. The Company shall not be dissolved by the admission of Additional Members or Substituted Members or the attempted withdrawal, removal, dissolution, Bankruptcy or resignation of a Member. The Company shall dissolve, and its affairs shall be wound up, upon: </w:t>
      </w:r>
    </w:p>
    <w:p>
      <w:pPr>
        <w:pStyle w:val="TextBody"/>
        <w:bidi w:val="0"/>
        <w:spacing w:before="240" w:after="0"/>
        <w:jc w:val="left"/>
        <w:rPr>
          <w:rFonts w:ascii="Times New Roman" w:hAnsi="Times New Roman"/>
          <w:sz w:val="20"/>
        </w:rPr>
      </w:pPr>
      <w:r>
        <w:rPr>
          <w:rFonts w:ascii="Times New Roman" w:hAnsi="Times New Roman"/>
          <w:sz w:val="20"/>
        </w:rPr>
        <w:t xml:space="preserve">(a) the decision of the Manager together with the written approval of the Common Unitholders holding a majority of the Common Units to dissolve the Company (excluding for purposes of such calculation the PubCo Members and all Common Units held thereby); </w:t>
      </w:r>
    </w:p>
    <w:p>
      <w:pPr>
        <w:pStyle w:val="TextBody"/>
        <w:bidi w:val="0"/>
        <w:spacing w:before="120" w:after="0"/>
        <w:jc w:val="left"/>
        <w:rPr>
          <w:rFonts w:ascii="Times New Roman" w:hAnsi="Times New Roman"/>
          <w:sz w:val="20"/>
        </w:rPr>
      </w:pPr>
      <w:r>
        <w:rPr>
          <w:rFonts w:ascii="Times New Roman" w:hAnsi="Times New Roman"/>
          <w:sz w:val="20"/>
        </w:rPr>
        <w:t xml:space="preserve">(b) a dissolution of the Company under Section 18-801(4) of the Delaware Act, unless the Company is continued without dissolution pursuant thereto; or </w:t>
      </w:r>
    </w:p>
    <w:p>
      <w:pPr>
        <w:pStyle w:val="TextBody"/>
        <w:bidi w:val="0"/>
        <w:spacing w:before="240" w:after="0"/>
        <w:jc w:val="left"/>
        <w:rPr>
          <w:rFonts w:ascii="Times New Roman" w:hAnsi="Times New Roman"/>
          <w:sz w:val="20"/>
        </w:rPr>
      </w:pPr>
      <w:r>
        <w:rPr>
          <w:rFonts w:ascii="Times New Roman" w:hAnsi="Times New Roman"/>
          <w:sz w:val="20"/>
        </w:rPr>
        <w:t xml:space="preserve">(c) the entry of a decree of judicial dissolution of the Company under Section 18-802 of the Delaware Act.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w:t>
      </w:r>
      <w:r>
        <w:rPr>
          <w:rFonts w:ascii="Times New Roman" w:hAnsi="Times New Roman"/>
          <w:sz w:val="20"/>
          <w:u w:val="single"/>
        </w:rPr>
        <w:t>Article XIV</w:t>
      </w:r>
      <w:r>
        <w:rPr>
          <w:rFonts w:ascii="Times New Roman" w:hAnsi="Times New Roman"/>
          <w:sz w:val="20"/>
        </w:rPr>
        <w:t xml:space="preserve">, the Company is intended to have perpetual existence. An Event of Withdrawal shall not in and of itself cause a dissolution of the Company and the Company shall continue in existence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Winding up</w:t>
      </w:r>
      <w:r>
        <w:rPr>
          <w:rFonts w:ascii="Times New Roman" w:hAnsi="Times New Roman"/>
          <w:sz w:val="20"/>
        </w:rPr>
        <w:t xml:space="preserve">. Subject to </w:t>
      </w:r>
      <w:r>
        <w:rPr>
          <w:rFonts w:ascii="Times New Roman" w:hAnsi="Times New Roman"/>
          <w:sz w:val="20"/>
          <w:u w:val="single"/>
        </w:rPr>
        <w:t>Section 14.05</w:t>
      </w:r>
      <w:r>
        <w:rPr>
          <w:rFonts w:ascii="Times New Roman" w:hAnsi="Times New Roman"/>
          <w:sz w:val="20"/>
        </w:rPr>
        <w:t>, on dissolution of the Company, the Manager shall act as liquidating trustee or may appoint one or more Persons as liquidating trustee (each such Person, a “</w:t>
      </w:r>
      <w:r>
        <w:rPr>
          <w:rFonts w:ascii="Times New Roman" w:hAnsi="Times New Roman"/>
          <w:b/>
          <w:i/>
          <w:sz w:val="20"/>
        </w:rPr>
        <w:t>Liquidator</w:t>
      </w:r>
      <w:r>
        <w:rPr>
          <w:rFonts w:ascii="Times New Roman" w:hAnsi="Times New Roman"/>
          <w:sz w:val="20"/>
        </w:rPr>
        <w:t>”)</w:t>
      </w:r>
      <w:r>
        <w:rPr>
          <w:rFonts w:ascii="Times New Roman" w:hAnsi="Times New Roman"/>
          <w:i/>
          <w:sz w:val="20"/>
        </w:rPr>
        <w:t>.</w:t>
      </w:r>
      <w:r>
        <w:rPr>
          <w:rFonts w:ascii="Times New Roman" w:hAnsi="Times New Roman"/>
          <w:sz w:val="20"/>
        </w:rPr>
        <w:t xml:space="preserve"> The Liquidators shall proceed diligently to wind up the affairs of the Company and make final distributions as provided herein and in the Delaware Act. The costs of liquidation shall be borne as an expense of the Company. Until final distribution, the Liquidators shall, to the fullest extent permitted by applicable Law, continue to operate the properties of the Company with all of the power and authority of the Manager. The steps to be accomplished by the Liquidators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the Liquidators shall pay, satisfy or discharge from the Company’s funds, or otherwise make adequate provision for payment and discharge thereof (including the establishment of a cash fund for contingent, conditional and unmatured liabilities in such amount and for such term as the liquidators may reasonably determine) the following: first, all of the debts, liabilities and obligations of the Company owed to creditors other than the Members in satisfaction of the liabilities of the Company (whether by payment or the making of reasonable provision for payment thereof), including all expenses incurred in connection with the liquidations; and second, all of the debts, liabilities and obligations of the Company owed to the Members (other than any payments or distributions owed to such Members in their capacity as Members pursuant to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following any payments pursuant to the foregoing </w:t>
      </w:r>
      <w:r>
        <w:rPr>
          <w:rFonts w:ascii="Times New Roman" w:hAnsi="Times New Roman"/>
          <w:sz w:val="20"/>
          <w:u w:val="single"/>
        </w:rPr>
        <w:t>Section 14.02(b)</w:t>
      </w:r>
      <w:r>
        <w:rPr>
          <w:rFonts w:ascii="Times New Roman" w:hAnsi="Times New Roman"/>
          <w:sz w:val="20"/>
        </w:rPr>
        <w:t xml:space="preserve">, all remaining assets of the Company shall be distributed to the Members in accordance with </w:t>
      </w:r>
      <w:r>
        <w:rPr>
          <w:rFonts w:ascii="Times New Roman" w:hAnsi="Times New Roman"/>
          <w:sz w:val="20"/>
          <w:u w:val="single"/>
        </w:rPr>
        <w:t>Section 4.01(a)</w:t>
      </w:r>
      <w:r>
        <w:rPr>
          <w:rFonts w:ascii="Times New Roman" w:hAnsi="Times New Roman"/>
          <w:sz w:val="20"/>
        </w:rPr>
        <w:t xml:space="preserve"> by the end of the Taxable Year during which the liquidation of the Company occurs (or, if later, by ninety (90) days after the date of the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cash and/or property to the Members in accordance with the provisions of this </w:t>
      </w:r>
      <w:r>
        <w:rPr>
          <w:rFonts w:ascii="Times New Roman" w:hAnsi="Times New Roman"/>
          <w:sz w:val="20"/>
          <w:u w:val="single"/>
        </w:rPr>
        <w:t>Section 14.02</w:t>
      </w:r>
      <w:r>
        <w:rPr>
          <w:rFonts w:ascii="Times New Roman" w:hAnsi="Times New Roman"/>
          <w:sz w:val="20"/>
        </w:rPr>
        <w:t xml:space="preserve"> and </w:t>
      </w:r>
      <w:r>
        <w:rPr>
          <w:rFonts w:ascii="Times New Roman" w:hAnsi="Times New Roman"/>
          <w:sz w:val="20"/>
          <w:u w:val="single"/>
        </w:rPr>
        <w:t>Section 14.03</w:t>
      </w:r>
      <w:r>
        <w:rPr>
          <w:rFonts w:ascii="Times New Roman" w:hAnsi="Times New Roman"/>
          <w:sz w:val="20"/>
        </w:rPr>
        <w:t xml:space="preserve"> 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Deferment Distribution in Kind</w:t>
      </w:r>
      <w:r>
        <w:rPr>
          <w:rFonts w:ascii="Times New Roman" w:hAnsi="Times New Roman"/>
          <w:sz w:val="20"/>
        </w:rPr>
        <w:t xml:space="preserve">. Notwithstanding the provisions of </w:t>
      </w:r>
      <w:r>
        <w:rPr>
          <w:rFonts w:ascii="Times New Roman" w:hAnsi="Times New Roman"/>
          <w:sz w:val="20"/>
          <w:u w:val="single"/>
        </w:rPr>
        <w:t>Section 14.02</w:t>
      </w:r>
      <w:r>
        <w:rPr>
          <w:rFonts w:ascii="Times New Roman" w:hAnsi="Times New Roman"/>
          <w:sz w:val="20"/>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and the fullest extent permitted by applicable Law, defer for a reasonable time the liquidation of any assets except those necessary to satisfy the Company’s liabilities (other than loans to the Company by any Member(s)) and reserves. Subject to the order of priorities set forth in </w:t>
      </w:r>
      <w:r>
        <w:rPr>
          <w:rFonts w:ascii="Times New Roman" w:hAnsi="Times New Roman"/>
          <w:sz w:val="20"/>
          <w:u w:val="single"/>
        </w:rPr>
        <w:t>Section 14.02</w:t>
      </w:r>
      <w:r>
        <w:rPr>
          <w:rFonts w:ascii="Times New Roman" w:hAnsi="Times New Roman"/>
          <w:sz w:val="20"/>
        </w:rPr>
        <w:t xml:space="preserve">, the Liquidators may, in their sole discretion, distribute to the Members, in lieu of cash, either (a) all or any portion of such remaining assets in-kind of the Company in accordance with the provisions of </w:t>
      </w:r>
      <w:r>
        <w:rPr>
          <w:rFonts w:ascii="Times New Roman" w:hAnsi="Times New Roman"/>
          <w:sz w:val="20"/>
          <w:u w:val="single"/>
        </w:rPr>
        <w:t>Section 14.02(c)</w:t>
      </w:r>
      <w:r>
        <w:rPr>
          <w:rFonts w:ascii="Times New Roman" w:hAnsi="Times New Roman"/>
          <w:sz w:val="20"/>
        </w:rPr>
        <w:t xml:space="preserve">, (b) as tenants in common and in accordance with the provisions of </w:t>
      </w:r>
      <w:r>
        <w:rPr>
          <w:rFonts w:ascii="Times New Roman" w:hAnsi="Times New Roman"/>
          <w:sz w:val="20"/>
          <w:u w:val="single"/>
        </w:rPr>
        <w:t>Section 14.02(c)</w:t>
      </w:r>
      <w:r>
        <w:rPr>
          <w:rFonts w:ascii="Times New Roman" w:hAnsi="Times New Roman"/>
          <w:sz w:val="20"/>
        </w:rPr>
        <w:t xml:space="preserve">, undivided interests in all or any portion of such assets of the Company or (c) a combination of the foregoing. Any such Distributions in-kind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 Any assets of the Company distributed in kind will first be written up or down to their Fair Market Value, thus creating Profit or Loss (if any), which shall be allocated in accordance with </w:t>
      </w:r>
      <w:r>
        <w:rPr>
          <w:rFonts w:ascii="Times New Roman" w:hAnsi="Times New Roman"/>
          <w:sz w:val="20"/>
          <w:u w:val="single"/>
        </w:rPr>
        <w:t>Article V</w:t>
      </w:r>
      <w:r>
        <w:rPr>
          <w:rFonts w:ascii="Times New Roman" w:hAnsi="Times New Roman"/>
          <w:sz w:val="20"/>
        </w:rPr>
        <w:t xml:space="preserve">. The Liquidators shall determine the Fair Market Value of any property distributed.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Cancellation of Certificate</w:t>
      </w:r>
      <w:r>
        <w:rPr>
          <w:rFonts w:ascii="Times New Roman" w:hAnsi="Times New Roman"/>
          <w:sz w:val="20"/>
        </w:rPr>
        <w:t xml:space="preserve">. On completion of the winding up of the Company as provided herein, the Manager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Times New Roman" w:hAnsi="Times New Roman"/>
          <w:sz w:val="20"/>
          <w:u w:val="single"/>
        </w:rPr>
        <w:t>Section 14.04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Reasonable Time for Winding Up</w:t>
      </w:r>
      <w:r>
        <w:rPr>
          <w:rFonts w:ascii="Times New Roman" w:hAnsi="Times New Roman"/>
          <w:sz w:val="20"/>
        </w:rPr>
        <w:t xml:space="preserve">. A reasonable time shall be allowed for the orderly winding up of the business and affairs of the Company and the liquidation of its assets pursuant to </w:t>
      </w:r>
      <w:r>
        <w:rPr>
          <w:rFonts w:ascii="Times New Roman" w:hAnsi="Times New Roman"/>
          <w:sz w:val="20"/>
          <w:u w:val="single"/>
        </w:rPr>
        <w:t>Sections 14.02</w:t>
      </w:r>
      <w:r>
        <w:rPr>
          <w:rFonts w:ascii="Times New Roman" w:hAnsi="Times New Roman"/>
          <w:sz w:val="20"/>
        </w:rPr>
        <w:t xml:space="preserve"> and </w:t>
      </w:r>
      <w:r>
        <w:rPr>
          <w:rFonts w:ascii="Times New Roman" w:hAnsi="Times New Roman"/>
          <w:sz w:val="20"/>
          <w:u w:val="single"/>
        </w:rPr>
        <w:t>14.03</w:t>
      </w:r>
      <w:r>
        <w:rPr>
          <w:rFonts w:ascii="Times New Roman" w:hAnsi="Times New Roman"/>
          <w:sz w:val="20"/>
        </w:rPr>
        <w:t xml:space="preserve"> in order to minimize any losses otherwise attendant upon such winding up. </w:t>
      </w:r>
    </w:p>
    <w:p>
      <w:pPr>
        <w:pStyle w:val="TextBody"/>
        <w:bidi w:val="0"/>
        <w:spacing w:before="24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Return of Capital</w:t>
      </w:r>
      <w:r>
        <w:rPr>
          <w:rFonts w:ascii="Times New Roman" w:hAnsi="Times New Roman"/>
          <w:sz w:val="20"/>
        </w:rPr>
        <w:t xml:space="preserve">. The Liquidators shall not be personally liable for the return of Capital Contributions or any portion thereof to the Members (it being understood that any such return shall be made solely from assets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XV </w:t>
      </w:r>
    </w:p>
    <w:p>
      <w:pPr>
        <w:pStyle w:val="TextBody"/>
        <w:bidi w:val="0"/>
        <w:spacing w:before="120" w:after="0"/>
        <w:jc w:val="center"/>
        <w:rPr>
          <w:rFonts w:ascii="Times New Roman" w:hAnsi="Times New Roman"/>
          <w:sz w:val="20"/>
        </w:rPr>
      </w:pPr>
      <w:r>
        <w:rPr>
          <w:rFonts w:ascii="Times New Roman" w:hAnsi="Times New Roman"/>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sz w:val="20"/>
          <w:u w:val="single"/>
        </w:rPr>
        <w:t>Power of Attorney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Member (other than the AS Aggregators and, prior to the Management Elective Redemption Date, Management Holdings) hereby constitutes and appoints the Manager (or the Liquidator, if applicable) with full power of substitution, as his or her true and lawful agent and attorney-in-fact, with full power and authority in his, her or its name, place and stead, to: </w:t>
      </w:r>
    </w:p>
    <w:p>
      <w:pPr>
        <w:pStyle w:val="TextBody"/>
        <w:bidi w:val="0"/>
        <w:spacing w:before="120" w:after="0"/>
        <w:jc w:val="left"/>
        <w:rPr>
          <w:rFonts w:ascii="Times New Roman" w:hAnsi="Times New Roman"/>
          <w:sz w:val="20"/>
        </w:rPr>
      </w:pPr>
      <w:r>
        <w:rPr>
          <w:rFonts w:ascii="Times New Roman" w:hAnsi="Times New Roman"/>
          <w:sz w:val="20"/>
        </w:rPr>
        <w:t xml:space="preserve">(i) execute, swear to, acknowledge, deliver, file and record in the appropriate public offices (A) this Agreement, all certificates and other instruments and all amendments thereof which the Manager deems appropriate or necessary to form, qualify, or continue the qualification of, the Company as a limited liability company in the State of Delaware and in all other jurisdictions in which the Company may conduct business or own property; (B) all instruments which the Manager deems appropriate or necessary to reflect any amendment, change, modification or restatement of this Agreement in accordance with its terms; (C) all conveyances and other instruments or documents which the Manager deems appropriate or necessary to reflect the dissolution, winding up and termination of the Company pursuant to the terms of this Agreement, including a certificate of cancellation; and (D) all instruments relating to the admission, substitution or resignation of any Member pursuant to </w:t>
      </w:r>
      <w:r>
        <w:rPr>
          <w:rFonts w:ascii="Times New Roman" w:hAnsi="Times New Roman"/>
          <w:sz w:val="20"/>
          <w:u w:val="single"/>
        </w:rPr>
        <w:t>Article XII</w:t>
      </w:r>
      <w:r>
        <w:rPr>
          <w:rFonts w:ascii="Times New Roman" w:hAnsi="Times New Roman"/>
          <w:sz w:val="20"/>
        </w:rPr>
        <w:t xml:space="preserve"> or </w:t>
      </w:r>
      <w:r>
        <w:rPr>
          <w:rFonts w:ascii="Times New Roman" w:hAnsi="Times New Roman"/>
          <w:sz w:val="20"/>
          <w:u w:val="single"/>
        </w:rPr>
        <w:t>XIII</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 sign, execute, swear to and acknowledge all ballots, consents, approvals, waivers, certificates and other instruments appropriate or necessary, in the reasonable judgment of the Manager, to evidence, confirm or ratify any vote, consent, approval, agreement or other action which is made or given by the Members hereunder or is consistent with the terms of this Agreement, in the reasonable judgment of the Manager, to effectuate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power of attorney is irrevocable and coupled with an interest, and shall survive the death, disability, incapacity, dissolution, Bankruptcy, insolvency or termination of any Member and the transfer of all or any portion of his, her or its Units and shall extend to such Member’s heirs, successors, assigns and personal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sz w:val="20"/>
          <w:u w:val="single"/>
        </w:rPr>
        <w:t>Confidentiality</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Non-PubCo Members agrees to hold the Confidential Information in confidence and may not disclose, use, divulge, publish or otherwise reveal, directly or indirectly through another Person, any of such information except as otherwise authorized separately in writing by the Manager. “</w:t>
      </w:r>
      <w:r>
        <w:rPr>
          <w:rFonts w:ascii="Times New Roman" w:hAnsi="Times New Roman"/>
          <w:b/>
          <w:i/>
          <w:sz w:val="20"/>
        </w:rPr>
        <w:t>Confidential Information</w:t>
      </w:r>
      <w:r>
        <w:rPr>
          <w:rFonts w:ascii="Times New Roman" w:hAnsi="Times New Roman"/>
          <w:sz w:val="20"/>
        </w:rPr>
        <w:t xml:space="preserve">” as used herein includes all non-public information concerning PubCo, the Company or their Subsidiaries including ideas, financial product structuring, business strategies, innovations and materials, all aspects of the Company’s current and future business plan, proposed operation and products, corporate structure, financial and organizational information, analyses, proposed partners, software code and system and product designs, employees and their identities, equity ownership, customers, the methods and means by which the Company plans to conduct its business, all trade secrets, trademarks, tradenames and all intellectual property associated with the Company’s business.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Non-PubCo Member, Confidential Information does not include information or material that: (a) is rightfully in the possession of such Member at the time of disclosure by PubCo, the Company or their representatives; (b) before or after it has been disclosed to such Member by PubCo, the Company or their representatives, becomes part of public knowledge, not as a result of any action or inaction of such Member in violation of this Agreement; (c) is approved for release by written authorization of the Chief Executive Officer, Chief Financial Officer or Chief Legal Officer of the Company or of PubCo, or any other Officer or officer of PubCo designated by the Manager to approve such release; (d) is disclosed to such Member or its representatives by a third party not, to the knowledge of such Member, in violation of any obligation of confidentiality owed to PubCo, the Company or their Affiliates with respect to such information; or (e) is or becomes independently developed by such Member or their respective representatives without use of or reference to the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Solely to the extent it is reasonably necessary or appropriate to fulfill its obligations or to exercise its rights under this Agreement, any Other Agreement or any other agreement to which such Non-PubCo Member is party with PubCo, the Company or any of their Subsidiaries, each of the Non-PubCo Members may disclose Confidential Information to its Subsidiaries, Affiliates, partners, directors, officers, employees, counsel, advisors, consultants, outside contractors and other agents, on the condition that such Persons keep the Confidential Information confidential to the same extent as such Member is required to keep the Confidential Information confidential; </w:t>
      </w:r>
      <w:r>
        <w:rPr>
          <w:rFonts w:ascii="Times New Roman" w:hAnsi="Times New Roman"/>
          <w:i/>
          <w:sz w:val="20"/>
        </w:rPr>
        <w:t xml:space="preserve">provided, </w:t>
      </w:r>
      <w:r>
        <w:rPr>
          <w:rFonts w:ascii="Times New Roman" w:hAnsi="Times New Roman"/>
          <w:sz w:val="20"/>
        </w:rPr>
        <w:t xml:space="preserve">that such Member shall remain liable with respect to any breach of this </w:t>
      </w:r>
      <w:r>
        <w:rPr>
          <w:rFonts w:ascii="Times New Roman" w:hAnsi="Times New Roman"/>
          <w:sz w:val="20"/>
          <w:u w:val="single"/>
        </w:rPr>
        <w:t>Section 15.02</w:t>
      </w:r>
      <w:r>
        <w:rPr>
          <w:rFonts w:ascii="Times New Roman" w:hAnsi="Times New Roman"/>
          <w:sz w:val="20"/>
        </w:rPr>
        <w:t xml:space="preserve"> by any such Subsidiaries, Affiliates, partners, directors, officers, employees, counsel, advisors, consultants, outside contractors and other agents (as if such Persons were party to this Agreement for purposes of this </w:t>
      </w:r>
      <w:r>
        <w:rPr>
          <w:rFonts w:ascii="Times New Roman" w:hAnsi="Times New Roman"/>
          <w:sz w:val="20"/>
          <w:u w:val="single"/>
        </w:rPr>
        <w:t>Section 15.02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15.02(a)</w:t>
      </w:r>
      <w:r>
        <w:rPr>
          <w:rFonts w:ascii="Times New Roman" w:hAnsi="Times New Roman"/>
          <w:sz w:val="20"/>
        </w:rPr>
        <w:t xml:space="preserve"> or </w:t>
      </w:r>
      <w:r>
        <w:rPr>
          <w:rFonts w:ascii="Times New Roman" w:hAnsi="Times New Roman"/>
          <w:sz w:val="20"/>
          <w:u w:val="single"/>
        </w:rPr>
        <w:t>Section 15.02(b)</w:t>
      </w:r>
      <w:r>
        <w:rPr>
          <w:rFonts w:ascii="Times New Roman" w:hAnsi="Times New Roman"/>
          <w:sz w:val="20"/>
        </w:rPr>
        <w:t xml:space="preserve">, each of the Non-PubCo Members may disclose Confidential Information (i) to the extent that such Member is required by Law (by oral questions, interrogatories, request for information or documents, subpoena, civil investigative demand or similar process) to disclose any of the Confidential Information, </w:t>
      </w:r>
      <w:r>
        <w:rPr>
          <w:rFonts w:ascii="Times New Roman" w:hAnsi="Times New Roman"/>
          <w:i/>
          <w:sz w:val="20"/>
        </w:rPr>
        <w:t>provided</w:t>
      </w:r>
      <w:r>
        <w:rPr>
          <w:rFonts w:ascii="Times New Roman" w:hAnsi="Times New Roman"/>
          <w:sz w:val="20"/>
        </w:rPr>
        <w:t xml:space="preserve">, that such Member (A) shall give the Company notice thereof as promptly as practicable (to the extent legally permitted), (B) shall use commercially reasonable efforts to assist the Company in resisting or otherwise responding to such legal process at the Company’s sole cost and expense and (C) shall limit such disclosures of Confidential Information to those actually required by such a lawful and valid legal process (and such Member shall be entitled to rely on the advice of its counsel for determining what is actually required); (ii) for purposes of reporting to its stockholders and direct and indirect equityholders (each of whom are bound by customary confidentiality obligations) the performance of the Company and its Subsidiaries (including in connection with such equityholders’ fundraising and reporting activities, </w:t>
      </w:r>
      <w:r>
        <w:rPr>
          <w:rFonts w:ascii="Times New Roman" w:hAnsi="Times New Roman"/>
          <w:i/>
          <w:sz w:val="20"/>
        </w:rPr>
        <w:t>provided</w:t>
      </w:r>
      <w:r>
        <w:rPr>
          <w:rFonts w:ascii="Times New Roman" w:hAnsi="Times New Roman"/>
          <w:sz w:val="20"/>
        </w:rPr>
        <w:t xml:space="preserve"> that any such recipient for such purpose is bound by customary confidentiality obligations) and for purposes of including applicable information in its financial statements to the extent required by applicable Law or applicable accounting standards; (iii) to any </w:t>
      </w:r>
      <w:r>
        <w:rPr>
          <w:rFonts w:ascii="Times New Roman" w:hAnsi="Times New Roman"/>
          <w:i/>
          <w:sz w:val="20"/>
        </w:rPr>
        <w:t xml:space="preserve">bona fide </w:t>
      </w:r>
      <w:r>
        <w:rPr>
          <w:rFonts w:ascii="Times New Roman" w:hAnsi="Times New Roman"/>
          <w:sz w:val="20"/>
        </w:rPr>
        <w:t xml:space="preserve">prospective purchaser of the equity or assets of a Non-PubCo Member, or the Common Units held by such Member </w:t>
      </w:r>
      <w:r>
        <w:rPr>
          <w:rFonts w:ascii="Times New Roman" w:hAnsi="Times New Roman"/>
          <w:i/>
          <w:sz w:val="20"/>
        </w:rPr>
        <w:t xml:space="preserve">(provided, </w:t>
      </w:r>
      <w:r>
        <w:rPr>
          <w:rFonts w:ascii="Times New Roman" w:hAnsi="Times New Roman"/>
          <w:sz w:val="20"/>
        </w:rPr>
        <w:t xml:space="preserve">in each case, that such Member determines in good faith that such prospective purchaser would be a Permitted Transferee), or a prospective merger partner of such Member </w:t>
      </w:r>
      <w:r>
        <w:rPr>
          <w:rFonts w:ascii="Times New Roman" w:hAnsi="Times New Roman"/>
          <w:i/>
          <w:sz w:val="20"/>
        </w:rPr>
        <w:t xml:space="preserve">(provided, </w:t>
      </w:r>
      <w:r>
        <w:rPr>
          <w:rFonts w:ascii="Times New Roman" w:hAnsi="Times New Roman"/>
          <w:sz w:val="20"/>
        </w:rPr>
        <w:t xml:space="preserve">that (x) such Persons will be informed by such Member of the confidential nature of such information and shall agree in writing to keep such information confidential in accordance with the contents of this Agreement and (y) such Member will be liable for any breaches of this </w:t>
      </w:r>
      <w:r>
        <w:rPr>
          <w:rFonts w:ascii="Times New Roman" w:hAnsi="Times New Roman"/>
          <w:sz w:val="20"/>
          <w:u w:val="single"/>
        </w:rPr>
        <w:t>Section 15.02</w:t>
      </w:r>
      <w:r>
        <w:rPr>
          <w:rFonts w:ascii="Times New Roman" w:hAnsi="Times New Roman"/>
          <w:sz w:val="20"/>
        </w:rPr>
        <w:t xml:space="preserve"> by any such Persons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Persons were party to this Agreement for purposes of this </w:t>
      </w:r>
      <w:r>
        <w:rPr>
          <w:rFonts w:ascii="Times New Roman" w:hAnsi="Times New Roman"/>
          <w:sz w:val="20"/>
          <w:u w:val="single"/>
        </w:rPr>
        <w:t>Section 15.02</w:t>
      </w:r>
      <w:r>
        <w:rPr>
          <w:rFonts w:ascii="Times New Roman" w:hAnsi="Times New Roman"/>
          <w:sz w:val="20"/>
        </w:rPr>
        <w:t xml:space="preserve">)); (iv) in connection with any audit or any examination by a regulator, bank examiner or self-regulatory organization with regulatory oversight over such Member, </w:t>
      </w:r>
      <w:r>
        <w:rPr>
          <w:rFonts w:ascii="Times New Roman" w:hAnsi="Times New Roman"/>
          <w:i/>
          <w:sz w:val="20"/>
        </w:rPr>
        <w:t>provided</w:t>
      </w:r>
      <w:r>
        <w:rPr>
          <w:rFonts w:ascii="Times New Roman" w:hAnsi="Times New Roman"/>
          <w:sz w:val="20"/>
        </w:rPr>
        <w:t xml:space="preserve">, that, such audit or examination is not specifically directed primarily at PubCo, the Company, any of their Subsidiaries or the Confidential Information; or (vi) to the extent reasonably required in connection with any litigation against or involving the Company or such Non-PubCo Member. Notwithstanding any of the foregoing, nothing in this </w:t>
      </w:r>
      <w:r>
        <w:rPr>
          <w:rFonts w:ascii="Times New Roman" w:hAnsi="Times New Roman"/>
          <w:sz w:val="20"/>
          <w:u w:val="single"/>
        </w:rPr>
        <w:t>Section 15.02</w:t>
      </w:r>
      <w:r>
        <w:rPr>
          <w:rFonts w:ascii="Times New Roman" w:hAnsi="Times New Roman"/>
          <w:sz w:val="20"/>
        </w:rPr>
        <w:t xml:space="preserve"> will restrict in any manner the ability of PubCo to comply with its disclosure obligations under Law, and the extent to which any Confidential Information is necessary or desirable to disclose. </w:t>
      </w:r>
    </w:p>
    <w:p>
      <w:pPr>
        <w:pStyle w:val="TextBody"/>
        <w:bidi w:val="0"/>
        <w:spacing w:before="240" w:after="0"/>
        <w:jc w:val="left"/>
        <w:rPr>
          <w:rFonts w:ascii="Times New Roman" w:hAnsi="Times New Roman"/>
          <w:sz w:val="20"/>
        </w:rPr>
      </w:pPr>
      <w:r>
        <w:rPr>
          <w:rFonts w:ascii="Times New Roman" w:hAnsi="Times New Roman"/>
          <w:sz w:val="20"/>
        </w:rPr>
        <w:t xml:space="preserve">Section 15.03. </w:t>
      </w:r>
      <w:r>
        <w:rPr>
          <w:rFonts w:ascii="Times New Roman" w:hAnsi="Times New Roman"/>
          <w:sz w:val="20"/>
          <w:u w:val="single"/>
        </w:rPr>
        <w:t>Amendments</w:t>
      </w:r>
      <w:r>
        <w:rPr>
          <w:rFonts w:ascii="Times New Roman" w:hAnsi="Times New Roman"/>
          <w:sz w:val="20"/>
        </w:rPr>
        <w:t xml:space="preserve">. Except as otherwise contemplated by this Agreement, this Agreement may be amended or modified upon the written consent of the Manager, together with the written consent of the holders of a majority of the Common Units then outstanding (excluding all Common Units held by the PubCo Members). Notwithstanding the foregoing, no amendment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(a) to this </w:t>
      </w:r>
      <w:r>
        <w:rPr>
          <w:rFonts w:ascii="Times New Roman" w:hAnsi="Times New Roman"/>
          <w:sz w:val="20"/>
          <w:u w:val="single"/>
        </w:rPr>
        <w:t>Section 15.03</w:t>
      </w:r>
      <w:r>
        <w:rPr>
          <w:rFonts w:ascii="Times New Roman" w:hAnsi="Times New Roman"/>
          <w:sz w:val="20"/>
        </w:rPr>
        <w:t xml:space="preserve"> may be made without the prior written consent of the Manager and each of the Members; </w:t>
      </w:r>
    </w:p>
    <w:p>
      <w:pPr>
        <w:pStyle w:val="TextBody"/>
        <w:bidi w:val="0"/>
        <w:spacing w:before="240" w:after="0"/>
        <w:jc w:val="left"/>
        <w:rPr>
          <w:rFonts w:ascii="Times New Roman" w:hAnsi="Times New Roman"/>
          <w:sz w:val="20"/>
        </w:rPr>
      </w:pPr>
      <w:r>
        <w:rPr>
          <w:rFonts w:ascii="Times New Roman" w:hAnsi="Times New Roman"/>
          <w:sz w:val="20"/>
        </w:rPr>
        <w:t xml:space="preserve">(b) to any of the terms and conditions of this Agreement which terms and conditions expressly (i) require the approval or action of certain Persons may be made without obtaining the consent of the requisite number or specified percentage of such Persons who are entitled to approve or take action on such matter or (ii) reserve rights to the AS Representative may be made without obtaining the consent of the AS Representative,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(c) to any of the terms and conditions of this Agreement which would (i) reduce the amounts distributable to a Member pursuant to </w:t>
      </w:r>
      <w:r>
        <w:rPr>
          <w:rFonts w:ascii="Times New Roman" w:hAnsi="Times New Roman"/>
          <w:sz w:val="20"/>
          <w:u w:val="single"/>
        </w:rPr>
        <w:t xml:space="preserve">Articles IV </w:t>
      </w:r>
      <w:r>
        <w:rPr>
          <w:rFonts w:ascii="Times New Roman" w:hAnsi="Times New Roman"/>
          <w:sz w:val="20"/>
        </w:rPr>
        <w:t xml:space="preserve">and </w:t>
      </w:r>
      <w:r>
        <w:rPr>
          <w:rFonts w:ascii="Times New Roman" w:hAnsi="Times New Roman"/>
          <w:sz w:val="20"/>
          <w:u w:val="single"/>
        </w:rPr>
        <w:t>XIV</w:t>
      </w:r>
      <w:r>
        <w:rPr>
          <w:rFonts w:ascii="Times New Roman" w:hAnsi="Times New Roman"/>
          <w:sz w:val="20"/>
        </w:rPr>
        <w:t xml:space="preserve"> in a manner that is not pro </w:t>
      </w:r>
      <w:r>
        <w:rPr>
          <w:rFonts w:ascii="Times New Roman" w:hAnsi="Times New Roman"/>
          <w:i/>
          <w:sz w:val="20"/>
        </w:rPr>
        <w:t xml:space="preserve">rata </w:t>
      </w:r>
      <w:r>
        <w:rPr>
          <w:rFonts w:ascii="Times New Roman" w:hAnsi="Times New Roman"/>
          <w:sz w:val="20"/>
        </w:rPr>
        <w:t xml:space="preserve">with respect to all Members, (ii) increase the liabilities of a Member hereunder, (iii) otherwise materially and adversely affect a holder of Units (with respect to such Units) in a manner materially disproportionate to any other holder of Units of the same class or series (with respect to such Units) (other than amendments, modifications and waivers necessary to implement the provisions of </w:t>
      </w:r>
      <w:r>
        <w:rPr>
          <w:rFonts w:ascii="Times New Roman" w:hAnsi="Times New Roman"/>
          <w:sz w:val="20"/>
          <w:u w:val="single"/>
        </w:rPr>
        <w:t>Article XII</w:t>
      </w:r>
      <w:r>
        <w:rPr>
          <w:rFonts w:ascii="Times New Roman" w:hAnsi="Times New Roman"/>
          <w:sz w:val="20"/>
        </w:rPr>
        <w:t xml:space="preserve">) or (iv) materially and adversely affect the rights of (x) any Member under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7.04</w:t>
      </w:r>
      <w:r>
        <w:rPr>
          <w:rFonts w:ascii="Times New Roman" w:hAnsi="Times New Roman"/>
          <w:sz w:val="20"/>
        </w:rPr>
        <w:t xml:space="preserve"> or (y) any Member that, together with its Affiliates, holds more than 5% of the outstanding Common Units under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3.05</w:t>
      </w:r>
      <w:r>
        <w:rPr>
          <w:rFonts w:ascii="Times New Roman" w:hAnsi="Times New Roman"/>
          <w:sz w:val="20"/>
        </w:rPr>
        <w:t xml:space="preserve"> or </w:t>
      </w:r>
      <w:r>
        <w:rPr>
          <w:rFonts w:ascii="Times New Roman" w:hAnsi="Times New Roman"/>
          <w:sz w:val="20"/>
          <w:u w:val="single"/>
        </w:rPr>
        <w:t>Article X</w:t>
      </w:r>
      <w:r>
        <w:rPr>
          <w:rFonts w:ascii="Times New Roman" w:hAnsi="Times New Roman"/>
          <w:sz w:val="20"/>
        </w:rPr>
        <w:t xml:space="preserve">, shall be effective against such affected Member or holder of Units, as the case may be, without the prior written consent of such Member or holder of Units, as the case may be. For purposes of </w:t>
      </w:r>
      <w:r>
        <w:rPr>
          <w:rFonts w:ascii="Times New Roman" w:hAnsi="Times New Roman"/>
          <w:sz w:val="20"/>
          <w:u w:val="single"/>
        </w:rPr>
        <w:t>clause (iv)</w:t>
      </w:r>
      <w:r>
        <w:rPr>
          <w:rFonts w:ascii="Times New Roman" w:hAnsi="Times New Roman"/>
          <w:sz w:val="20"/>
        </w:rPr>
        <w:t xml:space="preserve"> hereof, Management Holdings shall be deemed not to be an Affiliate of the AS Aggregators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of the foregoing, the Manager may make any amendment (i) (A) of an administrative nature that is necessary in order to implement the substantive provisions hereof or (B) without limiting the terms of </w:t>
      </w:r>
      <w:r>
        <w:rPr>
          <w:rFonts w:ascii="Times New Roman" w:hAnsi="Times New Roman"/>
          <w:sz w:val="20"/>
          <w:u w:val="single"/>
        </w:rPr>
        <w:t>Section 11.08</w:t>
      </w:r>
      <w:r>
        <w:rPr>
          <w:rFonts w:ascii="Times New Roman" w:hAnsi="Times New Roman"/>
          <w:sz w:val="20"/>
        </w:rPr>
        <w:t xml:space="preserve">, to the terms and conditions of </w:t>
      </w:r>
      <w:r>
        <w:rPr>
          <w:rFonts w:ascii="Times New Roman" w:hAnsi="Times New Roman"/>
          <w:sz w:val="20"/>
          <w:u w:val="single"/>
        </w:rPr>
        <w:t>Article XI</w:t>
      </w:r>
      <w:r>
        <w:rPr>
          <w:rFonts w:ascii="Times New Roman" w:hAnsi="Times New Roman"/>
          <w:sz w:val="20"/>
        </w:rPr>
        <w:t xml:space="preserve">, in each case, without the consent of any other Member; </w:t>
      </w:r>
      <w:r>
        <w:rPr>
          <w:rFonts w:ascii="Times New Roman" w:hAnsi="Times New Roman"/>
          <w:i/>
          <w:sz w:val="20"/>
        </w:rPr>
        <w:t xml:space="preserve">provided, </w:t>
      </w:r>
      <w:r>
        <w:rPr>
          <w:rFonts w:ascii="Times New Roman" w:hAnsi="Times New Roman"/>
          <w:sz w:val="20"/>
        </w:rPr>
        <w:t xml:space="preserve">that any such amendment does not adversely change the rights of the Members hereunder in any respect or (ii) to reflect any changes to the Class A Common Stock or Class B Common Stock or the issuance of any other capital stock of PubCo. The Manager shall deliver a copy of any amendment or modification to this Agreement that does not receive the consent of all Members promptly (but in any event within 30 days) after the effectiveness thereof to all Members that did not consent to such amendment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15.04. </w:t>
      </w:r>
      <w:r>
        <w:rPr>
          <w:rFonts w:ascii="Times New Roman" w:hAnsi="Times New Roman"/>
          <w:sz w:val="20"/>
          <w:u w:val="single"/>
        </w:rPr>
        <w:t>Title to Company Assets</w:t>
      </w:r>
      <w:r>
        <w:rPr>
          <w:rFonts w:ascii="Times New Roman" w:hAnsi="Times New Roman"/>
          <w:sz w:val="20"/>
        </w:rPr>
        <w:t xml:space="preserve">.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sz w:val="20"/>
          <w:u w:val="single"/>
        </w:rPr>
        <w:t>Addresses and Notices</w:t>
      </w:r>
      <w:r>
        <w:rPr>
          <w:rFonts w:ascii="Times New Roman" w:hAnsi="Times New Roman"/>
          <w:sz w:val="20"/>
        </w:rPr>
        <w:t xml:space="preserve">. All notices and other communications to be given to any party hereunder shall be sufficiently given for all purposes hereunder if in writing and delivered by hand, courier or overnight delivery service, or when sent in the form of an electronic transmission (provided no “bounceback” or notice of non-delivery), and shall be directed to the address set forth, or at such address or to the attention of such other person as the recipient party has specified by prior written notice to the Company or the sending party. </w:t>
      </w:r>
    </w:p>
    <w:p>
      <w:pPr>
        <w:pStyle w:val="TextBody"/>
        <w:bidi w:val="0"/>
        <w:spacing w:before="240" w:after="0"/>
        <w:jc w:val="left"/>
        <w:rPr>
          <w:rFonts w:ascii="Times New Roman" w:hAnsi="Times New Roman"/>
          <w:sz w:val="20"/>
        </w:rPr>
      </w:pPr>
      <w:r>
        <w:rPr>
          <w:rFonts w:ascii="Times New Roman" w:hAnsi="Times New Roman"/>
          <w:sz w:val="20"/>
        </w:rPr>
        <w:t xml:space="preserve">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w:t>
      </w:r>
    </w:p>
    <w:p>
      <w:pPr>
        <w:pStyle w:val="TextBody"/>
        <w:bidi w:val="0"/>
        <w:spacing w:before="0" w:after="0"/>
        <w:jc w:val="left"/>
        <w:rPr>
          <w:rFonts w:ascii="Times New Roman" w:hAnsi="Times New Roman"/>
          <w:sz w:val="20"/>
        </w:rPr>
      </w:pPr>
      <w:r>
        <w:rPr>
          <w:rFonts w:ascii="Times New Roman" w:hAnsi="Times New Roman"/>
          <w:sz w:val="20"/>
        </w:rPr>
        <w:t xml:space="preserve">Attn: Adam Forman,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copy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Attn: Michael Lubowitz; Ryan Taylor; Alexander D. Lynch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To PubCo: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w:t>
      </w:r>
    </w:p>
    <w:p>
      <w:pPr>
        <w:pStyle w:val="TextBody"/>
        <w:bidi w:val="0"/>
        <w:spacing w:before="0" w:after="0"/>
        <w:jc w:val="left"/>
        <w:rPr>
          <w:rFonts w:ascii="Times New Roman" w:hAnsi="Times New Roman"/>
          <w:sz w:val="20"/>
        </w:rPr>
      </w:pPr>
      <w:r>
        <w:rPr>
          <w:rFonts w:ascii="Times New Roman" w:hAnsi="Times New Roman"/>
          <w:sz w:val="20"/>
        </w:rPr>
        <w:t xml:space="preserve">Attn: Adam Forman,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copy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Attn: Michael Lubowitz; Ryan Taylor; Alexander D. Lynch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To Manager Sub: </w:t>
      </w:r>
    </w:p>
    <w:p>
      <w:pPr>
        <w:pStyle w:val="TextBody"/>
        <w:bidi w:val="0"/>
        <w:spacing w:before="120" w:after="0"/>
        <w:jc w:val="left"/>
        <w:rPr>
          <w:rFonts w:ascii="Times New Roman" w:hAnsi="Times New Roman"/>
          <w:sz w:val="20"/>
        </w:rPr>
      </w:pPr>
      <w:r>
        <w:rPr>
          <w:rFonts w:ascii="Times New Roman" w:hAnsi="Times New Roman"/>
          <w:sz w:val="20"/>
        </w:rPr>
        <w:t xml:space="preserve">SOLV Manager Sub Inc. </w:t>
      </w:r>
    </w:p>
    <w:p>
      <w:pPr>
        <w:pStyle w:val="TextBody"/>
        <w:bidi w:val="0"/>
        <w:spacing w:before="0" w:after="0"/>
        <w:jc w:val="left"/>
        <w:rPr>
          <w:rFonts w:ascii="Times New Roman" w:hAnsi="Times New Roman"/>
          <w:sz w:val="20"/>
        </w:rPr>
      </w:pPr>
      <w:r>
        <w:rPr>
          <w:rFonts w:ascii="Times New Roman" w:hAnsi="Times New Roman"/>
          <w:sz w:val="20"/>
        </w:rPr>
        <w:t xml:space="preserve">Attn: Adam Forman,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copy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Attn: Michael Lubowitz; Ryan Taylor; Alexander D. Lynch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To the Members, as set forth on </w:t>
      </w:r>
      <w:r>
        <w:rPr>
          <w:rFonts w:ascii="Times New Roman" w:hAnsi="Times New Roman"/>
          <w:sz w:val="20"/>
          <w:u w:val="single"/>
        </w:rPr>
        <w:t>Schedule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15.06. </w:t>
      </w:r>
      <w:r>
        <w:rPr>
          <w:rFonts w:ascii="Times New Roman" w:hAnsi="Times New Roman"/>
          <w:sz w:val="20"/>
          <w:u w:val="single"/>
        </w:rPr>
        <w:t>Binding Effect; Intended Beneficiaries</w:t>
      </w:r>
      <w:r>
        <w:rPr>
          <w:rFonts w:ascii="Times New Roman" w:hAnsi="Times New Roman"/>
          <w:sz w:val="20"/>
        </w:rPr>
        <w:t xml:space="preserve">. This Agreement shall be binding upon and inure to the benefit of the parties hereto and their heirs, executors, administrators, successors, legal representatives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15.07. </w:t>
      </w:r>
      <w:r>
        <w:rPr>
          <w:rFonts w:ascii="Times New Roman" w:hAnsi="Times New Roman"/>
          <w:sz w:val="20"/>
          <w:u w:val="single"/>
        </w:rPr>
        <w:t>Creditors</w:t>
      </w:r>
      <w:r>
        <w:rPr>
          <w:rFonts w:ascii="Times New Roman" w:hAnsi="Times New Roman"/>
          <w:sz w:val="20"/>
        </w:rPr>
        <w:t xml:space="preserve">.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Profits, Losses, Distributions, capital or property of the Company other than as a secured creditor. </w:t>
      </w:r>
    </w:p>
    <w:p>
      <w:pPr>
        <w:pStyle w:val="TextBody"/>
        <w:bidi w:val="0"/>
        <w:spacing w:before="240" w:after="0"/>
        <w:jc w:val="left"/>
        <w:rPr>
          <w:rFonts w:ascii="Times New Roman" w:hAnsi="Times New Roman"/>
          <w:sz w:val="20"/>
        </w:rPr>
      </w:pPr>
      <w:r>
        <w:rPr>
          <w:rFonts w:ascii="Times New Roman" w:hAnsi="Times New Roman"/>
          <w:sz w:val="20"/>
        </w:rPr>
        <w:t xml:space="preserve">Section 15.08. </w:t>
      </w:r>
      <w:r>
        <w:rPr>
          <w:rFonts w:ascii="Times New Roman" w:hAnsi="Times New Roman"/>
          <w:sz w:val="20"/>
          <w:u w:val="single"/>
        </w:rPr>
        <w:t>Waiver</w:t>
      </w:r>
      <w:r>
        <w:rPr>
          <w:rFonts w:ascii="Times New Roman" w:hAnsi="Times New Roman"/>
          <w:sz w:val="20"/>
        </w:rPr>
        <w:t xml:space="preser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15.09. </w:t>
      </w:r>
      <w:r>
        <w:rPr>
          <w:rFonts w:ascii="Times New Roman" w:hAnsi="Times New Roman"/>
          <w:sz w:val="20"/>
          <w:u w:val="single"/>
        </w:rPr>
        <w:t>Counterparts</w:t>
      </w:r>
      <w:r>
        <w:rPr>
          <w:rFonts w:ascii="Times New Roman" w:hAnsi="Times New Roman"/>
          <w:sz w:val="20"/>
        </w:rPr>
        <w:t xml:space="preserve">. This Agreement may be executed in separate counterparts, each of which will be an original and all of which together shall constitute one and the same agreement binding on all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15.10. </w:t>
      </w:r>
      <w:r>
        <w:rPr>
          <w:rFonts w:ascii="Times New Roman" w:hAnsi="Times New Roman"/>
          <w:sz w:val="20"/>
          <w:u w:val="single"/>
        </w:rPr>
        <w:t>Applicable Law</w:t>
      </w:r>
      <w:r>
        <w:rPr>
          <w:rFonts w:ascii="Times New Roman" w:hAnsi="Times New Roman"/>
          <w:sz w:val="20"/>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substantive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consent to the exclusive jurisdiction of such court (and of the appropriate appellate courts) in any such suit, action or proceeding and waives any objection to venue laid therein.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THAT SERVICE OF PROCESS UPON SUCH PARTY AT THE ADDRESS REFERRED TO IN </w:t>
      </w:r>
      <w:r>
        <w:rPr>
          <w:rFonts w:ascii="Times New Roman" w:hAnsi="Times New Roman"/>
          <w:sz w:val="20"/>
          <w:u w:val="single"/>
        </w:rPr>
        <w:t>SECTION 15.05</w:t>
      </w:r>
      <w:r>
        <w:rPr>
          <w:rFonts w:ascii="Times New Roman" w:hAnsi="Times New Roman"/>
          <w:sz w:val="20"/>
        </w:rPr>
        <w:t xml:space="preserve"> (INCLUDING BY PREPAID CERTIFIED MAIL WITH A VALIDATED PROOF OF MAILING RECEIPT), TOGETHER WITH WRITTEN NOTICE OF SUCH SERVICE TO SUCH PARTY, SHALL BE DEEMED EFFECTIVE SERVICE OF PROCESS UPON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15.11.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15.12. </w:t>
      </w:r>
      <w:r>
        <w:rPr>
          <w:rFonts w:ascii="Times New Roman" w:hAnsi="Times New Roman"/>
          <w:sz w:val="20"/>
          <w:u w:val="single"/>
        </w:rPr>
        <w:t>Further Action</w:t>
      </w:r>
      <w:r>
        <w:rPr>
          <w:rFonts w:ascii="Times New Roman" w:hAnsi="Times New Roman"/>
          <w:sz w:val="20"/>
        </w:rPr>
        <w:t xml:space="preserve">. The parties shall execute and deliver all documents, provide all information and take or refrain from taking such actions as may be necessary or appropriate to achieve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15.13. </w:t>
      </w:r>
      <w:r>
        <w:rPr>
          <w:rFonts w:ascii="Times New Roman" w:hAnsi="Times New Roman"/>
          <w:sz w:val="20"/>
          <w:u w:val="single"/>
        </w:rPr>
        <w:t>Execution and Delivery Electronic Signature and Electronic Transmission</w:t>
      </w:r>
      <w:r>
        <w:rPr>
          <w:rFonts w:ascii="Times New Roman" w:hAnsi="Times New Roman"/>
          <w:sz w:val="20"/>
        </w:rPr>
        <w:t xml:space="preserve">.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and/or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written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and/or deliver a document or the fact that any signature or agreement or instrument was transmitted or communicated through such electronic transmission as a defense to the formation of a contract and each such party forever waives any such defense. </w:t>
      </w:r>
    </w:p>
    <w:p>
      <w:pPr>
        <w:pStyle w:val="TextBody"/>
        <w:bidi w:val="0"/>
        <w:spacing w:before="240" w:after="0"/>
        <w:jc w:val="left"/>
        <w:rPr>
          <w:rFonts w:ascii="Times New Roman" w:hAnsi="Times New Roman"/>
          <w:sz w:val="20"/>
        </w:rPr>
      </w:pPr>
      <w:r>
        <w:rPr>
          <w:rFonts w:ascii="Times New Roman" w:hAnsi="Times New Roman"/>
          <w:sz w:val="20"/>
        </w:rPr>
        <w:t xml:space="preserve">Section 15.14. </w:t>
      </w:r>
      <w:r>
        <w:rPr>
          <w:rFonts w:ascii="Times New Roman" w:hAnsi="Times New Roman"/>
          <w:sz w:val="20"/>
          <w:u w:val="single"/>
        </w:rPr>
        <w:t>Right of Offset</w:t>
      </w:r>
      <w:r>
        <w:rPr>
          <w:rFonts w:ascii="Times New Roman" w:hAnsi="Times New Roman"/>
          <w:sz w:val="20"/>
        </w:rPr>
        <w:t xml:space="preserve">. Whenever the Company or PubCo is to pay any sum (other than pursuant to </w:t>
      </w:r>
      <w:r>
        <w:rPr>
          <w:rFonts w:ascii="Times New Roman" w:hAnsi="Times New Roman"/>
          <w:sz w:val="20"/>
          <w:u w:val="single"/>
        </w:rPr>
        <w:t>Article IV</w:t>
      </w:r>
      <w:r>
        <w:rPr>
          <w:rFonts w:ascii="Times New Roman" w:hAnsi="Times New Roman"/>
          <w:sz w:val="20"/>
        </w:rPr>
        <w:t xml:space="preserve">) to any Member, any amounts that such Member owes to the Company or PubCo which are not the subject of a good faith dispute may be deducted from that sum before payment. For the avoidance of doubt, the distribution of Units to PubCo shall not be subject to this </w:t>
      </w:r>
      <w:r>
        <w:rPr>
          <w:rFonts w:ascii="Times New Roman" w:hAnsi="Times New Roman"/>
          <w:sz w:val="20"/>
          <w:u w:val="single"/>
        </w:rPr>
        <w:t>Section 15.14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15.15. </w:t>
      </w:r>
      <w:r>
        <w:rPr>
          <w:rFonts w:ascii="Times New Roman" w:hAnsi="Times New Roman"/>
          <w:sz w:val="20"/>
          <w:u w:val="single"/>
        </w:rPr>
        <w:t>Entire Agreement</w:t>
      </w:r>
      <w:r>
        <w:rPr>
          <w:rFonts w:ascii="Times New Roman" w:hAnsi="Times New Roman"/>
          <w:sz w:val="20"/>
        </w:rPr>
        <w:t xml:space="preserve">. This Agreement, those documents expressly referred to herein (including the Registration Rights Agreement and the Tax Receivable Agreement) and other documents that are executed, adopted or become effective in connection with the Reorganization or the IPO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Existing LLC Agreement is superseded by this Agreement as of the Effective Date and shall be of no further force and effect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15.16. </w:t>
      </w:r>
      <w:r>
        <w:rPr>
          <w:rFonts w:ascii="Times New Roman" w:hAnsi="Times New Roman"/>
          <w:sz w:val="20"/>
          <w:u w:val="single"/>
        </w:rPr>
        <w:t>Remedies</w:t>
      </w:r>
      <w:r>
        <w:rPr>
          <w:rFonts w:ascii="Times New Roman" w:hAnsi="Times New Roman"/>
          <w:sz w:val="20"/>
        </w:rPr>
        <w:t xml:space="preserve">.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15.17. </w:t>
      </w:r>
      <w:r>
        <w:rPr>
          <w:rFonts w:ascii="Times New Roman" w:hAnsi="Times New Roman"/>
          <w:sz w:val="20"/>
          <w:u w:val="single"/>
        </w:rPr>
        <w:t>Descriptive Headings; Interpretation</w:t>
      </w:r>
      <w:r>
        <w:rPr>
          <w:rFonts w:ascii="Times New Roman" w:hAnsi="Times New Roman"/>
          <w:sz w:val="20"/>
        </w:rPr>
        <w:t xml:space="preserve">.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or caused to be executed on their behalf this Amended and Restated Limited Liability Company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23"/>
        <w:gridCol w:w="6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SOLV ENERGY HOLDINGS LLC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PUBCO MEMBERS: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ENERGY,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MANAGER SUB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SUB 2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Chad Plotkin</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SOLV SUB 3 INC.</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3759"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9"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Name: Eric Schondorf</w:t>
            </w:r>
          </w:p>
        </w:tc>
      </w:tr>
      <w:tr>
        <w:trPr/>
        <w:tc>
          <w:tcPr>
            <w:tcW w:w="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9" w:type="dxa"/>
            <w:tcBorders/>
            <w:vAlign w:val="bottom"/>
          </w:tcPr>
          <w:p>
            <w:pPr>
              <w:pStyle w:val="TableContents"/>
              <w:bidi w:val="0"/>
              <w:spacing w:before="0" w:after="283"/>
              <w:jc w:val="left"/>
              <w:rPr/>
            </w:pPr>
            <w:r>
              <w:rPr/>
              <w:t>Title: Vice President and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SOLV Energy Holdings A&amp;R Limited Liability Company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24"/>
        <w:gridCol w:w="60"/>
        <w:gridCol w:w="3698"/>
      </w:tblGrid>
      <w:tr>
        <w:trPr/>
        <w:tc>
          <w:tcPr>
            <w:tcW w:w="3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NON-PUBCO MEMBERS: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ASP SOLV AGGREGATOR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ASP Manager Corp., its general partner</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Eric Schondorf</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ASP ENDEAVOR INVESTCO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ASP Manager Corp., its general partner</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Eric Schondorf</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Vice President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SOLV ENERGY MANAGEMENT HOLDINGS</w:t>
            </w:r>
          </w:p>
          <w:p>
            <w:pPr>
              <w:pStyle w:val="TableContents"/>
              <w:bidi w:val="0"/>
              <w:spacing w:before="0" w:after="20"/>
              <w:jc w:val="left"/>
              <w:rPr>
                <w:rFonts w:ascii="Times New Roman" w:hAnsi="Times New Roman"/>
                <w:b/>
                <w:sz w:val="20"/>
              </w:rPr>
            </w:pPr>
            <w:r>
              <w:rPr>
                <w:rFonts w:ascii="Times New Roman" w:hAnsi="Times New Roman"/>
                <w:b/>
                <w:sz w:val="20"/>
              </w:rPr>
              <w:t>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ASP Manager Corp., its general partner</w:t>
            </w:r>
          </w:p>
        </w:tc>
      </w:tr>
      <w:tr>
        <w:trPr>
          <w:trHeight w:val="240" w:hRule="atLeast"/>
        </w:trPr>
        <w:tc>
          <w:tcPr>
            <w:tcW w:w="324" w:type="dxa"/>
            <w:tcBorders/>
            <w:vAlign w:val="center"/>
          </w:tcPr>
          <w:p>
            <w:pPr>
              <w:pStyle w:val="TableContents"/>
              <w:bidi w:val="0"/>
              <w:spacing w:before="0" w:after="283"/>
              <w:jc w:val="left"/>
              <w:rPr>
                <w:sz w:val="4"/>
                <w:szCs w:val="4"/>
              </w:rPr>
            </w:pPr>
            <w:r>
              <w:rPr>
                <w:sz w:val="4"/>
                <w:szCs w:val="4"/>
              </w:rPr>
            </w:r>
          </w:p>
        </w:tc>
        <w:tc>
          <w:tcPr>
            <w:tcW w:w="3758" w:type="dxa"/>
            <w:gridSpan w:val="2"/>
            <w:tcBorders/>
            <w:vAlign w:val="center"/>
          </w:tcPr>
          <w:p>
            <w:pPr>
              <w:pStyle w:val="TableContents"/>
              <w:bidi w:val="0"/>
              <w:spacing w:before="0" w:after="283"/>
              <w:jc w:val="left"/>
              <w:rPr>
                <w:sz w:val="4"/>
                <w:szCs w:val="4"/>
              </w:rPr>
            </w:pPr>
            <w:r>
              <w:rPr>
                <w:sz w:val="4"/>
                <w:szCs w:val="4"/>
              </w:rPr>
            </w:r>
          </w:p>
        </w:tc>
      </w:tr>
      <w:tr>
        <w:trPr/>
        <w:tc>
          <w:tcPr>
            <w:tcW w:w="3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98" w:type="dxa"/>
            <w:tcBorders>
              <w:bottom w:val="single" w:sz="2" w:space="0" w:color="000000"/>
            </w:tcBorders>
            <w:tcMar>
              <w:bottom w:w="28" w:type="dxa"/>
            </w:tcMar>
          </w:tcPr>
          <w:p>
            <w:pPr>
              <w:pStyle w:val="TableContents"/>
              <w:bidi w:val="0"/>
              <w:spacing w:before="0" w:after="283"/>
              <w:jc w:val="left"/>
              <w:rPr/>
            </w:pPr>
            <w:r>
              <w:rPr/>
              <w:t>/s/ Eric Schondorf</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Name: Eric Schondorf</w:t>
            </w:r>
          </w:p>
        </w:tc>
      </w:tr>
      <w:tr>
        <w:trPr/>
        <w:tc>
          <w:tcPr>
            <w:tcW w:w="3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98" w:type="dxa"/>
            <w:tcBorders/>
            <w:vAlign w:val="bottom"/>
          </w:tcPr>
          <w:p>
            <w:pPr>
              <w:pStyle w:val="TableContents"/>
              <w:bidi w:val="0"/>
              <w:spacing w:before="0" w:after="283"/>
              <w:jc w:val="left"/>
              <w:rPr/>
            </w:pPr>
            <w:r>
              <w:rPr/>
              <w:t>Title: Vice President and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SOLV Energy Holdings A&amp;R Limited Liability Company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GSO ESOF II AIV-2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GSO Energy Select Opportunities Associates II LP, its general partner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Marisa Beeney</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GSO ENERGY PARTNERS-E AIV-2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GSO Energy Partners-E Associates LLC, its general partner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Marisa Beeney</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GSO ENERGY PARTNERS-D AIV-1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GSO Energy Partners-D Associates LLC, its general partner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Marisa Beeney</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Marisa Beeney</w:t>
            </w:r>
          </w:p>
        </w:tc>
      </w:tr>
      <w:tr>
        <w:trPr/>
        <w:tc>
          <w:tcPr>
            <w:tcW w:w="40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SOLV Energy Holdings A&amp;R Limited Liability Company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16"/>
        <w:gridCol w:w="60"/>
        <w:gridCol w:w="2559"/>
        <w:gridCol w:w="1147"/>
      </w:tblGrid>
      <w:tr>
        <w:trPr/>
        <w:tc>
          <w:tcPr>
            <w:tcW w:w="3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1147" w:type="dxa"/>
            <w:tcBorders/>
          </w:tcPr>
          <w:p>
            <w:pPr>
              <w:pStyle w:val="TableContents"/>
              <w:bidi w:val="0"/>
              <w:spacing w:before="0" w:after="283"/>
              <w:jc w:val="left"/>
              <w:rPr>
                <w:sz w:val="4"/>
                <w:szCs w:val="4"/>
              </w:rPr>
            </w:pPr>
            <w:r>
              <w:rPr>
                <w:sz w:val="4"/>
                <w:szCs w:val="4"/>
              </w:rPr>
            </w:r>
          </w:p>
        </w:tc>
      </w:tr>
      <w:tr>
        <w:trPr/>
        <w:tc>
          <w:tcPr>
            <w:tcW w:w="293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ROSALIND S. ABRAM REVOCABLE TRUST</w:t>
            </w:r>
          </w:p>
        </w:tc>
        <w:tc>
          <w:tcPr>
            <w:tcW w:w="1147" w:type="dxa"/>
            <w:tcBorders/>
          </w:tcPr>
          <w:p>
            <w:pPr>
              <w:pStyle w:val="TableContents"/>
              <w:bidi w:val="0"/>
              <w:spacing w:before="0" w:after="283"/>
              <w:jc w:val="left"/>
              <w:rPr>
                <w:sz w:val="4"/>
                <w:szCs w:val="4"/>
              </w:rPr>
            </w:pPr>
            <w:r>
              <w:rPr>
                <w:sz w:val="4"/>
                <w:szCs w:val="4"/>
              </w:rPr>
            </w:r>
          </w:p>
        </w:tc>
      </w:tr>
      <w:tr>
        <w:trPr>
          <w:trHeight w:val="240" w:hRule="atLeast"/>
        </w:trPr>
        <w:tc>
          <w:tcPr>
            <w:tcW w:w="316" w:type="dxa"/>
            <w:tcBorders/>
            <w:vAlign w:val="center"/>
          </w:tcPr>
          <w:p>
            <w:pPr>
              <w:pStyle w:val="TableContents"/>
              <w:bidi w:val="0"/>
              <w:spacing w:before="0" w:after="283"/>
              <w:jc w:val="left"/>
              <w:rPr>
                <w:sz w:val="4"/>
                <w:szCs w:val="4"/>
              </w:rPr>
            </w:pPr>
            <w:r>
              <w:rPr>
                <w:sz w:val="4"/>
                <w:szCs w:val="4"/>
              </w:rPr>
            </w:r>
          </w:p>
        </w:tc>
        <w:tc>
          <w:tcPr>
            <w:tcW w:w="2619" w:type="dxa"/>
            <w:gridSpan w:val="2"/>
            <w:tcBorders/>
            <w:vAlign w:val="center"/>
          </w:tcPr>
          <w:p>
            <w:pPr>
              <w:pStyle w:val="TableContents"/>
              <w:bidi w:val="0"/>
              <w:spacing w:before="0" w:after="283"/>
              <w:jc w:val="left"/>
              <w:rPr>
                <w:sz w:val="4"/>
                <w:szCs w:val="4"/>
              </w:rPr>
            </w:pPr>
            <w:r>
              <w:rPr>
                <w:sz w:val="4"/>
                <w:szCs w:val="4"/>
              </w:rPr>
            </w:r>
          </w:p>
        </w:tc>
        <w:tc>
          <w:tcPr>
            <w:tcW w:w="1147" w:type="dxa"/>
            <w:tcBorders/>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59" w:type="dxa"/>
            <w:tcBorders>
              <w:bottom w:val="single" w:sz="2" w:space="0" w:color="000000"/>
            </w:tcBorders>
            <w:tcMar>
              <w:bottom w:w="28" w:type="dxa"/>
            </w:tcMar>
          </w:tcPr>
          <w:p>
            <w:pPr>
              <w:pStyle w:val="TableContents"/>
              <w:bidi w:val="0"/>
              <w:spacing w:before="0" w:after="283"/>
              <w:jc w:val="left"/>
              <w:rPr/>
            </w:pPr>
            <w:r>
              <w:rPr/>
              <w:t>/s/ J. Adam Abram</w:t>
            </w:r>
          </w:p>
        </w:tc>
        <w:tc>
          <w:tcPr>
            <w:tcW w:w="1147" w:type="dxa"/>
            <w:tcBorders/>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 Adam Abram</w:t>
            </w:r>
          </w:p>
        </w:tc>
        <w:tc>
          <w:tcPr>
            <w:tcW w:w="1147" w:type="dxa"/>
            <w:tcBorders/>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Trustee</w:t>
            </w:r>
          </w:p>
        </w:tc>
        <w:tc>
          <w:tcPr>
            <w:tcW w:w="1147" w:type="dxa"/>
            <w:tcBorders/>
          </w:tcPr>
          <w:p>
            <w:pPr>
              <w:pStyle w:val="TableContents"/>
              <w:bidi w:val="0"/>
              <w:spacing w:before="0" w:after="283"/>
              <w:jc w:val="left"/>
              <w:rPr>
                <w:sz w:val="4"/>
                <w:szCs w:val="4"/>
              </w:rPr>
            </w:pPr>
            <w:r>
              <w:rPr>
                <w:sz w:val="4"/>
                <w:szCs w:val="4"/>
              </w:rPr>
            </w:r>
          </w:p>
        </w:tc>
      </w:tr>
      <w:tr>
        <w:trPr/>
        <w:tc>
          <w:tcPr>
            <w:tcW w:w="2935"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JACKSON FAMILY IRREVOCABLE TRUST</w:t>
            </w:r>
          </w:p>
        </w:tc>
        <w:tc>
          <w:tcPr>
            <w:tcW w:w="1147" w:type="dxa"/>
            <w:tcBorders/>
          </w:tcPr>
          <w:p>
            <w:pPr>
              <w:pStyle w:val="TableContents"/>
              <w:bidi w:val="0"/>
              <w:spacing w:before="0" w:after="283"/>
              <w:jc w:val="left"/>
              <w:rPr>
                <w:sz w:val="4"/>
                <w:szCs w:val="4"/>
              </w:rPr>
            </w:pPr>
            <w:r>
              <w:rPr>
                <w:sz w:val="4"/>
                <w:szCs w:val="4"/>
              </w:rPr>
            </w:r>
          </w:p>
        </w:tc>
      </w:tr>
      <w:tr>
        <w:trPr>
          <w:trHeight w:val="240" w:hRule="atLeast"/>
        </w:trPr>
        <w:tc>
          <w:tcPr>
            <w:tcW w:w="316" w:type="dxa"/>
            <w:tcBorders/>
            <w:vAlign w:val="center"/>
          </w:tcPr>
          <w:p>
            <w:pPr>
              <w:pStyle w:val="TableContents"/>
              <w:bidi w:val="0"/>
              <w:spacing w:before="0" w:after="283"/>
              <w:jc w:val="left"/>
              <w:rPr>
                <w:sz w:val="4"/>
                <w:szCs w:val="4"/>
              </w:rPr>
            </w:pPr>
            <w:r>
              <w:rPr>
                <w:sz w:val="4"/>
                <w:szCs w:val="4"/>
              </w:rPr>
            </w:r>
          </w:p>
        </w:tc>
        <w:tc>
          <w:tcPr>
            <w:tcW w:w="2619" w:type="dxa"/>
            <w:gridSpan w:val="2"/>
            <w:tcBorders/>
            <w:vAlign w:val="center"/>
          </w:tcPr>
          <w:p>
            <w:pPr>
              <w:pStyle w:val="TableContents"/>
              <w:bidi w:val="0"/>
              <w:spacing w:before="0" w:after="283"/>
              <w:jc w:val="left"/>
              <w:rPr>
                <w:sz w:val="4"/>
                <w:szCs w:val="4"/>
              </w:rPr>
            </w:pPr>
            <w:r>
              <w:rPr>
                <w:sz w:val="4"/>
                <w:szCs w:val="4"/>
              </w:rPr>
            </w:r>
          </w:p>
        </w:tc>
        <w:tc>
          <w:tcPr>
            <w:tcW w:w="1147" w:type="dxa"/>
            <w:tcBorders/>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559" w:type="dxa"/>
            <w:tcBorders>
              <w:bottom w:val="single" w:sz="2" w:space="0" w:color="000000"/>
            </w:tcBorders>
            <w:tcMar>
              <w:bottom w:w="28" w:type="dxa"/>
            </w:tcMar>
          </w:tcPr>
          <w:p>
            <w:pPr>
              <w:pStyle w:val="TableContents"/>
              <w:bidi w:val="0"/>
              <w:spacing w:before="0" w:after="283"/>
              <w:jc w:val="left"/>
              <w:rPr/>
            </w:pPr>
            <w:r>
              <w:rPr/>
              <w:t>/s/ Kathleen P. Jackson</w:t>
            </w:r>
          </w:p>
        </w:tc>
        <w:tc>
          <w:tcPr>
            <w:tcW w:w="1147" w:type="dxa"/>
            <w:tcBorders/>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Kathleen P. Jackson</w:t>
            </w:r>
          </w:p>
        </w:tc>
        <w:tc>
          <w:tcPr>
            <w:tcW w:w="1147" w:type="dxa"/>
            <w:tcBorders/>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Trustee</w:t>
            </w:r>
          </w:p>
        </w:tc>
        <w:tc>
          <w:tcPr>
            <w:tcW w:w="1147" w:type="dxa"/>
            <w:tcBorders/>
          </w:tcPr>
          <w:p>
            <w:pPr>
              <w:pStyle w:val="TableContents"/>
              <w:bidi w:val="0"/>
              <w:spacing w:before="0" w:after="283"/>
              <w:jc w:val="left"/>
              <w:rPr>
                <w:sz w:val="4"/>
                <w:szCs w:val="4"/>
              </w:rPr>
            </w:pPr>
            <w:r>
              <w:rPr>
                <w:sz w:val="4"/>
                <w:szCs w:val="4"/>
              </w:rPr>
            </w:r>
          </w:p>
        </w:tc>
      </w:tr>
      <w:tr>
        <w:trPr>
          <w:trHeight w:val="240" w:hRule="atLeast"/>
        </w:trPr>
        <w:tc>
          <w:tcPr>
            <w:tcW w:w="2935" w:type="dxa"/>
            <w:gridSpan w:val="3"/>
            <w:tcBorders/>
            <w:vAlign w:val="center"/>
          </w:tcPr>
          <w:p>
            <w:pPr>
              <w:pStyle w:val="TableContents"/>
              <w:bidi w:val="0"/>
              <w:spacing w:before="0" w:after="283"/>
              <w:jc w:val="left"/>
              <w:rPr>
                <w:sz w:val="4"/>
                <w:szCs w:val="4"/>
              </w:rPr>
            </w:pPr>
            <w:r>
              <w:rPr>
                <w:sz w:val="4"/>
                <w:szCs w:val="4"/>
              </w:rPr>
            </w:r>
          </w:p>
        </w:tc>
        <w:tc>
          <w:tcPr>
            <w:tcW w:w="1147" w:type="dxa"/>
            <w:tcBorders/>
          </w:tcPr>
          <w:p>
            <w:pPr>
              <w:pStyle w:val="TableContents"/>
              <w:bidi w:val="0"/>
              <w:spacing w:before="0" w:after="283"/>
              <w:jc w:val="left"/>
              <w:rPr>
                <w:sz w:val="4"/>
                <w:szCs w:val="4"/>
              </w:rPr>
            </w:pPr>
            <w:r>
              <w:rPr>
                <w:sz w:val="4"/>
                <w:szCs w:val="4"/>
              </w:rPr>
            </w:r>
          </w:p>
        </w:tc>
      </w:tr>
      <w:tr>
        <w:trPr/>
        <w:tc>
          <w:tcPr>
            <w:tcW w:w="2935" w:type="dxa"/>
            <w:gridSpan w:val="3"/>
            <w:vMerge w:val="restart"/>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Lerner</w:t>
            </w:r>
          </w:p>
        </w:tc>
        <w:tc>
          <w:tcPr>
            <w:tcW w:w="1147" w:type="dxa"/>
            <w:tcBorders/>
          </w:tcPr>
          <w:p>
            <w:pPr>
              <w:pStyle w:val="TableContents"/>
              <w:bidi w:val="0"/>
              <w:spacing w:before="0" w:after="283"/>
              <w:jc w:val="left"/>
              <w:rPr>
                <w:sz w:val="4"/>
                <w:szCs w:val="4"/>
              </w:rPr>
            </w:pPr>
            <w:r>
              <w:rPr>
                <w:sz w:val="4"/>
                <w:szCs w:val="4"/>
              </w:rPr>
            </w:r>
          </w:p>
        </w:tc>
      </w:tr>
      <w:tr>
        <w:trPr/>
        <w:tc>
          <w:tcPr>
            <w:tcW w:w="2935" w:type="dxa"/>
            <w:gridSpan w:val="3"/>
            <w:vMerge w:val="continue"/>
            <w:tcBorders/>
          </w:tcPr>
          <w:p>
            <w:pPr>
              <w:pStyle w:val="Normal"/>
              <w:bidi w:val="0"/>
              <w:jc w:val="left"/>
              <w:rPr/>
            </w:pPr>
            <w:r>
              <w:rPr/>
            </w:r>
          </w:p>
        </w:tc>
        <w:tc>
          <w:tcPr>
            <w:tcW w:w="1147" w:type="dxa"/>
            <w:tcBorders/>
          </w:tcPr>
          <w:p>
            <w:pPr>
              <w:pStyle w:val="TableContents"/>
              <w:bidi w:val="0"/>
              <w:spacing w:before="0" w:after="0"/>
              <w:jc w:val="left"/>
              <w:rPr>
                <w:rFonts w:ascii="Times New Roman" w:hAnsi="Times New Roman"/>
                <w:sz w:val="20"/>
              </w:rPr>
            </w:pPr>
            <w:r>
              <w:rPr>
                <w:rFonts w:ascii="Times New Roman" w:hAnsi="Times New Roman"/>
                <w:sz w:val="20"/>
              </w:rPr>
              <w:t>Steven Lerner</w:t>
            </w:r>
          </w:p>
          <w:p>
            <w:pPr>
              <w:pStyle w:val="TableContents"/>
              <w:bidi w:val="0"/>
              <w:spacing w:before="0" w:after="20"/>
              <w:jc w:val="left"/>
              <w:rPr/>
            </w:pPr>
            <w:r>
              <w:rPr/>
              <w:t> </w:t>
            </w:r>
          </w:p>
        </w:tc>
      </w:tr>
      <w:tr>
        <w:trPr/>
        <w:tc>
          <w:tcPr>
            <w:tcW w:w="2935" w:type="dxa"/>
            <w:gridSpan w:val="3"/>
            <w:vMerge w:val="restart"/>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Jackson</w:t>
            </w:r>
          </w:p>
          <w:p>
            <w:pPr>
              <w:pStyle w:val="TableContents"/>
              <w:bidi w:val="0"/>
              <w:spacing w:before="0" w:after="0"/>
              <w:jc w:val="left"/>
              <w:rPr>
                <w:rFonts w:ascii="Times New Roman" w:hAnsi="Times New Roman"/>
                <w:sz w:val="20"/>
              </w:rPr>
            </w:pPr>
            <w:r>
              <w:rPr>
                <w:rFonts w:ascii="Times New Roman" w:hAnsi="Times New Roman"/>
                <w:sz w:val="20"/>
              </w:rPr>
              <w:t>William Jackson</w:t>
            </w:r>
          </w:p>
          <w:p>
            <w:pPr>
              <w:pStyle w:val="TableContents"/>
              <w:bidi w:val="0"/>
              <w:spacing w:before="0" w:after="20"/>
              <w:jc w:val="left"/>
              <w:rPr/>
            </w:pPr>
            <w:r>
              <w:rPr/>
              <w:t> </w:t>
            </w:r>
          </w:p>
        </w:tc>
        <w:tc>
          <w:tcPr>
            <w:tcW w:w="1147" w:type="dxa"/>
            <w:tcBorders/>
          </w:tcPr>
          <w:p>
            <w:pPr>
              <w:pStyle w:val="TableContents"/>
              <w:bidi w:val="0"/>
              <w:spacing w:before="0" w:after="283"/>
              <w:jc w:val="left"/>
              <w:rPr>
                <w:sz w:val="4"/>
                <w:szCs w:val="4"/>
              </w:rPr>
            </w:pPr>
            <w:r>
              <w:rPr>
                <w:sz w:val="4"/>
                <w:szCs w:val="4"/>
              </w:rPr>
            </w:r>
          </w:p>
        </w:tc>
      </w:tr>
      <w:tr>
        <w:trPr/>
        <w:tc>
          <w:tcPr>
            <w:tcW w:w="2935" w:type="dxa"/>
            <w:gridSpan w:val="3"/>
            <w:vMerge w:val="continue"/>
            <w:tcBorders/>
          </w:tcPr>
          <w:p>
            <w:pPr>
              <w:pStyle w:val="Normal"/>
              <w:bidi w:val="0"/>
              <w:jc w:val="left"/>
              <w:rPr/>
            </w:pPr>
            <w:r>
              <w:rPr/>
            </w:r>
          </w:p>
        </w:tc>
        <w:tc>
          <w:tcPr>
            <w:tcW w:w="1147" w:type="dxa"/>
            <w:vMerge w:val="restart"/>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 Adam Abram</w:t>
            </w:r>
          </w:p>
          <w:p>
            <w:pPr>
              <w:pStyle w:val="TableContents"/>
              <w:bidi w:val="0"/>
              <w:spacing w:before="0" w:after="0"/>
              <w:jc w:val="left"/>
              <w:rPr>
                <w:rFonts w:ascii="Times New Roman" w:hAnsi="Times New Roman"/>
                <w:sz w:val="20"/>
              </w:rPr>
            </w:pPr>
            <w:r>
              <w:rPr>
                <w:rFonts w:ascii="Times New Roman" w:hAnsi="Times New Roman"/>
                <w:sz w:val="20"/>
              </w:rPr>
              <w:t>J. Adam Abram</w:t>
            </w:r>
          </w:p>
          <w:p>
            <w:pPr>
              <w:pStyle w:val="TableContents"/>
              <w:bidi w:val="0"/>
              <w:spacing w:before="0" w:after="20"/>
              <w:jc w:val="left"/>
              <w:rPr/>
            </w:pPr>
            <w:r>
              <w:rPr/>
              <w:t> </w:t>
            </w:r>
          </w:p>
        </w:tc>
      </w:tr>
      <w:tr>
        <w:trPr/>
        <w:tc>
          <w:tcPr>
            <w:tcW w:w="2935" w:type="dxa"/>
            <w:gridSpan w:val="3"/>
            <w:vMerge w:val="restart"/>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Nancy Stefanowicz</w:t>
            </w:r>
          </w:p>
          <w:p>
            <w:pPr>
              <w:pStyle w:val="TableContents"/>
              <w:bidi w:val="0"/>
              <w:spacing w:before="0" w:after="0"/>
              <w:jc w:val="left"/>
              <w:rPr>
                <w:rFonts w:ascii="Times New Roman" w:hAnsi="Times New Roman"/>
                <w:sz w:val="20"/>
              </w:rPr>
            </w:pPr>
            <w:r>
              <w:rPr>
                <w:rFonts w:ascii="Times New Roman" w:hAnsi="Times New Roman"/>
                <w:sz w:val="20"/>
              </w:rPr>
              <w:t>Nancy Stefanowicz</w:t>
            </w:r>
          </w:p>
          <w:p>
            <w:pPr>
              <w:pStyle w:val="TableContents"/>
              <w:bidi w:val="0"/>
              <w:spacing w:before="0" w:after="20"/>
              <w:jc w:val="left"/>
              <w:rPr/>
            </w:pPr>
            <w:r>
              <w:rPr/>
              <w:t> </w:t>
            </w:r>
          </w:p>
        </w:tc>
        <w:tc>
          <w:tcPr>
            <w:tcW w:w="1147" w:type="dxa"/>
            <w:vMerge w:val="continue"/>
            <w:tcBorders/>
          </w:tcPr>
          <w:p>
            <w:pPr>
              <w:pStyle w:val="Normal"/>
              <w:bidi w:val="0"/>
              <w:jc w:val="left"/>
              <w:rPr/>
            </w:pPr>
            <w:r>
              <w:rPr/>
            </w:r>
          </w:p>
        </w:tc>
      </w:tr>
      <w:tr>
        <w:trPr/>
        <w:tc>
          <w:tcPr>
            <w:tcW w:w="2935" w:type="dxa"/>
            <w:gridSpan w:val="3"/>
            <w:vMerge w:val="continue"/>
            <w:tcBorders/>
          </w:tcPr>
          <w:p>
            <w:pPr>
              <w:pStyle w:val="Normal"/>
              <w:bidi w:val="0"/>
              <w:jc w:val="left"/>
              <w:rPr/>
            </w:pPr>
            <w:r>
              <w:rPr/>
            </w:r>
          </w:p>
        </w:tc>
        <w:tc>
          <w:tcPr>
            <w:tcW w:w="1147" w:type="dxa"/>
            <w:vMerge w:val="restart"/>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Laura Stern</w:t>
            </w:r>
          </w:p>
          <w:p>
            <w:pPr>
              <w:pStyle w:val="TableContents"/>
              <w:bidi w:val="0"/>
              <w:spacing w:before="0" w:after="0"/>
              <w:jc w:val="left"/>
              <w:rPr>
                <w:rFonts w:ascii="Times New Roman" w:hAnsi="Times New Roman"/>
                <w:sz w:val="20"/>
              </w:rPr>
            </w:pPr>
            <w:r>
              <w:rPr>
                <w:rFonts w:ascii="Times New Roman" w:hAnsi="Times New Roman"/>
                <w:sz w:val="20"/>
              </w:rPr>
              <w:t>Laura Stern</w:t>
            </w:r>
          </w:p>
          <w:p>
            <w:pPr>
              <w:pStyle w:val="TableContents"/>
              <w:bidi w:val="0"/>
              <w:spacing w:before="0" w:after="20"/>
              <w:jc w:val="left"/>
              <w:rPr/>
            </w:pPr>
            <w:r>
              <w:rPr/>
              <w:t> </w:t>
            </w:r>
          </w:p>
        </w:tc>
      </w:tr>
      <w:tr>
        <w:trPr/>
        <w:tc>
          <w:tcPr>
            <w:tcW w:w="2935" w:type="dxa"/>
            <w:gridSpan w:val="3"/>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Daniel McQuade</w:t>
            </w:r>
          </w:p>
          <w:p>
            <w:pPr>
              <w:pStyle w:val="TableContents"/>
              <w:bidi w:val="0"/>
              <w:spacing w:before="0" w:after="20"/>
              <w:jc w:val="left"/>
              <w:rPr>
                <w:rFonts w:ascii="Times New Roman" w:hAnsi="Times New Roman"/>
                <w:sz w:val="20"/>
              </w:rPr>
            </w:pPr>
            <w:r>
              <w:rPr>
                <w:rFonts w:ascii="Times New Roman" w:hAnsi="Times New Roman"/>
                <w:sz w:val="20"/>
              </w:rPr>
              <w:t>Daniel McQuade</w:t>
            </w:r>
          </w:p>
        </w:tc>
        <w:tc>
          <w:tcPr>
            <w:tcW w:w="1147"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SOLV Energy Holdings A&amp;R Limited Liability Company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PRE-IPO MEMBERS </w:t>
      </w:r>
    </w:p>
    <w:p>
      <w:pPr>
        <w:pStyle w:val="TextBody"/>
        <w:bidi w:val="0"/>
        <w:spacing w:before="240" w:after="0"/>
        <w:jc w:val="center"/>
        <w:rPr>
          <w:rFonts w:ascii="Times New Roman" w:hAnsi="Times New Roman"/>
          <w:i/>
          <w:sz w:val="20"/>
        </w:rPr>
      </w:pPr>
      <w:r>
        <w:rPr>
          <w:rFonts w:ascii="Times New Roman" w:hAnsi="Times New Roman"/>
          <w:i/>
          <w:sz w:val="20"/>
        </w:rPr>
        <w:t xml:space="preserve">On file with the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MEMBERS </w:t>
      </w:r>
    </w:p>
    <w:p>
      <w:pPr>
        <w:pStyle w:val="TextBody"/>
        <w:bidi w:val="0"/>
        <w:spacing w:before="240" w:after="0"/>
        <w:jc w:val="center"/>
        <w:rPr>
          <w:rFonts w:ascii="Times New Roman" w:hAnsi="Times New Roman"/>
          <w:i/>
          <w:sz w:val="20"/>
        </w:rPr>
      </w:pPr>
      <w:r>
        <w:rPr>
          <w:rFonts w:ascii="Times New Roman" w:hAnsi="Times New Roman"/>
          <w:i/>
          <w:sz w:val="20"/>
        </w:rPr>
        <w:t xml:space="preserve">On file with the Company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AGREEMENT </w:t>
      </w:r>
    </w:p>
    <w:p>
      <w:pPr>
        <w:pStyle w:val="TextBody"/>
        <w:bidi w:val="0"/>
        <w:spacing w:before="240" w:after="0"/>
        <w:jc w:val="left"/>
        <w:rPr>
          <w:rFonts w:ascii="Times New Roman" w:hAnsi="Times New Roman"/>
          <w:sz w:val="20"/>
        </w:rPr>
      </w:pPr>
      <w:r>
        <w:rPr>
          <w:rFonts w:ascii="Times New Roman" w:hAnsi="Times New Roman"/>
          <w:sz w:val="20"/>
        </w:rPr>
        <w:t>This JOINDER AGREEMENT, dated as of [], 20[] (this “</w:t>
      </w:r>
      <w:r>
        <w:rPr>
          <w:rFonts w:ascii="Times New Roman" w:hAnsi="Times New Roman"/>
          <w:sz w:val="20"/>
          <w:u w:val="single"/>
        </w:rPr>
        <w:t>Joinder</w:t>
      </w:r>
      <w:r>
        <w:rPr>
          <w:rFonts w:ascii="Times New Roman" w:hAnsi="Times New Roman"/>
          <w:sz w:val="20"/>
        </w:rPr>
        <w:t>”), is delivered pursuant to that certain Amended and Restated Limited Liability Company Agreement, dated as of February 10, 2026 (as amended, restated, amended and restated, supplemented or otherwise modified from time to time, the “</w:t>
      </w:r>
      <w:r>
        <w:rPr>
          <w:rFonts w:ascii="Times New Roman" w:hAnsi="Times New Roman"/>
          <w:sz w:val="20"/>
          <w:u w:val="single"/>
        </w:rPr>
        <w:t>LLC Agreement</w:t>
      </w:r>
      <w:r>
        <w:rPr>
          <w:rFonts w:ascii="Times New Roman" w:hAnsi="Times New Roman"/>
          <w:sz w:val="20"/>
        </w:rPr>
        <w:t>”) of SOLV Energy Holdings LLC, a Delaware limited liability company (the “</w:t>
      </w:r>
      <w:r>
        <w:rPr>
          <w:rFonts w:ascii="Times New Roman" w:hAnsi="Times New Roman"/>
          <w:sz w:val="20"/>
          <w:u w:val="single"/>
        </w:rPr>
        <w:t>Company</w:t>
      </w:r>
      <w:r>
        <w:rPr>
          <w:rFonts w:ascii="Times New Roman" w:hAnsi="Times New Roman"/>
          <w:sz w:val="20"/>
        </w:rPr>
        <w:t>”), by and among the Company, SOLV Energy, Inc., a Delaware corporation, SOLV Manager Sub Inc., a Delaware corporation and the managing member of the Company (“</w:t>
      </w:r>
      <w:r>
        <w:rPr>
          <w:rFonts w:ascii="Times New Roman" w:hAnsi="Times New Roman"/>
          <w:sz w:val="20"/>
          <w:u w:val="single"/>
        </w:rPr>
        <w:t>Manager Sub</w:t>
      </w:r>
      <w:r>
        <w:rPr>
          <w:rFonts w:ascii="Times New Roman" w:hAnsi="Times New Roman"/>
          <w:sz w:val="20"/>
        </w:rPr>
        <w:t xml:space="preserve">”), and each of the Members from time to time party thereto. Capitalized terms used but not otherwise defined herein have the respective meanings set forth in the LLC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Joinder to the LLC Agreement</w:t>
            </w:r>
            <w:r>
              <w:rPr>
                <w:rFonts w:ascii="Times New Roman" w:hAnsi="Times New Roman"/>
                <w:sz w:val="20"/>
              </w:rPr>
              <w:t xml:space="preserve">. Upon the execution of this Joinder by the undersigned and delivery hereof to Manager Sub, the undersigned hereby is admitted as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Incorporation by Reference</w:t>
            </w:r>
            <w:r>
              <w:rPr>
                <w:rFonts w:ascii="Times New Roman" w:hAnsi="Times New Roman"/>
                <w:sz w:val="20"/>
              </w:rPr>
              <w:t xml:space="preserve">. All terms and conditions of the LLC Agreement are hereby incorporated by reference in this Joinder as if set forth herein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Address</w:t>
            </w:r>
            <w:r>
              <w:rPr>
                <w:rFonts w:ascii="Times New Roman" w:hAnsi="Times New Roman"/>
                <w:sz w:val="20"/>
              </w:rPr>
              <w:t xml:space="preserve">. All notices under the LLC Agreement to the undersigned shall be direct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[City, State, Zip Code]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rFonts w:ascii="Times New Roman" w:hAnsi="Times New Roman"/>
          <w:sz w:val="20"/>
        </w:rPr>
      </w:pPr>
      <w:r>
        <w:rPr>
          <w:rFonts w:ascii="Times New Roman" w:hAnsi="Times New Roman"/>
          <w:sz w:val="20"/>
        </w:rPr>
        <w:t xml:space="preserve">Facsimile: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 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Joinder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09"/>
        <w:gridCol w:w="171"/>
        <w:gridCol w:w="3002"/>
      </w:tblGrid>
      <w:tr>
        <w:trPr/>
        <w:tc>
          <w:tcPr>
            <w:tcW w:w="90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[NAME OF NEW MEMBER]:</w:t>
            </w:r>
          </w:p>
        </w:tc>
      </w:tr>
      <w:tr>
        <w:trPr>
          <w:trHeight w:val="240" w:hRule="atLeast"/>
        </w:trPr>
        <w:tc>
          <w:tcPr>
            <w:tcW w:w="909" w:type="dxa"/>
            <w:tcBorders/>
            <w:vAlign w:val="center"/>
          </w:tcPr>
          <w:p>
            <w:pPr>
              <w:pStyle w:val="TableContents"/>
              <w:bidi w:val="0"/>
              <w:spacing w:before="0" w:after="283"/>
              <w:jc w:val="left"/>
              <w:rPr>
                <w:sz w:val="4"/>
                <w:szCs w:val="4"/>
              </w:rPr>
            </w:pPr>
            <w:r>
              <w:rPr>
                <w:sz w:val="4"/>
                <w:szCs w:val="4"/>
              </w:rPr>
            </w:r>
          </w:p>
        </w:tc>
        <w:tc>
          <w:tcPr>
            <w:tcW w:w="3173" w:type="dxa"/>
            <w:gridSpan w:val="2"/>
            <w:tcBorders/>
            <w:vAlign w:val="center"/>
          </w:tcPr>
          <w:p>
            <w:pPr>
              <w:pStyle w:val="TableContents"/>
              <w:bidi w:val="0"/>
              <w:spacing w:before="0" w:after="283"/>
              <w:jc w:val="left"/>
              <w:rPr>
                <w:sz w:val="4"/>
                <w:szCs w:val="4"/>
              </w:rPr>
            </w:pPr>
            <w:r>
              <w:rPr>
                <w:sz w:val="4"/>
                <w:szCs w:val="4"/>
              </w:rPr>
            </w:r>
          </w:p>
        </w:tc>
      </w:tr>
      <w:tr>
        <w:trPr/>
        <w:tc>
          <w:tcPr>
            <w:tcW w:w="909" w:type="dxa"/>
            <w:tcBorders/>
          </w:tcPr>
          <w:p>
            <w:pPr>
              <w:pStyle w:val="TableContents"/>
              <w:bidi w:val="0"/>
              <w:spacing w:before="0" w:after="283"/>
              <w:jc w:val="left"/>
              <w:rPr/>
            </w:pPr>
            <w:r>
              <w:rPr/>
              <w:t>By:</w:t>
            </w:r>
          </w:p>
        </w:tc>
        <w:tc>
          <w:tcPr>
            <w:tcW w:w="171" w:type="dxa"/>
            <w:tcBorders>
              <w:bottom w:val="single" w:sz="2" w:space="0" w:color="000000"/>
            </w:tcBorders>
            <w:tcMar>
              <w:bottom w:w="28" w:type="dxa"/>
            </w:tcMar>
            <w:vAlign w:val="bottom"/>
          </w:tcPr>
          <w:p>
            <w:pPr>
              <w:pStyle w:val="TableContents"/>
              <w:bidi w:val="0"/>
              <w:spacing w:before="0" w:after="283"/>
              <w:jc w:val="left"/>
              <w:rPr/>
            </w:pPr>
            <w:r>
              <w:rPr/>
              <w:t> </w:t>
            </w:r>
          </w:p>
        </w:tc>
        <w:tc>
          <w:tcPr>
            <w:tcW w:w="3002" w:type="dxa"/>
            <w:tcBorders>
              <w:bottom w:val="single" w:sz="2" w:space="0" w:color="000000"/>
            </w:tcBorders>
            <w:tcMar>
              <w:bottom w:w="28" w:type="dxa"/>
            </w:tcMar>
          </w:tcPr>
          <w:p>
            <w:pPr>
              <w:pStyle w:val="TableContents"/>
              <w:bidi w:val="0"/>
              <w:spacing w:before="0" w:after="283"/>
              <w:jc w:val="left"/>
              <w:rPr/>
            </w:pPr>
            <w:r>
              <w:rPr/>
              <w:t> </w:t>
            </w:r>
          </w:p>
        </w:tc>
      </w:tr>
      <w:tr>
        <w:trPr/>
        <w:tc>
          <w:tcPr>
            <w:tcW w:w="909"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300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909"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300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1511"/>
        <w:gridCol w:w="296"/>
        <w:gridCol w:w="2413"/>
      </w:tblGrid>
      <w:tr>
        <w:trPr/>
        <w:tc>
          <w:tcPr>
            <w:tcW w:w="1511"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42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Acknowledged and agreed</w:t>
            </w:r>
          </w:p>
          <w:p>
            <w:pPr>
              <w:pStyle w:val="TableContents"/>
              <w:bidi w:val="0"/>
              <w:spacing w:before="0" w:after="0"/>
              <w:jc w:val="left"/>
              <w:rPr>
                <w:rFonts w:ascii="Times New Roman" w:hAnsi="Times New Roman"/>
                <w:sz w:val="20"/>
              </w:rPr>
            </w:pPr>
            <w:r>
              <w:rPr>
                <w:rFonts w:ascii="Times New Roman" w:hAnsi="Times New Roman"/>
                <w:sz w:val="20"/>
              </w:rPr>
              <w:t>as of the date first set forth above:</w:t>
            </w:r>
          </w:p>
          <w:p>
            <w:pPr>
              <w:pStyle w:val="TableContents"/>
              <w:bidi w:val="0"/>
              <w:spacing w:before="0" w:after="20"/>
              <w:jc w:val="left"/>
              <w:rPr/>
            </w:pPr>
            <w:r>
              <w:rPr/>
              <w:t> </w:t>
            </w:r>
          </w:p>
        </w:tc>
      </w:tr>
      <w:tr>
        <w:trPr/>
        <w:tc>
          <w:tcPr>
            <w:tcW w:w="422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SOLV ENERGY HOLDINGS LLC</w:t>
            </w:r>
          </w:p>
          <w:p>
            <w:pPr>
              <w:pStyle w:val="TableContents"/>
              <w:bidi w:val="0"/>
              <w:spacing w:before="0" w:after="20"/>
              <w:jc w:val="left"/>
              <w:rPr/>
            </w:pPr>
            <w:r>
              <w:rPr/>
              <w:t> </w:t>
            </w:r>
          </w:p>
        </w:tc>
      </w:tr>
      <w:tr>
        <w:trPr/>
        <w:tc>
          <w:tcPr>
            <w:tcW w:w="42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SOLV Manager Sub Inc., its Managing Member</w:t>
            </w:r>
          </w:p>
          <w:p>
            <w:pPr>
              <w:pStyle w:val="TableContents"/>
              <w:bidi w:val="0"/>
              <w:spacing w:before="0" w:after="20"/>
              <w:jc w:val="left"/>
              <w:rPr/>
            </w:pPr>
            <w:r>
              <w:rPr/>
              <w:t> </w:t>
            </w:r>
          </w:p>
        </w:tc>
      </w:tr>
      <w:tr>
        <w:trPr/>
        <w:tc>
          <w:tcPr>
            <w:tcW w:w="1511" w:type="dxa"/>
            <w:tcBorders/>
          </w:tcPr>
          <w:p>
            <w:pPr>
              <w:pStyle w:val="TableContents"/>
              <w:bidi w:val="0"/>
              <w:spacing w:before="0" w:after="283"/>
              <w:jc w:val="left"/>
              <w:rPr/>
            </w:pPr>
            <w:r>
              <w:rPr/>
              <w:t>By:</w:t>
            </w:r>
          </w:p>
        </w:tc>
        <w:tc>
          <w:tcPr>
            <w:tcW w:w="296" w:type="dxa"/>
            <w:tcBorders>
              <w:bottom w:val="single" w:sz="2" w:space="0" w:color="000000"/>
            </w:tcBorders>
            <w:tcMar>
              <w:bottom w:w="28" w:type="dxa"/>
            </w:tcMar>
            <w:vAlign w:val="bottom"/>
          </w:tcPr>
          <w:p>
            <w:pPr>
              <w:pStyle w:val="TableContents"/>
              <w:bidi w:val="0"/>
              <w:spacing w:before="0" w:after="283"/>
              <w:jc w:val="left"/>
              <w:rPr/>
            </w:pPr>
            <w:r>
              <w:rPr/>
              <w:t> </w:t>
            </w:r>
          </w:p>
        </w:tc>
        <w:tc>
          <w:tcPr>
            <w:tcW w:w="2413" w:type="dxa"/>
            <w:tcBorders>
              <w:bottom w:val="single" w:sz="2" w:space="0" w:color="000000"/>
            </w:tcBorders>
            <w:tcMar>
              <w:bottom w:w="28" w:type="dxa"/>
            </w:tcMar>
          </w:tcPr>
          <w:p>
            <w:pPr>
              <w:pStyle w:val="TableContents"/>
              <w:bidi w:val="0"/>
              <w:spacing w:before="0" w:after="283"/>
              <w:jc w:val="left"/>
              <w:rPr/>
            </w:pPr>
            <w:r>
              <w:rPr/>
              <w:t> </w:t>
            </w:r>
          </w:p>
        </w:tc>
      </w:tr>
      <w:tr>
        <w:trPr/>
        <w:tc>
          <w:tcPr>
            <w:tcW w:w="1511" w:type="dxa"/>
            <w:tcBorders/>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511" w:type="dxa"/>
            <w:tcBorders/>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2413"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 Page 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AGREEMENT AND CONSENT OF SPOUSE </w:t>
      </w:r>
    </w:p>
    <w:p>
      <w:pPr>
        <w:pStyle w:val="TextBody"/>
        <w:bidi w:val="0"/>
        <w:spacing w:before="240" w:after="0"/>
        <w:jc w:val="left"/>
        <w:rPr>
          <w:rFonts w:ascii="Times New Roman" w:hAnsi="Times New Roman"/>
          <w:sz w:val="20"/>
        </w:rPr>
      </w:pPr>
      <w:r>
        <w:rPr>
          <w:rFonts w:ascii="Times New Roman" w:hAnsi="Times New Roman"/>
          <w:sz w:val="20"/>
        </w:rPr>
        <w:t>The undersigned spouse of [] (the “</w:t>
      </w:r>
      <w:r>
        <w:rPr>
          <w:rFonts w:ascii="Times New Roman" w:hAnsi="Times New Roman"/>
          <w:sz w:val="20"/>
          <w:u w:val="single"/>
        </w:rPr>
        <w:t>Member</w:t>
      </w:r>
      <w:r>
        <w:rPr>
          <w:rFonts w:ascii="Times New Roman" w:hAnsi="Times New Roman"/>
          <w:sz w:val="20"/>
        </w:rPr>
        <w:t>”), a party to that certain Amended and Restated Limited Liability Company Agreement, dated as of February 10, 2026 (as amended, restated, amended and restated, supplemented or otherwise modified from time to time, the “</w:t>
      </w:r>
      <w:r>
        <w:rPr>
          <w:rFonts w:ascii="Times New Roman" w:hAnsi="Times New Roman"/>
          <w:sz w:val="20"/>
          <w:u w:val="single"/>
        </w:rPr>
        <w:t>Agreement</w:t>
      </w:r>
      <w:r>
        <w:rPr>
          <w:rFonts w:ascii="Times New Roman" w:hAnsi="Times New Roman"/>
          <w:sz w:val="20"/>
        </w:rPr>
        <w:t>”) of SOLV Energy Holdings LLC, a Delaware limited liability company (the “</w:t>
      </w:r>
      <w:r>
        <w:rPr>
          <w:rFonts w:ascii="Times New Roman" w:hAnsi="Times New Roman"/>
          <w:sz w:val="20"/>
          <w:u w:val="single"/>
        </w:rPr>
        <w:t>Company</w:t>
      </w:r>
      <w:r>
        <w:rPr>
          <w:rFonts w:ascii="Times New Roman" w:hAnsi="Times New Roman"/>
          <w:sz w:val="20"/>
        </w:rPr>
        <w:t xml:space="preserve">”), by and among the Company, SOLV Energy, Inc., a Delaware corporation, SOLV Manager Sub Inc., a Delaware corporation and the managing member of the Company, and each of the Members from time to time party thereto (capitalized terms used but not otherwise defined herein have the respective meanings set forth in the Agreement), acknowledges on his or her own behalf that: </w:t>
      </w:r>
    </w:p>
    <w:p>
      <w:pPr>
        <w:pStyle w:val="TextBody"/>
        <w:bidi w:val="0"/>
        <w:spacing w:before="240" w:after="0"/>
        <w:jc w:val="left"/>
        <w:rPr>
          <w:rFonts w:ascii="Times New Roman" w:hAnsi="Times New Roman"/>
          <w:sz w:val="20"/>
        </w:rPr>
      </w:pPr>
      <w:r>
        <w:rPr>
          <w:rFonts w:ascii="Times New Roman" w:hAnsi="Times New Roman"/>
          <w:sz w:val="20"/>
        </w:rPr>
        <w:t xml:space="preserve">I have read the Agreement and understand its contents. I acknowledge and understand that under the Agreement, any interest I may have, community property or otherwise, in the Units owned by the Member is subject to the terms of the Agreement which include certain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and approve the Agreement. I agree that said Units and any interest I may have, community property or otherwise, in such Units are subject to the provisions of the Agreement and that I will take no action at any time to hinder operation of the Agreement on said Units or any interest I may have, community property or otherwise, in said Units. </w:t>
      </w:r>
    </w:p>
    <w:p>
      <w:pPr>
        <w:pStyle w:val="TextBody"/>
        <w:bidi w:val="0"/>
        <w:spacing w:before="240" w:after="0"/>
        <w:jc w:val="left"/>
        <w:rPr>
          <w:rFonts w:ascii="Times New Roman" w:hAnsi="Times New Roman"/>
          <w:sz w:val="20"/>
        </w:rPr>
      </w:pPr>
      <w:r>
        <w:rPr>
          <w:rFonts w:ascii="Times New Roman" w:hAnsi="Times New Roman"/>
          <w:sz w:val="20"/>
        </w:rPr>
        <w:t xml:space="preserve">I hereby acknowledge that the meaning and legal consequences of the Agreement have been explained fully to me and are understood by me, and that I am signing this Agreement and consent without any duress and of free will. </w:t>
      </w:r>
    </w:p>
    <w:p>
      <w:pPr>
        <w:pStyle w:val="TextBody"/>
        <w:bidi w:val="0"/>
        <w:spacing w:before="240" w:after="0"/>
        <w:jc w:val="left"/>
        <w:rPr>
          <w:rFonts w:ascii="Times New Roman" w:hAnsi="Times New Roman"/>
          <w:sz w:val="20"/>
        </w:rPr>
      </w:pPr>
      <w:r>
        <w:rPr>
          <w:rFonts w:ascii="Times New Roman" w:hAnsi="Times New Roman"/>
          <w:sz w:val="20"/>
        </w:rPr>
        <w:t xml:space="preserve">Dated: []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[NAME OF SPOUSE]:</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 Page 1 </w:t>
      </w:r>
    </w:p>
    <w:p>
      <w:pPr>
        <w:pStyle w:val="TextBody"/>
        <w:bidi w:val="0"/>
        <w:spacing w:before="0" w:after="0"/>
        <w:jc w:val="right"/>
        <w:rPr>
          <w:rFonts w:ascii="Times New Roman" w:hAnsi="Times New Roman"/>
          <w:b/>
          <w:sz w:val="20"/>
        </w:rPr>
      </w:pPr>
      <w:bookmarkStart w:id="10" w:name="d189834dex106.htm"/>
      <w:bookmarkStart w:id="11" w:name="ksd189834dex106"/>
      <w:bookmarkEnd w:id="10"/>
      <w:bookmarkEnd w:id="11"/>
      <w:r>
        <w:rPr>
          <w:rFonts w:ascii="Times New Roman" w:hAnsi="Times New Roman"/>
          <w:b/>
          <w:sz w:val="20"/>
        </w:rPr>
        <w:t xml:space="preserve">Exhibit 10.6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12,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SOLV ENERGY INTERMEDIATE HOLDINGS LLC </w:t>
      </w:r>
    </w:p>
    <w:p>
      <w:pPr>
        <w:pStyle w:val="TextBody"/>
        <w:bidi w:val="0"/>
        <w:spacing w:before="0" w:after="0"/>
        <w:jc w:val="center"/>
        <w:rPr>
          <w:rFonts w:ascii="Times New Roman" w:hAnsi="Times New Roman"/>
          <w:sz w:val="20"/>
        </w:rPr>
      </w:pPr>
      <w:r>
        <w:rPr>
          <w:rFonts w:ascii="Times New Roman" w:hAnsi="Times New Roman"/>
          <w:sz w:val="20"/>
        </w:rPr>
        <w:t xml:space="preserve">as Holdings, </w:t>
      </w:r>
    </w:p>
    <w:p>
      <w:pPr>
        <w:pStyle w:val="TextBody"/>
        <w:bidi w:val="0"/>
        <w:spacing w:before="240" w:after="0"/>
        <w:jc w:val="center"/>
        <w:rPr>
          <w:rFonts w:ascii="Times New Roman" w:hAnsi="Times New Roman"/>
          <w:sz w:val="20"/>
        </w:rPr>
      </w:pPr>
      <w:r>
        <w:rPr>
          <w:rFonts w:ascii="Times New Roman" w:hAnsi="Times New Roman"/>
          <w:sz w:val="20"/>
        </w:rPr>
        <w:t xml:space="preserve">SOLV ENERGY ACQUISITION LLC,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FINANCIAL INSTITUTIONS FROM TIME TO TIME PARTY HERETO,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KEYBANK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 Issuing Bank and the Swingline Lender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KEYBANC CAPITAL MARKETS INC.,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CITY NATIONAL BANK., </w:t>
      </w:r>
    </w:p>
    <w:p>
      <w:pPr>
        <w:pStyle w:val="TextBody"/>
        <w:bidi w:val="0"/>
        <w:spacing w:before="240" w:after="0"/>
        <w:jc w:val="center"/>
        <w:rPr>
          <w:rFonts w:ascii="Times New Roman" w:hAnsi="Times New Roman"/>
          <w:sz w:val="20"/>
        </w:rPr>
      </w:pPr>
      <w:r>
        <w:rPr>
          <w:rFonts w:ascii="Times New Roman" w:hAnsi="Times New Roman"/>
          <w:sz w:val="20"/>
        </w:rPr>
        <w:t xml:space="preserve">as Joint Lead Arrangers </w:t>
      </w:r>
    </w:p>
    <w:p>
      <w:pPr>
        <w:pStyle w:val="TextBody"/>
        <w:bidi w:val="0"/>
        <w:spacing w:before="240" w:after="0"/>
        <w:jc w:val="center"/>
        <w:rPr>
          <w:rFonts w:ascii="Times New Roman" w:hAnsi="Times New Roman"/>
          <w:sz w:val="20"/>
        </w:rPr>
      </w:pPr>
      <w:r>
        <w:rPr>
          <w:rFonts w:ascii="Times New Roman" w:hAnsi="Times New Roman"/>
          <w:sz w:val="20"/>
        </w:rPr>
        <w:t xml:space="preserve">KEYBANC CAPITAL MARKETS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240" w:after="0"/>
        <w:jc w:val="center"/>
        <w:rPr>
          <w:rFonts w:ascii="Times New Roman" w:hAnsi="Times New Roman"/>
          <w:sz w:val="20"/>
        </w:rPr>
      </w:pPr>
      <w:r>
        <w:rPr>
          <w:rFonts w:ascii="Times New Roman" w:hAnsi="Times New Roman"/>
          <w:sz w:val="20"/>
        </w:rPr>
        <w:t xml:space="preserve">as Joint Bookrunners </w:t>
      </w:r>
    </w:p>
    <w:p>
      <w:pPr>
        <w:pStyle w:val="TextBody"/>
        <w:bidi w:val="0"/>
        <w:spacing w:before="240" w:after="0"/>
        <w:jc w:val="center"/>
        <w:rPr>
          <w:rFonts w:ascii="Times New Roman" w:hAnsi="Times New Roman"/>
          <w:sz w:val="20"/>
        </w:rPr>
      </w:pPr>
      <w:r>
        <w:rPr>
          <w:rFonts w:ascii="Times New Roman" w:hAnsi="Times New Roman"/>
          <w:sz w:val="20"/>
        </w:rPr>
        <w:t xml:space="preserve">JEFFERIES FINANCE LLC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THE TORONTO-DOMINION BANK, NEW YORK BRANCH, </w:t>
      </w:r>
    </w:p>
    <w:p>
      <w:pPr>
        <w:pStyle w:val="TextBody"/>
        <w:bidi w:val="0"/>
        <w:spacing w:before="240" w:after="0"/>
        <w:jc w:val="center"/>
        <w:rPr>
          <w:rFonts w:ascii="Times New Roman" w:hAnsi="Times New Roman"/>
          <w:sz w:val="20"/>
        </w:rPr>
      </w:pPr>
      <w:r>
        <w:rPr>
          <w:rFonts w:ascii="Times New Roman" w:hAnsi="Times New Roman"/>
          <w:sz w:val="20"/>
        </w:rPr>
        <w:t xml:space="preserve">as Documentation Agents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3"/>
        <w:gridCol w:w="123"/>
        <w:gridCol w:w="7668"/>
        <w:gridCol w:w="173"/>
        <w:gridCol w:w="96"/>
        <w:gridCol w:w="419"/>
        <w:gridCol w:w="63"/>
      </w:tblGrid>
      <w:tr>
        <w:trPr/>
        <w:tc>
          <w:tcPr>
            <w:tcW w:w="166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8"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6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668"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54" w:type="dxa"/>
            <w:gridSpan w:val="3"/>
            <w:tcBorders/>
          </w:tcPr>
          <w:p>
            <w:pPr>
              <w:pStyle w:val="TableContents"/>
              <w:bidi w:val="0"/>
              <w:spacing w:before="0" w:after="283"/>
              <w:jc w:val="left"/>
              <w:rPr/>
            </w:pPr>
            <w:r>
              <w:rPr/>
              <w:t>ARTICLE 1 DEFINITIONS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283"/>
              <w:jc w:val="left"/>
              <w:rPr/>
            </w:pPr>
            <w:r>
              <w:rPr/>
              <w:t>Section 1.01</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Defined Terms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1.02</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Classification of Loans and Borrowings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1.03</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Terms Generally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1.04</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Accounting Terms; GAAP</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1.05</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Effectuation of Transactions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1.06</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Timing of Payment or Performance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1.07</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Times of Day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1.08</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Currency Equivalents Generally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1.09</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Cashless Rollovers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1.10</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Certain Calculations and Tests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1.11</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Divisions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1.12</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Rates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1.13</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DevCo Dispositions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1.14</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Negative Covenant Carveouts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1.15</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Conflicts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tcPr>
          <w:p>
            <w:pPr>
              <w:pStyle w:val="TableContents"/>
              <w:bidi w:val="0"/>
              <w:spacing w:before="0" w:after="283"/>
              <w:jc w:val="left"/>
              <w:rPr/>
            </w:pPr>
            <w:r>
              <w:rPr/>
              <w:t>ARTICLE 2 THE CREDITS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283"/>
              <w:jc w:val="left"/>
              <w:rPr/>
            </w:pPr>
            <w:r>
              <w:rPr/>
              <w:t>Section 2.01</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Commitments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2.02</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Loans and Borrowings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2.03</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Requests for Borrowings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2.04</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Swingline Loans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2.05</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Letters of Credit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2.06</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[Reserved]</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2.07</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Funding of Borrowings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2.08</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Type; Interest Elections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2.09</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Termination and Reduction of Commitments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2.10</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Repayment of Loans; Evidence of Debt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2.11</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Prepayment of Loans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2.12</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Fees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2.13</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Interest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2.14</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Alternate Rate of Interest; Benchmark Replacement Setting</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2.15</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Increased Costs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2.16</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Break Funding Payments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2.17</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Taxes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2.18</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Payments Generally; Allocation of Proceeds; Sharing of Payments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2.19</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Mitigation Obligations; Replacement of Lenders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2.20</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Illegality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2.21</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Defaulting Lenders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2.22</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Incremental Credit Extensions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2.23</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Extensions of Loans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120" w:hRule="atLeast"/>
        </w:trPr>
        <w:tc>
          <w:tcPr>
            <w:tcW w:w="9454" w:type="dxa"/>
            <w:gridSpan w:val="3"/>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9454" w:type="dxa"/>
            <w:gridSpan w:val="3"/>
            <w:tcBorders/>
          </w:tcPr>
          <w:p>
            <w:pPr>
              <w:pStyle w:val="TableContents"/>
              <w:bidi w:val="0"/>
              <w:spacing w:before="0" w:after="283"/>
              <w:jc w:val="left"/>
              <w:rPr/>
            </w:pPr>
            <w:r>
              <w:rPr/>
              <w:t>ARTICLE 3 REPRESENTATIONS AND WARRANTIES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1663" w:type="dxa"/>
            <w:tcBorders/>
            <w:vAlign w:val="center"/>
          </w:tcPr>
          <w:p>
            <w:pPr>
              <w:pStyle w:val="TableContents"/>
              <w:bidi w:val="0"/>
              <w:spacing w:before="0" w:after="283"/>
              <w:jc w:val="left"/>
              <w:rPr>
                <w:sz w:val="4"/>
                <w:szCs w:val="4"/>
              </w:rPr>
            </w:pPr>
            <w:r>
              <w:rPr>
                <w:sz w:val="4"/>
                <w:szCs w:val="4"/>
              </w:rPr>
            </w:r>
          </w:p>
        </w:tc>
        <w:tc>
          <w:tcPr>
            <w:tcW w:w="7791" w:type="dxa"/>
            <w:gridSpan w:val="2"/>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r>
      <w:tr>
        <w:trPr/>
        <w:tc>
          <w:tcPr>
            <w:tcW w:w="1663" w:type="dxa"/>
            <w:tcBorders/>
          </w:tcPr>
          <w:p>
            <w:pPr>
              <w:pStyle w:val="TableContents"/>
              <w:bidi w:val="0"/>
              <w:spacing w:before="0" w:after="283"/>
              <w:jc w:val="left"/>
              <w:rPr/>
            </w:pPr>
            <w:r>
              <w:rPr/>
              <w:t>Section 3.01</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Organization; Powers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3.02</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Authorization; Enforceability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3.03</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Governmental Approvals; No Conflicts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3.04</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Financial Condition; No Material Adverse Effect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3.05</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Properties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663" w:type="dxa"/>
            <w:tcBorders/>
          </w:tcPr>
          <w:p>
            <w:pPr>
              <w:pStyle w:val="TableContents"/>
              <w:bidi w:val="0"/>
              <w:spacing w:before="0" w:after="283"/>
              <w:jc w:val="left"/>
              <w:rPr/>
            </w:pPr>
            <w:r>
              <w:rPr/>
              <w:t>Section 3.06</w:t>
            </w:r>
          </w:p>
        </w:tc>
        <w:tc>
          <w:tcPr>
            <w:tcW w:w="123" w:type="dxa"/>
            <w:tcBorders/>
            <w:vAlign w:val="bottom"/>
          </w:tcPr>
          <w:p>
            <w:pPr>
              <w:pStyle w:val="TableContents"/>
              <w:bidi w:val="0"/>
              <w:spacing w:before="0" w:after="283"/>
              <w:jc w:val="left"/>
              <w:rPr/>
            </w:pPr>
            <w:r>
              <w:rPr/>
              <w:t> </w:t>
            </w:r>
          </w:p>
        </w:tc>
        <w:tc>
          <w:tcPr>
            <w:tcW w:w="7668" w:type="dxa"/>
            <w:tcBorders/>
          </w:tcPr>
          <w:p>
            <w:pPr>
              <w:pStyle w:val="TableContents"/>
              <w:bidi w:val="0"/>
              <w:spacing w:before="0" w:after="283"/>
              <w:jc w:val="left"/>
              <w:rPr/>
            </w:pPr>
            <w:r>
              <w:rPr/>
              <w:t>Litigation and Environmental Matters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37"/>
        <w:gridCol w:w="117"/>
        <w:gridCol w:w="7993"/>
        <w:gridCol w:w="151"/>
        <w:gridCol w:w="60"/>
        <w:gridCol w:w="383"/>
        <w:gridCol w:w="64"/>
      </w:tblGrid>
      <w:tr>
        <w:trPr/>
        <w:tc>
          <w:tcPr>
            <w:tcW w:w="1437"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99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283"/>
              <w:jc w:val="left"/>
              <w:rPr/>
            </w:pPr>
            <w:r>
              <w:rPr/>
              <w:t>Section 3.07</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Compliance with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3.08</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Investment Company Status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3.09</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3.10</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ERISA</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3.11</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Disclosure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3.12</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Solvency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3.13</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3.14</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Security Interest in Collateral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3.15</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Labor Disputes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3.16</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Federal Reserve Regulations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3.17</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OFAC; USA PATRIOT ACT and FCPA</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rHeight w:val="120" w:hRule="atLeast"/>
        </w:trPr>
        <w:tc>
          <w:tcPr>
            <w:tcW w:w="9547" w:type="dxa"/>
            <w:gridSpan w:val="3"/>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Pr>
          <w:p>
            <w:pPr>
              <w:pStyle w:val="TableContents"/>
              <w:bidi w:val="0"/>
              <w:spacing w:before="0" w:after="283"/>
              <w:jc w:val="left"/>
              <w:rPr/>
            </w:pPr>
            <w:r>
              <w:rPr/>
              <w:t>ARTICLE 4 CONDITIONS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110"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283"/>
              <w:jc w:val="left"/>
              <w:rPr/>
            </w:pPr>
            <w:r>
              <w:rPr/>
              <w:t>Section 4.01</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Closing Date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4.02</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Each Credit Extension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rHeight w:val="120" w:hRule="atLeast"/>
        </w:trPr>
        <w:tc>
          <w:tcPr>
            <w:tcW w:w="9547" w:type="dxa"/>
            <w:gridSpan w:val="3"/>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Pr>
          <w:p>
            <w:pPr>
              <w:pStyle w:val="TableContents"/>
              <w:bidi w:val="0"/>
              <w:spacing w:before="0" w:after="283"/>
              <w:jc w:val="left"/>
              <w:rPr/>
            </w:pPr>
            <w:r>
              <w:rPr/>
              <w:t>ARTICLE 5 AFFIRMATIVE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110"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283"/>
              <w:jc w:val="left"/>
              <w:rPr/>
            </w:pPr>
            <w:r>
              <w:rPr/>
              <w:t>Section 5.01</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Financial Statements and Other Reports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5.02</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Existence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5.03</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Payment of 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5.04</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Maintenance of Properties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5.05</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Insurance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5.06</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Inspections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5.07</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Maintenance of Book and Records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5.08</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Compliance with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5.09</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Environmental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5.10</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Designation of Subsidiaries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5.11</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Use of Proceeds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5.12</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Covenant to Guarantee Obligations and Provide Security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5.13</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5.14</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Further Assurances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5.15</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Post-Closing Covenant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5.16</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USA PATRIOT Act, FCPA, and Sanctions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5.17</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Transactions With Affiliates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5.18</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Fiscal Year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5.19</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Nature of Business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rHeight w:val="120" w:hRule="atLeast"/>
        </w:trPr>
        <w:tc>
          <w:tcPr>
            <w:tcW w:w="9547" w:type="dxa"/>
            <w:gridSpan w:val="3"/>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Pr>
          <w:p>
            <w:pPr>
              <w:pStyle w:val="TableContents"/>
              <w:bidi w:val="0"/>
              <w:spacing w:before="0" w:after="283"/>
              <w:jc w:val="left"/>
              <w:rPr/>
            </w:pPr>
            <w:r>
              <w:rPr/>
              <w:t>ARTICLE 6 NEGATIVE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rHeight w:val="120" w:hRule="atLeast"/>
        </w:trPr>
        <w:tc>
          <w:tcPr>
            <w:tcW w:w="1437" w:type="dxa"/>
            <w:tcBorders/>
            <w:vAlign w:val="center"/>
          </w:tcPr>
          <w:p>
            <w:pPr>
              <w:pStyle w:val="TableContents"/>
              <w:bidi w:val="0"/>
              <w:spacing w:before="0" w:after="283"/>
              <w:jc w:val="left"/>
              <w:rPr>
                <w:sz w:val="4"/>
                <w:szCs w:val="4"/>
              </w:rPr>
            </w:pPr>
            <w:r>
              <w:rPr>
                <w:sz w:val="4"/>
                <w:szCs w:val="4"/>
              </w:rPr>
            </w:r>
          </w:p>
        </w:tc>
        <w:tc>
          <w:tcPr>
            <w:tcW w:w="8110"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437" w:type="dxa"/>
            <w:tcBorders/>
          </w:tcPr>
          <w:p>
            <w:pPr>
              <w:pStyle w:val="TableContents"/>
              <w:bidi w:val="0"/>
              <w:spacing w:before="0" w:after="283"/>
              <w:jc w:val="left"/>
              <w:rPr/>
            </w:pPr>
            <w:r>
              <w:rPr/>
              <w:t>Section 6.01</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Indebtedness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6.02</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Liens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6.03</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6.04</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Restricted Payments; Restricted Debt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6.05</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Burdensome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6.06</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Investments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6.07</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Fundamental Changes; Disposition of Assets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6.08</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6.09</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6.10</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6.11</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Amendments or Waivers of Organizational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6.12</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Amendments of or Waivers with Respect to Restricted Debt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6.13</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[Reserved.]</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6.14</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Permitted Activities of Holdings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437" w:type="dxa"/>
            <w:tcBorders/>
          </w:tcPr>
          <w:p>
            <w:pPr>
              <w:pStyle w:val="TableContents"/>
              <w:bidi w:val="0"/>
              <w:spacing w:before="0" w:after="283"/>
              <w:jc w:val="left"/>
              <w:rPr/>
            </w:pPr>
            <w:r>
              <w:rPr/>
              <w:t>Section 6.15</w:t>
            </w:r>
          </w:p>
        </w:tc>
        <w:tc>
          <w:tcPr>
            <w:tcW w:w="117" w:type="dxa"/>
            <w:tcBorders/>
            <w:vAlign w:val="bottom"/>
          </w:tcPr>
          <w:p>
            <w:pPr>
              <w:pStyle w:val="TableContents"/>
              <w:bidi w:val="0"/>
              <w:spacing w:before="0" w:after="283"/>
              <w:jc w:val="left"/>
              <w:rPr/>
            </w:pPr>
            <w:r>
              <w:rPr/>
              <w:t> </w:t>
            </w:r>
          </w:p>
        </w:tc>
        <w:tc>
          <w:tcPr>
            <w:tcW w:w="7993" w:type="dxa"/>
            <w:tcBorders/>
          </w:tcPr>
          <w:p>
            <w:pPr>
              <w:pStyle w:val="TableContents"/>
              <w:bidi w:val="0"/>
              <w:spacing w:before="0" w:after="283"/>
              <w:jc w:val="left"/>
              <w:rPr/>
            </w:pPr>
            <w:r>
              <w:rPr/>
              <w:t>Financial Covenant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31"/>
        <w:gridCol w:w="115"/>
        <w:gridCol w:w="8001"/>
        <w:gridCol w:w="151"/>
        <w:gridCol w:w="60"/>
        <w:gridCol w:w="384"/>
        <w:gridCol w:w="63"/>
      </w:tblGrid>
      <w:tr>
        <w:trPr/>
        <w:tc>
          <w:tcPr>
            <w:tcW w:w="1431"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001"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Pr>
          <w:p>
            <w:pPr>
              <w:pStyle w:val="TableContents"/>
              <w:bidi w:val="0"/>
              <w:spacing w:before="0" w:after="283"/>
              <w:jc w:val="left"/>
              <w:rPr/>
            </w:pPr>
            <w:r>
              <w:rPr/>
              <w:t>ARTICLE 7 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rHeight w:val="120" w:hRule="atLeast"/>
        </w:trPr>
        <w:tc>
          <w:tcPr>
            <w:tcW w:w="1431"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431" w:type="dxa"/>
            <w:tcBorders/>
          </w:tcPr>
          <w:p>
            <w:pPr>
              <w:pStyle w:val="TableContents"/>
              <w:bidi w:val="0"/>
              <w:spacing w:before="0" w:after="283"/>
              <w:jc w:val="left"/>
              <w:rPr/>
            </w:pPr>
            <w:r>
              <w:rPr/>
              <w:t>Section 7.01</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Events of Default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gridSpan w:val="3"/>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Pr>
          <w:p>
            <w:pPr>
              <w:pStyle w:val="TableContents"/>
              <w:bidi w:val="0"/>
              <w:spacing w:before="0" w:after="283"/>
              <w:jc w:val="left"/>
              <w:rPr/>
            </w:pPr>
            <w:r>
              <w:rPr/>
              <w:t>ARTICLE 8 THE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rHeight w:val="120" w:hRule="atLeast"/>
        </w:trPr>
        <w:tc>
          <w:tcPr>
            <w:tcW w:w="1431"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431" w:type="dxa"/>
            <w:tcBorders/>
          </w:tcPr>
          <w:p>
            <w:pPr>
              <w:pStyle w:val="TableContents"/>
              <w:bidi w:val="0"/>
              <w:spacing w:before="0" w:after="283"/>
              <w:jc w:val="left"/>
              <w:rPr/>
            </w:pPr>
            <w:r>
              <w:rPr/>
              <w:t>Section 8.01</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Appointment and Authorization of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8.02</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Rights as a Lender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8.03</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Exculpatory Provisions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8.04</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Exclusive Right to Enforce Rights and Remedies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143</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8.05</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Reliance by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144</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8.06</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Delegation of Duties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144</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8.07</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Successor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145</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8.08</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Non-Reliance on Administrative Agent, the Arrangers and the other Lenders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146</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8.09</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Collateral and Guaranty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146</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8.10</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Intercreditor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8.11</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Indemnification of Administrative Agent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8.12</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Withholding 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8.13</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ERISA Representation of the Lenders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8.14</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Erroneous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gridSpan w:val="3"/>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Pr>
          <w:p>
            <w:pPr>
              <w:pStyle w:val="TableContents"/>
              <w:bidi w:val="0"/>
              <w:spacing w:before="0" w:after="283"/>
              <w:jc w:val="left"/>
              <w:rPr/>
            </w:pPr>
            <w:r>
              <w:rPr/>
              <w:t>ARTICLE 9 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rHeight w:val="120" w:hRule="atLeast"/>
        </w:trPr>
        <w:tc>
          <w:tcPr>
            <w:tcW w:w="1431"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1431" w:type="dxa"/>
            <w:tcBorders/>
          </w:tcPr>
          <w:p>
            <w:pPr>
              <w:pStyle w:val="TableContents"/>
              <w:bidi w:val="0"/>
              <w:spacing w:before="0" w:after="283"/>
              <w:jc w:val="left"/>
              <w:rPr/>
            </w:pPr>
            <w:r>
              <w:rPr/>
              <w:t>Section 9.01</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9.02</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Waivers; Amendments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155</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9.03</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Expenses; Indemnity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160</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9.04</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Waiver of Claim</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9.05</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Successors and Assigns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9.06</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Survival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9.07</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Counterparts; Integration; Effectiveness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9.08</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Severability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9.09</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Right of Setoff</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9.10</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Governing Law; Jurisdiction; Consent to Service of Process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9.11</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Waiver of Jury Trial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169</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9.12</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Headings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9.13</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Confidentiality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170</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9.14</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No Fiduciary Duty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9.15</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Several Obligations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9.16</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USA PATRIOT Act; Beneficial Ownership Regulation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9.17</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Disclosure of Agent Conflicts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9.18</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Appointment for Perfection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9.19</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Interest Rate Limitation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9.20</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Electronic Execution of Assignments and Certain Other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9.21</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Conflicts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9.22</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Release of Guarantors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9.23</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Acknowledgement and Consent to Bail-In of Affected Financial Institutions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9.24</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Acknowledgement Regarding Any Supported QFCs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174</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9.25</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Marshaling; Payments Set Aside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r>
        <w:trPr/>
        <w:tc>
          <w:tcPr>
            <w:tcW w:w="1431" w:type="dxa"/>
            <w:tcBorders/>
          </w:tcPr>
          <w:p>
            <w:pPr>
              <w:pStyle w:val="TableContents"/>
              <w:bidi w:val="0"/>
              <w:spacing w:before="0" w:after="283"/>
              <w:jc w:val="left"/>
              <w:rPr/>
            </w:pPr>
            <w:r>
              <w:rPr/>
              <w:t>Section 9.26</w:t>
            </w:r>
          </w:p>
        </w:tc>
        <w:tc>
          <w:tcPr>
            <w:tcW w:w="115" w:type="dxa"/>
            <w:tcBorders/>
            <w:vAlign w:val="bottom"/>
          </w:tcPr>
          <w:p>
            <w:pPr>
              <w:pStyle w:val="TableContents"/>
              <w:bidi w:val="0"/>
              <w:spacing w:before="0" w:after="283"/>
              <w:jc w:val="left"/>
              <w:rPr/>
            </w:pPr>
            <w:r>
              <w:rPr/>
              <w:t> </w:t>
            </w:r>
          </w:p>
        </w:tc>
        <w:tc>
          <w:tcPr>
            <w:tcW w:w="8001" w:type="dxa"/>
            <w:tcBorders/>
          </w:tcPr>
          <w:p>
            <w:pPr>
              <w:pStyle w:val="TableContents"/>
              <w:bidi w:val="0"/>
              <w:spacing w:before="0" w:after="283"/>
              <w:jc w:val="left"/>
              <w:rPr/>
            </w:pPr>
            <w:r>
              <w:rPr/>
              <w:t>Judgment Currency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175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6"/>
        <w:gridCol w:w="120"/>
        <w:gridCol w:w="315"/>
        <w:gridCol w:w="120"/>
        <w:gridCol w:w="8104"/>
      </w:tblGrid>
      <w:tr>
        <w:trPr/>
        <w:tc>
          <w:tcPr>
            <w:tcW w:w="15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04" w:type="dxa"/>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283"/>
              <w:jc w:val="left"/>
              <w:rPr/>
            </w:pPr>
            <w:r>
              <w:rPr/>
              <w:t>SCHEDULES:</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sz w:val="4"/>
                <w:szCs w:val="4"/>
              </w:rPr>
            </w:pPr>
            <w:r>
              <w:rPr>
                <w:sz w:val="4"/>
                <w:szCs w:val="4"/>
              </w:rPr>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283"/>
              <w:jc w:val="left"/>
              <w:rPr/>
            </w:pPr>
            <w:r>
              <w:rPr/>
              <w:t>Schedule 1.01(a)</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Commitment Schedule</w:t>
            </w:r>
          </w:p>
        </w:tc>
      </w:tr>
      <w:tr>
        <w:trPr/>
        <w:tc>
          <w:tcPr>
            <w:tcW w:w="1546" w:type="dxa"/>
            <w:tcBorders/>
          </w:tcPr>
          <w:p>
            <w:pPr>
              <w:pStyle w:val="TableContents"/>
              <w:bidi w:val="0"/>
              <w:spacing w:before="0" w:after="283"/>
              <w:jc w:val="left"/>
              <w:rPr/>
            </w:pPr>
            <w:r>
              <w:rPr/>
              <w:t>Schedule 1.01(b)</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Letter of Credit Commitment Schedule</w:t>
            </w:r>
          </w:p>
        </w:tc>
      </w:tr>
      <w:tr>
        <w:trPr/>
        <w:tc>
          <w:tcPr>
            <w:tcW w:w="1546" w:type="dxa"/>
            <w:tcBorders/>
          </w:tcPr>
          <w:p>
            <w:pPr>
              <w:pStyle w:val="TableContents"/>
              <w:bidi w:val="0"/>
              <w:spacing w:before="0" w:after="283"/>
              <w:jc w:val="left"/>
              <w:rPr/>
            </w:pPr>
            <w:r>
              <w:rPr/>
              <w:t>Schedule 1.01(c)</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Material Real Estate Asset</w:t>
            </w:r>
          </w:p>
        </w:tc>
      </w:tr>
      <w:tr>
        <w:trPr/>
        <w:tc>
          <w:tcPr>
            <w:tcW w:w="1546" w:type="dxa"/>
            <w:tcBorders/>
          </w:tcPr>
          <w:p>
            <w:pPr>
              <w:pStyle w:val="TableContents"/>
              <w:bidi w:val="0"/>
              <w:spacing w:before="0" w:after="283"/>
              <w:jc w:val="left"/>
              <w:rPr/>
            </w:pPr>
            <w:r>
              <w:rPr/>
              <w:t>Schedule 1.01(d)</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Existing Letters of Credit</w:t>
            </w:r>
          </w:p>
        </w:tc>
      </w:tr>
      <w:tr>
        <w:trPr/>
        <w:tc>
          <w:tcPr>
            <w:tcW w:w="1546" w:type="dxa"/>
            <w:tcBorders/>
          </w:tcPr>
          <w:p>
            <w:pPr>
              <w:pStyle w:val="TableContents"/>
              <w:bidi w:val="0"/>
              <w:spacing w:before="0" w:after="283"/>
              <w:jc w:val="left"/>
              <w:rPr/>
            </w:pPr>
            <w:r>
              <w:rPr/>
              <w:t>Schedule 3.05</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Fee Owned Real Estate Assets</w:t>
            </w:r>
          </w:p>
        </w:tc>
      </w:tr>
      <w:tr>
        <w:trPr/>
        <w:tc>
          <w:tcPr>
            <w:tcW w:w="1546" w:type="dxa"/>
            <w:tcBorders/>
          </w:tcPr>
          <w:p>
            <w:pPr>
              <w:pStyle w:val="TableContents"/>
              <w:bidi w:val="0"/>
              <w:spacing w:before="0" w:after="283"/>
              <w:jc w:val="left"/>
              <w:rPr/>
            </w:pPr>
            <w:r>
              <w:rPr/>
              <w:t>Schedule 3.13</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Subsidiaries</w:t>
            </w:r>
          </w:p>
        </w:tc>
      </w:tr>
      <w:tr>
        <w:trPr/>
        <w:tc>
          <w:tcPr>
            <w:tcW w:w="1546" w:type="dxa"/>
            <w:tcBorders/>
          </w:tcPr>
          <w:p>
            <w:pPr>
              <w:pStyle w:val="TableContents"/>
              <w:bidi w:val="0"/>
              <w:spacing w:before="0" w:after="283"/>
              <w:jc w:val="left"/>
              <w:rPr/>
            </w:pPr>
            <w:r>
              <w:rPr/>
              <w:t>Schedule 5.10</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Unrestricted Subsidiaries</w:t>
            </w:r>
          </w:p>
        </w:tc>
      </w:tr>
      <w:tr>
        <w:trPr/>
        <w:tc>
          <w:tcPr>
            <w:tcW w:w="1546" w:type="dxa"/>
            <w:tcBorders/>
          </w:tcPr>
          <w:p>
            <w:pPr>
              <w:pStyle w:val="TableContents"/>
              <w:bidi w:val="0"/>
              <w:spacing w:before="0" w:after="283"/>
              <w:jc w:val="left"/>
              <w:rPr/>
            </w:pPr>
            <w:r>
              <w:rPr/>
              <w:t>Schedule 5.15</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Post-Closing Obligations</w:t>
            </w:r>
          </w:p>
        </w:tc>
      </w:tr>
      <w:tr>
        <w:trPr/>
        <w:tc>
          <w:tcPr>
            <w:tcW w:w="1546" w:type="dxa"/>
            <w:tcBorders/>
          </w:tcPr>
          <w:p>
            <w:pPr>
              <w:pStyle w:val="TableContents"/>
              <w:bidi w:val="0"/>
              <w:spacing w:before="0" w:after="283"/>
              <w:jc w:val="left"/>
              <w:rPr/>
            </w:pPr>
            <w:r>
              <w:rPr/>
              <w:t>Schedule 6.01</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Existing Indebtedness</w:t>
            </w:r>
          </w:p>
        </w:tc>
      </w:tr>
      <w:tr>
        <w:trPr/>
        <w:tc>
          <w:tcPr>
            <w:tcW w:w="1546" w:type="dxa"/>
            <w:tcBorders/>
          </w:tcPr>
          <w:p>
            <w:pPr>
              <w:pStyle w:val="TableContents"/>
              <w:bidi w:val="0"/>
              <w:spacing w:before="0" w:after="283"/>
              <w:jc w:val="left"/>
              <w:rPr/>
            </w:pPr>
            <w:r>
              <w:rPr/>
              <w:t>Schedule 6.02</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Existing Liens</w:t>
            </w:r>
          </w:p>
        </w:tc>
      </w:tr>
      <w:tr>
        <w:trPr/>
        <w:tc>
          <w:tcPr>
            <w:tcW w:w="1546" w:type="dxa"/>
            <w:tcBorders/>
          </w:tcPr>
          <w:p>
            <w:pPr>
              <w:pStyle w:val="TableContents"/>
              <w:bidi w:val="0"/>
              <w:spacing w:before="0" w:after="283"/>
              <w:jc w:val="left"/>
              <w:rPr/>
            </w:pPr>
            <w:r>
              <w:rPr/>
              <w:t>Schedule 6.06</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Existing Investments</w:t>
            </w:r>
          </w:p>
        </w:tc>
      </w:tr>
      <w:tr>
        <w:trPr/>
        <w:tc>
          <w:tcPr>
            <w:tcW w:w="1546" w:type="dxa"/>
            <w:tcBorders/>
          </w:tcPr>
          <w:p>
            <w:pPr>
              <w:pStyle w:val="TableContents"/>
              <w:bidi w:val="0"/>
              <w:spacing w:before="0" w:after="283"/>
              <w:jc w:val="left"/>
              <w:rPr/>
            </w:pPr>
            <w:r>
              <w:rPr/>
              <w:t>Schedule 9.01(a)</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Addresses for Notices</w:t>
            </w:r>
          </w:p>
        </w:tc>
      </w:tr>
      <w:tr>
        <w:trPr/>
        <w:tc>
          <w:tcPr>
            <w:tcW w:w="1546" w:type="dxa"/>
            <w:tcBorders/>
          </w:tcPr>
          <w:p>
            <w:pPr>
              <w:pStyle w:val="TableContents"/>
              <w:bidi w:val="0"/>
              <w:spacing w:before="0" w:after="283"/>
              <w:jc w:val="left"/>
              <w:rPr/>
            </w:pPr>
            <w:r>
              <w:rPr/>
              <w:t>Schedule 9.01(b)</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Borrower’s Website Address for Electronic Delivery</w:t>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283"/>
              <w:jc w:val="left"/>
              <w:rPr/>
            </w:pPr>
            <w:r>
              <w:rPr/>
              <w:t>EXHIBITS:</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sz w:val="4"/>
                <w:szCs w:val="4"/>
              </w:rPr>
            </w:pPr>
            <w:r>
              <w:rPr>
                <w:sz w:val="4"/>
                <w:szCs w:val="4"/>
              </w:rPr>
            </w:r>
          </w:p>
        </w:tc>
      </w:tr>
      <w:tr>
        <w:trPr>
          <w:trHeight w:val="120" w:hRule="atLeast"/>
        </w:trPr>
        <w:tc>
          <w:tcPr>
            <w:tcW w:w="1546" w:type="dxa"/>
            <w:tcBorders/>
            <w:vAlign w:val="center"/>
          </w:tcPr>
          <w:p>
            <w:pPr>
              <w:pStyle w:val="TableContents"/>
              <w:bidi w:val="0"/>
              <w:spacing w:before="0" w:after="283"/>
              <w:jc w:val="left"/>
              <w:rPr>
                <w:sz w:val="4"/>
                <w:szCs w:val="4"/>
              </w:rPr>
            </w:pPr>
            <w:r>
              <w:rPr>
                <w:sz w:val="4"/>
                <w:szCs w:val="4"/>
              </w:rPr>
            </w:r>
          </w:p>
        </w:tc>
        <w:tc>
          <w:tcPr>
            <w:tcW w:w="435" w:type="dxa"/>
            <w:gridSpan w:val="2"/>
            <w:tcBorders/>
            <w:vAlign w:val="center"/>
          </w:tcPr>
          <w:p>
            <w:pPr>
              <w:pStyle w:val="TableContents"/>
              <w:bidi w:val="0"/>
              <w:spacing w:before="0" w:after="283"/>
              <w:jc w:val="left"/>
              <w:rPr>
                <w:sz w:val="4"/>
                <w:szCs w:val="4"/>
              </w:rPr>
            </w:pPr>
            <w:r>
              <w:rPr>
                <w:sz w:val="4"/>
                <w:szCs w:val="4"/>
              </w:rPr>
            </w:r>
          </w:p>
        </w:tc>
        <w:tc>
          <w:tcPr>
            <w:tcW w:w="8224" w:type="dxa"/>
            <w:gridSpan w:val="2"/>
            <w:tcBorders/>
            <w:vAlign w:val="center"/>
          </w:tcPr>
          <w:p>
            <w:pPr>
              <w:pStyle w:val="TableContents"/>
              <w:bidi w:val="0"/>
              <w:spacing w:before="0" w:after="283"/>
              <w:jc w:val="left"/>
              <w:rPr>
                <w:sz w:val="4"/>
                <w:szCs w:val="4"/>
              </w:rPr>
            </w:pPr>
            <w:r>
              <w:rPr>
                <w:sz w:val="4"/>
                <w:szCs w:val="4"/>
              </w:rPr>
            </w:r>
          </w:p>
        </w:tc>
      </w:tr>
      <w:tr>
        <w:trPr/>
        <w:tc>
          <w:tcPr>
            <w:tcW w:w="1546"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Assignment Agreement</w:t>
            </w:r>
          </w:p>
        </w:tc>
      </w:tr>
      <w:tr>
        <w:trPr/>
        <w:tc>
          <w:tcPr>
            <w:tcW w:w="1546"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Borrowing Request</w:t>
            </w:r>
          </w:p>
        </w:tc>
      </w:tr>
      <w:tr>
        <w:trPr/>
        <w:tc>
          <w:tcPr>
            <w:tcW w:w="1546"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Intellectual Property Security Agreement</w:t>
            </w:r>
          </w:p>
        </w:tc>
      </w:tr>
      <w:tr>
        <w:trPr/>
        <w:tc>
          <w:tcPr>
            <w:tcW w:w="1546"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Compliance Certificate</w:t>
            </w:r>
          </w:p>
        </w:tc>
      </w:tr>
      <w:tr>
        <w:trPr/>
        <w:tc>
          <w:tcPr>
            <w:tcW w:w="1546"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Intercompany Note</w:t>
            </w:r>
          </w:p>
        </w:tc>
      </w:tr>
      <w:tr>
        <w:trPr/>
        <w:tc>
          <w:tcPr>
            <w:tcW w:w="1546" w:type="dxa"/>
            <w:tcBorders/>
          </w:tcPr>
          <w:p>
            <w:pPr>
              <w:pStyle w:val="TableContents"/>
              <w:bidi w:val="0"/>
              <w:spacing w:before="0" w:after="283"/>
              <w:jc w:val="left"/>
              <w:rPr/>
            </w:pPr>
            <w:r>
              <w:rPr/>
              <w:t>Exhibit F-1</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First Lien Intercreditor Agreement</w:t>
            </w:r>
          </w:p>
        </w:tc>
      </w:tr>
      <w:tr>
        <w:trPr/>
        <w:tc>
          <w:tcPr>
            <w:tcW w:w="1546" w:type="dxa"/>
            <w:tcBorders/>
          </w:tcPr>
          <w:p>
            <w:pPr>
              <w:pStyle w:val="TableContents"/>
              <w:bidi w:val="0"/>
              <w:spacing w:before="0" w:after="283"/>
              <w:jc w:val="left"/>
              <w:rPr/>
            </w:pPr>
            <w:r>
              <w:rPr/>
              <w:t>Exhibit F-2</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Junior Intercreditor Agreement</w:t>
            </w:r>
          </w:p>
        </w:tc>
      </w:tr>
      <w:tr>
        <w:trPr/>
        <w:tc>
          <w:tcPr>
            <w:tcW w:w="1546" w:type="dxa"/>
            <w:tcBorders/>
          </w:tcPr>
          <w:p>
            <w:pPr>
              <w:pStyle w:val="TableContents"/>
              <w:bidi w:val="0"/>
              <w:spacing w:before="0" w:after="283"/>
              <w:jc w:val="left"/>
              <w:rPr/>
            </w:pPr>
            <w:r>
              <w:rPr/>
              <w:t>Exhibit G</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Interest Election Request</w:t>
            </w:r>
          </w:p>
        </w:tc>
      </w:tr>
      <w:tr>
        <w:trPr/>
        <w:tc>
          <w:tcPr>
            <w:tcW w:w="1546" w:type="dxa"/>
            <w:tcBorders/>
          </w:tcPr>
          <w:p>
            <w:pPr>
              <w:pStyle w:val="TableContents"/>
              <w:bidi w:val="0"/>
              <w:spacing w:before="0" w:after="283"/>
              <w:jc w:val="left"/>
              <w:rPr/>
            </w:pPr>
            <w:r>
              <w:rPr/>
              <w:t>Exhibit H</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Guaranty Agreement</w:t>
            </w:r>
          </w:p>
        </w:tc>
      </w:tr>
      <w:tr>
        <w:trPr/>
        <w:tc>
          <w:tcPr>
            <w:tcW w:w="1546" w:type="dxa"/>
            <w:tcBorders/>
          </w:tcPr>
          <w:p>
            <w:pPr>
              <w:pStyle w:val="TableContents"/>
              <w:bidi w:val="0"/>
              <w:spacing w:before="0" w:after="283"/>
              <w:jc w:val="left"/>
              <w:rPr/>
            </w:pPr>
            <w:r>
              <w:rPr/>
              <w:t>Exhibit I</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Perfection Certificate</w:t>
            </w:r>
          </w:p>
        </w:tc>
      </w:tr>
      <w:tr>
        <w:trPr/>
        <w:tc>
          <w:tcPr>
            <w:tcW w:w="1546" w:type="dxa"/>
            <w:tcBorders/>
          </w:tcPr>
          <w:p>
            <w:pPr>
              <w:pStyle w:val="TableContents"/>
              <w:bidi w:val="0"/>
              <w:spacing w:before="0" w:after="283"/>
              <w:jc w:val="left"/>
              <w:rPr/>
            </w:pPr>
            <w:r>
              <w:rPr/>
              <w:t>Exhibit J</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Joinder Agreement</w:t>
            </w:r>
          </w:p>
        </w:tc>
      </w:tr>
      <w:tr>
        <w:trPr/>
        <w:tc>
          <w:tcPr>
            <w:tcW w:w="1546" w:type="dxa"/>
            <w:tcBorders/>
          </w:tcPr>
          <w:p>
            <w:pPr>
              <w:pStyle w:val="TableContents"/>
              <w:bidi w:val="0"/>
              <w:spacing w:before="0" w:after="283"/>
              <w:jc w:val="left"/>
              <w:rPr/>
            </w:pPr>
            <w:r>
              <w:rPr/>
              <w:t>Exhibit K</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Promissory Note</w:t>
            </w:r>
          </w:p>
        </w:tc>
      </w:tr>
      <w:tr>
        <w:trPr/>
        <w:tc>
          <w:tcPr>
            <w:tcW w:w="1546" w:type="dxa"/>
            <w:tcBorders/>
          </w:tcPr>
          <w:p>
            <w:pPr>
              <w:pStyle w:val="TableContents"/>
              <w:bidi w:val="0"/>
              <w:spacing w:before="0" w:after="283"/>
              <w:jc w:val="left"/>
              <w:rPr/>
            </w:pPr>
            <w:r>
              <w:rPr/>
              <w:t>Exhibit L</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Pledge and Security Agreement</w:t>
            </w:r>
          </w:p>
        </w:tc>
      </w:tr>
      <w:tr>
        <w:trPr/>
        <w:tc>
          <w:tcPr>
            <w:tcW w:w="1546" w:type="dxa"/>
            <w:tcBorders/>
          </w:tcPr>
          <w:p>
            <w:pPr>
              <w:pStyle w:val="TableContents"/>
              <w:bidi w:val="0"/>
              <w:spacing w:before="0" w:after="283"/>
              <w:jc w:val="left"/>
              <w:rPr/>
            </w:pPr>
            <w:r>
              <w:rPr/>
              <w:t>Exhibit M</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Letter of Credit Request</w:t>
            </w:r>
          </w:p>
        </w:tc>
      </w:tr>
      <w:tr>
        <w:trPr/>
        <w:tc>
          <w:tcPr>
            <w:tcW w:w="1546" w:type="dxa"/>
            <w:tcBorders/>
          </w:tcPr>
          <w:p>
            <w:pPr>
              <w:pStyle w:val="TableContents"/>
              <w:bidi w:val="0"/>
              <w:spacing w:before="0" w:after="283"/>
              <w:jc w:val="left"/>
              <w:rPr/>
            </w:pPr>
            <w:r>
              <w:rPr/>
              <w:t>Exhibit N-1</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U.S. Tax Compliance Certificate (For Foreign Lenders That Are Not Partnerships For U.S. Federal Income Tax Purposes)</w:t>
            </w:r>
          </w:p>
        </w:tc>
      </w:tr>
      <w:tr>
        <w:trPr/>
        <w:tc>
          <w:tcPr>
            <w:tcW w:w="1546" w:type="dxa"/>
            <w:tcBorders/>
          </w:tcPr>
          <w:p>
            <w:pPr>
              <w:pStyle w:val="TableContents"/>
              <w:bidi w:val="0"/>
              <w:spacing w:before="0" w:after="283"/>
              <w:jc w:val="left"/>
              <w:rPr/>
            </w:pPr>
            <w:r>
              <w:rPr/>
              <w:t>Exhibit N-2</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U.S. Tax Compliance Certificate (For Foreign Participants That Are Not Partnerships For U.S. Federal Income Tax Purposes)</w:t>
            </w:r>
          </w:p>
        </w:tc>
      </w:tr>
      <w:tr>
        <w:trPr/>
        <w:tc>
          <w:tcPr>
            <w:tcW w:w="1546" w:type="dxa"/>
            <w:tcBorders/>
          </w:tcPr>
          <w:p>
            <w:pPr>
              <w:pStyle w:val="TableContents"/>
              <w:bidi w:val="0"/>
              <w:spacing w:before="0" w:after="283"/>
              <w:jc w:val="left"/>
              <w:rPr/>
            </w:pPr>
            <w:r>
              <w:rPr/>
              <w:t>Exhibit N-3</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U.S. Tax Compliance Certificate (For Foreign Lenders That Are Partnerships For U.S. Federal Income Tax Purposes)</w:t>
            </w:r>
          </w:p>
        </w:tc>
      </w:tr>
      <w:tr>
        <w:trPr/>
        <w:tc>
          <w:tcPr>
            <w:tcW w:w="1546" w:type="dxa"/>
            <w:tcBorders/>
          </w:tcPr>
          <w:p>
            <w:pPr>
              <w:pStyle w:val="TableContents"/>
              <w:bidi w:val="0"/>
              <w:spacing w:before="0" w:after="283"/>
              <w:jc w:val="left"/>
              <w:rPr/>
            </w:pPr>
            <w:r>
              <w:rPr/>
              <w:t>Exhibit N -4</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U.S. Tax Compliance Certificate (For Foreign Participants That Are Partnerships For U.S. Federal Income Tax Purposes)</w:t>
            </w:r>
          </w:p>
        </w:tc>
      </w:tr>
      <w:tr>
        <w:trPr/>
        <w:tc>
          <w:tcPr>
            <w:tcW w:w="1546" w:type="dxa"/>
            <w:tcBorders/>
          </w:tcPr>
          <w:p>
            <w:pPr>
              <w:pStyle w:val="TableContents"/>
              <w:bidi w:val="0"/>
              <w:spacing w:before="0" w:after="283"/>
              <w:jc w:val="left"/>
              <w:rPr/>
            </w:pPr>
            <w:r>
              <w:rPr/>
              <w:t>Exhibit O</w:t>
            </w:r>
          </w:p>
        </w:tc>
        <w:tc>
          <w:tcPr>
            <w:tcW w:w="120"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104" w:type="dxa"/>
            <w:tcBorders/>
          </w:tcPr>
          <w:p>
            <w:pPr>
              <w:pStyle w:val="TableContents"/>
              <w:bidi w:val="0"/>
              <w:spacing w:before="0" w:after="283"/>
              <w:jc w:val="left"/>
              <w:rPr/>
            </w:pPr>
            <w:r>
              <w:rPr/>
              <w:t>Form of Solvency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CREDIT AGREEMENT, dated as of February 12, 2026 (this “</w:t>
      </w:r>
      <w:r>
        <w:rPr>
          <w:rFonts w:ascii="Times New Roman" w:hAnsi="Times New Roman"/>
          <w:sz w:val="20"/>
          <w:u w:val="single"/>
        </w:rPr>
        <w:t>Agreement</w:t>
      </w:r>
      <w:r>
        <w:rPr>
          <w:rFonts w:ascii="Times New Roman" w:hAnsi="Times New Roman"/>
          <w:sz w:val="20"/>
        </w:rPr>
        <w:t>”), by and among SOLV Energy Intermediate Holdings LLC, a Delaware limited liability company (“</w:t>
      </w:r>
      <w:r>
        <w:rPr>
          <w:rFonts w:ascii="Times New Roman" w:hAnsi="Times New Roman"/>
          <w:sz w:val="20"/>
          <w:u w:val="single"/>
        </w:rPr>
        <w:t>Holdings</w:t>
      </w:r>
      <w:r>
        <w:rPr>
          <w:rFonts w:ascii="Times New Roman" w:hAnsi="Times New Roman"/>
          <w:sz w:val="20"/>
        </w:rPr>
        <w:t>”), SOLV Energy Acquisition LLC, a Delaware limited liability company (the “</w:t>
      </w:r>
      <w:r>
        <w:rPr>
          <w:rFonts w:ascii="Times New Roman" w:hAnsi="Times New Roman"/>
          <w:sz w:val="20"/>
          <w:u w:val="single"/>
        </w:rPr>
        <w:t>Borrower</w:t>
      </w:r>
      <w:r>
        <w:rPr>
          <w:rFonts w:ascii="Times New Roman" w:hAnsi="Times New Roman"/>
          <w:sz w:val="20"/>
        </w:rPr>
        <w:t>”), the Lenders from time to time party hereto, the Issuing Banks from time to time party hereto and KeyBank National Association (or any of its designated branch offices or Affiliates) (“</w:t>
      </w:r>
      <w:r>
        <w:rPr>
          <w:rFonts w:ascii="Times New Roman" w:hAnsi="Times New Roman"/>
          <w:sz w:val="20"/>
          <w:u w:val="single"/>
        </w:rPr>
        <w:t>KeyBank</w:t>
      </w:r>
      <w:r>
        <w:rPr>
          <w:rFonts w:ascii="Times New Roman" w:hAnsi="Times New Roman"/>
          <w:sz w:val="20"/>
        </w:rPr>
        <w:t>”), in its capacity as administrative agent for the Secured Parties (in such capacity and together with its successors and assigns, the “</w:t>
      </w:r>
      <w:r>
        <w:rPr>
          <w:rFonts w:ascii="Times New Roman" w:hAnsi="Times New Roman"/>
          <w:sz w:val="20"/>
          <w:u w:val="single"/>
        </w:rPr>
        <w:t>Administrative Agent</w:t>
      </w:r>
      <w:r>
        <w:rPr>
          <w:rFonts w:ascii="Times New Roman" w:hAnsi="Times New Roman"/>
          <w:sz w:val="20"/>
        </w:rPr>
        <w:t xml:space="preserve">”), and as and Issuing Bank and the Swingline Lender.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has requested, and the Lenders have agreed on the Closing Date to extend credit to the Borrower in the form of a revolving credit facility with commitments of $200,000,000,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premises and the mutual covenants hereinafter contained, the parties hereto hereby agree as follows: </w:t>
      </w:r>
    </w:p>
    <w:p>
      <w:pPr>
        <w:pStyle w:val="TextBody"/>
        <w:bidi w:val="0"/>
        <w:spacing w:before="480" w:after="0"/>
        <w:jc w:val="center"/>
        <w:rPr>
          <w:rFonts w:ascii="Times New Roman" w:hAnsi="Times New Roman"/>
          <w:sz w:val="21"/>
        </w:rPr>
      </w:pPr>
      <w:r>
        <w:rPr>
          <w:rFonts w:ascii="Times New Roman" w:hAnsi="Times New Roman"/>
          <w:sz w:val="21"/>
        </w:rPr>
        <w:t xml:space="preserve">ARTICLE 1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p>
    <w:p>
      <w:pPr>
        <w:pStyle w:val="TextBody"/>
        <w:bidi w:val="0"/>
        <w:spacing w:before="12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bear interest at a rate determined by reference to the Alternate Base Rate. </w:t>
      </w:r>
    </w:p>
    <w:p>
      <w:pPr>
        <w:pStyle w:val="TextBody"/>
        <w:bidi w:val="0"/>
        <w:spacing w:before="240" w:after="0"/>
        <w:jc w:val="left"/>
        <w:rPr/>
      </w:pPr>
      <w:r>
        <w:rPr/>
        <w:t>“</w:t>
      </w:r>
      <w:r>
        <w:rPr>
          <w:rFonts w:ascii="Times New Roman" w:hAnsi="Times New Roman"/>
          <w:sz w:val="20"/>
          <w:u w:val="single"/>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Acceptable Debtor-In-Possession Financing</w:t>
      </w:r>
      <w:r>
        <w:rPr>
          <w:rFonts w:ascii="Times New Roman" w:hAnsi="Times New Roman"/>
          <w:sz w:val="20"/>
        </w:rPr>
        <w:t xml:space="preserve">” means any debtor-in-possession or similar financing (a) incurred by the Borrower or any of its Subsidiaries following a voluntary petition by the Borrower or any of its Subsidiaries under or in connection with any Debtor Relief Law and (b) approved pursuant to an order of an applicable court under any Debtor Relief Law. </w:t>
      </w:r>
    </w:p>
    <w:p>
      <w:pPr>
        <w:pStyle w:val="TextBody"/>
        <w:bidi w:val="0"/>
        <w:spacing w:before="240" w:after="0"/>
        <w:jc w:val="left"/>
        <w:rPr/>
      </w:pPr>
      <w:r>
        <w:rPr/>
        <w:t>“</w:t>
      </w:r>
      <w:r>
        <w:rPr>
          <w:rFonts w:ascii="Times New Roman" w:hAnsi="Times New Roman"/>
          <w:sz w:val="20"/>
          <w:u w:val="single"/>
        </w:rPr>
        <w:t>Acceptable Intercreditor Agreement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First Lien Debt, a First Lien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Junior Lien Debt, a Junior Intercreditor Agreement; and/or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Junior Indebtedness, (i) a customary intercreditor agreement, the terms of which shall be determined by the Borrower and the Administrative Agent in good faith, governing arrangements for the subordination of claims and/or arrangements relating to the distribution of payments, as applicable, in light of the type of indebtedness subject thereto and/or (ii) any other intercreditor or subordination agreement or arrangement (which may take the form of a “waterfall” or similar provision), as applicable, the terms of which are reasonably acceptable to the Borrower and the Administrative Agent. </w:t>
      </w:r>
    </w:p>
    <w:p>
      <w:pPr>
        <w:pStyle w:val="TextBody"/>
        <w:bidi w:val="0"/>
        <w:spacing w:before="240" w:after="0"/>
        <w:jc w:val="left"/>
        <w:rPr/>
      </w:pPr>
      <w:r>
        <w:rPr/>
        <w:t>“</w:t>
      </w:r>
      <w:r>
        <w:rPr>
          <w:rFonts w:ascii="Times New Roman" w:hAnsi="Times New Roman"/>
          <w:sz w:val="20"/>
          <w:u w:val="single"/>
        </w:rPr>
        <w:t>ACH</w:t>
      </w:r>
      <w:r>
        <w:rPr>
          <w:rFonts w:ascii="Times New Roman" w:hAnsi="Times New Roman"/>
          <w:sz w:val="20"/>
        </w:rPr>
        <w:t xml:space="preserve">” means automated clearing house transfers. </w:t>
      </w:r>
    </w:p>
    <w:p>
      <w:pPr>
        <w:pStyle w:val="TextBody"/>
        <w:bidi w:val="0"/>
        <w:spacing w:before="240" w:after="0"/>
        <w:jc w:val="left"/>
        <w:rPr/>
      </w:pPr>
      <w:r>
        <w:rPr/>
        <w:t>“</w:t>
      </w:r>
      <w:r>
        <w:rPr>
          <w:rFonts w:ascii="Times New Roman" w:hAnsi="Times New Roman"/>
          <w:sz w:val="20"/>
          <w:u w:val="single"/>
        </w:rPr>
        <w:t>Additional Agreement</w:t>
      </w:r>
      <w:r>
        <w:rPr>
          <w:rFonts w:ascii="Times New Roman" w:hAnsi="Times New Roman"/>
          <w:sz w:val="20"/>
        </w:rPr>
        <w:t xml:space="preserve">” has the meaning assigned to such term in </w:t>
      </w:r>
      <w:r>
        <w:rPr>
          <w:rFonts w:ascii="Times New Roman" w:hAnsi="Times New Roman"/>
          <w:sz w:val="20"/>
          <w:u w:val="single"/>
        </w:rPr>
        <w:t>Section 8.10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Commitment</w:t>
      </w:r>
      <w:r>
        <w:rPr>
          <w:rFonts w:ascii="Times New Roman" w:hAnsi="Times New Roman"/>
          <w:sz w:val="20"/>
        </w:rPr>
        <w:t xml:space="preserve">” means any commitment added hereunder pursuant to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and/or </w:t>
      </w:r>
      <w:r>
        <w:rPr>
          <w:rFonts w:ascii="Times New Roman" w:hAnsi="Times New Roman"/>
          <w:sz w:val="20"/>
          <w:u w:val="single"/>
        </w:rPr>
        <w:t>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Lender</w:t>
      </w:r>
      <w:r>
        <w:rPr>
          <w:rFonts w:ascii="Times New Roman" w:hAnsi="Times New Roman"/>
          <w:sz w:val="20"/>
        </w:rPr>
        <w:t xml:space="preserve">” means any Lender with an Additional Commitment or an outstanding Additional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Additional Loans</w:t>
      </w:r>
      <w:r>
        <w:rPr>
          <w:rFonts w:ascii="Times New Roman" w:hAnsi="Times New Roman"/>
          <w:sz w:val="20"/>
        </w:rPr>
        <w:t xml:space="preserve">” means any applicable Loans added pursuant to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and/or </w:t>
      </w:r>
      <w:r>
        <w:rPr>
          <w:rFonts w:ascii="Times New Roman" w:hAnsi="Times New Roman"/>
          <w:sz w:val="20"/>
          <w:u w:val="single"/>
        </w:rPr>
        <w:t>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Revolving Credit Commitments</w:t>
      </w:r>
      <w:r>
        <w:rPr>
          <w:rFonts w:ascii="Times New Roman" w:hAnsi="Times New Roman"/>
          <w:sz w:val="20"/>
        </w:rPr>
        <w:t xml:space="preserve">” means any revolving credit commitments established pursuant to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and/or </w:t>
      </w:r>
      <w:r>
        <w:rPr>
          <w:rFonts w:ascii="Times New Roman" w:hAnsi="Times New Roman"/>
          <w:sz w:val="20"/>
          <w:u w:val="single"/>
        </w:rPr>
        <w:t>9.02(c)(ii)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Additional Revolving Credit Exposure</w:t>
      </w:r>
      <w:r>
        <w:rPr>
          <w:rFonts w:ascii="Times New Roman" w:hAnsi="Times New Roman"/>
          <w:sz w:val="20"/>
        </w:rPr>
        <w:t xml:space="preserve">” means, with respect to any Lender at any time, the aggregate Outstanding Amount at such time of all Additional Revolving Loans of such Lender, plus the aggregate outstanding amount at such time of such Lender’s LC Exposure and Swingline Exposure, in each case, attributable to its Additional Revolving Credit Commitments. </w:t>
      </w:r>
    </w:p>
    <w:p>
      <w:pPr>
        <w:pStyle w:val="TextBody"/>
        <w:bidi w:val="0"/>
        <w:spacing w:before="240" w:after="0"/>
        <w:jc w:val="left"/>
        <w:rPr/>
      </w:pPr>
      <w:r>
        <w:rPr/>
        <w:t>“</w:t>
      </w:r>
      <w:r>
        <w:rPr>
          <w:rFonts w:ascii="Times New Roman" w:hAnsi="Times New Roman"/>
          <w:sz w:val="20"/>
          <w:u w:val="single"/>
        </w:rPr>
        <w:t>Additional Revolving Lender</w:t>
      </w:r>
      <w:r>
        <w:rPr>
          <w:rFonts w:ascii="Times New Roman" w:hAnsi="Times New Roman"/>
          <w:sz w:val="20"/>
        </w:rPr>
        <w:t xml:space="preserve">” means any Lender with an Additional Revolving Credit Commitment or any Additional Revolving Credit Exposure. </w:t>
      </w:r>
    </w:p>
    <w:p>
      <w:pPr>
        <w:pStyle w:val="TextBody"/>
        <w:bidi w:val="0"/>
        <w:spacing w:before="240" w:after="0"/>
        <w:jc w:val="left"/>
        <w:rPr/>
      </w:pPr>
      <w:r>
        <w:rPr/>
        <w:t>“</w:t>
      </w:r>
      <w:r>
        <w:rPr>
          <w:rFonts w:ascii="Times New Roman" w:hAnsi="Times New Roman"/>
          <w:sz w:val="20"/>
          <w:u w:val="single"/>
        </w:rPr>
        <w:t>Additional Revolving Loans</w:t>
      </w:r>
      <w:r>
        <w:rPr>
          <w:rFonts w:ascii="Times New Roman" w:hAnsi="Times New Roman"/>
          <w:sz w:val="20"/>
        </w:rPr>
        <w:t xml:space="preserve">” means any revolving credit loans made pursuant to the Additional Revolving Credit Commitments or established as a separate Class of Revolving Loans pursuant to </w:t>
      </w:r>
      <w:r>
        <w:rPr>
          <w:rFonts w:ascii="Times New Roman" w:hAnsi="Times New Roman"/>
          <w:sz w:val="20"/>
          <w:u w:val="single"/>
        </w:rPr>
        <w:t>Sections 2.22</w:t>
      </w:r>
      <w:r>
        <w:rPr>
          <w:rFonts w:ascii="Times New Roman" w:hAnsi="Times New Roman"/>
          <w:sz w:val="20"/>
        </w:rPr>
        <w:t>,</w:t>
      </w:r>
      <w:r>
        <w:rPr>
          <w:rFonts w:ascii="Times New Roman" w:hAnsi="Times New Roman"/>
          <w:sz w:val="20"/>
          <w:u w:val="single"/>
        </w:rPr>
        <w:t xml:space="preserve"> 2.23</w:t>
      </w:r>
      <w:r>
        <w:rPr>
          <w:rFonts w:ascii="Times New Roman" w:hAnsi="Times New Roman"/>
          <w:sz w:val="20"/>
        </w:rPr>
        <w:t xml:space="preserve"> and/or </w:t>
      </w:r>
      <w:r>
        <w:rPr>
          <w:rFonts w:ascii="Times New Roman" w:hAnsi="Times New Roman"/>
          <w:sz w:val="20"/>
          <w:u w:val="single"/>
        </w:rPr>
        <w:t>9.02(c)(ii)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Adjusted Consolidated Net Income</w:t>
      </w:r>
      <w:r>
        <w:rPr>
          <w:rFonts w:ascii="Times New Roman" w:hAnsi="Times New Roman"/>
          <w:sz w:val="20"/>
        </w:rPr>
        <w:t xml:space="preserve">” means, in respect of any period, an amount determined for the Borrower and its Subsidiaries, on a consolidated basis, equal to (a) Consolidated Net Income for such period </w:t>
      </w:r>
      <w:r>
        <w:rPr>
          <w:rFonts w:ascii="Times New Roman" w:hAnsi="Times New Roman"/>
          <w:sz w:val="20"/>
          <w:u w:val="single"/>
        </w:rPr>
        <w:t>plus</w:t>
      </w:r>
      <w:r>
        <w:rPr>
          <w:rFonts w:ascii="Times New Roman" w:hAnsi="Times New Roman"/>
          <w:sz w:val="20"/>
        </w:rPr>
        <w:t xml:space="preserve"> (b) the sum, without duplication (and to the extent deducted and not added back in calculating Consolidated Net Income for such period), for such period of: </w:t>
      </w:r>
    </w:p>
    <w:p>
      <w:pPr>
        <w:pStyle w:val="TextBody"/>
        <w:bidi w:val="0"/>
        <w:spacing w:before="120" w:after="0"/>
        <w:jc w:val="left"/>
        <w:rPr>
          <w:rFonts w:ascii="Times New Roman" w:hAnsi="Times New Roman"/>
          <w:sz w:val="20"/>
        </w:rPr>
      </w:pPr>
      <w:r>
        <w:rPr>
          <w:rFonts w:ascii="Times New Roman" w:hAnsi="Times New Roman"/>
          <w:sz w:val="20"/>
        </w:rPr>
        <w:t xml:space="preserve">(i) (A) any depreciation and/or amortization (including, without limitation, amortization of goodwill, software and other intangible assets), (B) any impairment Charge, including any bad debt expense, and (C) any asset write-off and/or write-down;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amount that may be added back in the calculation of Consolidated Adjusted EBITDA for such period pursuant to </w:t>
      </w:r>
      <w:r>
        <w:rPr>
          <w:rFonts w:ascii="Times New Roman" w:hAnsi="Times New Roman"/>
          <w:sz w:val="20"/>
          <w:u w:val="single"/>
        </w:rPr>
        <w:t>clause (c)(vi)</w:t>
      </w:r>
      <w:r>
        <w:rPr>
          <w:rFonts w:ascii="Times New Roman" w:hAnsi="Times New Roman"/>
          <w:sz w:val="20"/>
        </w:rPr>
        <w:t xml:space="preserve">, </w:t>
      </w:r>
      <w:r>
        <w:rPr>
          <w:rFonts w:ascii="Times New Roman" w:hAnsi="Times New Roman"/>
          <w:sz w:val="20"/>
          <w:u w:val="single"/>
        </w:rPr>
        <w:t>clause (c)(vii)</w:t>
      </w:r>
      <w:r>
        <w:rPr>
          <w:rFonts w:ascii="Times New Roman" w:hAnsi="Times New Roman"/>
          <w:sz w:val="20"/>
        </w:rPr>
        <w:t xml:space="preserve"> and </w:t>
      </w:r>
      <w:r>
        <w:rPr>
          <w:rFonts w:ascii="Times New Roman" w:hAnsi="Times New Roman"/>
          <w:sz w:val="20"/>
          <w:u w:val="single"/>
        </w:rPr>
        <w:t>clause (c)(viii)(A)</w:t>
      </w:r>
      <w:r>
        <w:rPr>
          <w:rFonts w:ascii="Times New Roman" w:hAnsi="Times New Roman"/>
          <w:sz w:val="20"/>
        </w:rPr>
        <w:t xml:space="preserve"> of the definition thereof. </w:t>
      </w:r>
    </w:p>
    <w:p>
      <w:pPr>
        <w:pStyle w:val="TextBody"/>
        <w:bidi w:val="0"/>
        <w:spacing w:before="120" w:after="0"/>
        <w:jc w:val="left"/>
        <w:rPr/>
      </w:pPr>
      <w:r>
        <w:rPr/>
        <w:t>“</w:t>
      </w:r>
      <w:r>
        <w:rPr>
          <w:rFonts w:ascii="Times New Roman" w:hAnsi="Times New Roman"/>
          <w:sz w:val="20"/>
          <w:u w:val="single"/>
        </w:rPr>
        <w:t>Adjustment Date</w:t>
      </w:r>
      <w:r>
        <w:rPr>
          <w:rFonts w:ascii="Times New Roman" w:hAnsi="Times New Roman"/>
          <w:sz w:val="20"/>
        </w:rPr>
        <w:t xml:space="preserve">” means the date of delivery of financial statements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and the corresponding Compliance Certificate pursuant to </w:t>
      </w:r>
      <w:r>
        <w:rPr>
          <w:rFonts w:ascii="Times New Roman" w:hAnsi="Times New Roman"/>
          <w:sz w:val="20"/>
          <w:u w:val="single"/>
        </w:rPr>
        <w:t>Section 5.01(c)</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Administrative Agent</w:t>
      </w:r>
      <w:r>
        <w:rPr>
          <w:rFonts w:ascii="Times New Roman" w:hAnsi="Times New Roman"/>
          <w:sz w:val="20"/>
        </w:rPr>
        <w:t xml:space="preserve">” has the meaning assigned to such term in the preamble to this Agreement.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 customary administrative questionnaire in the form provided by the Administrative Agent. </w:t>
      </w:r>
    </w:p>
    <w:p>
      <w:pPr>
        <w:pStyle w:val="TextBody"/>
        <w:bidi w:val="0"/>
        <w:spacing w:before="240" w:after="0"/>
        <w:jc w:val="left"/>
        <w:rPr/>
      </w:pPr>
      <w:r>
        <w:rPr/>
        <w:t>“</w:t>
      </w:r>
      <w:r>
        <w:rPr>
          <w:rFonts w:ascii="Times New Roman" w:hAnsi="Times New Roman"/>
          <w:sz w:val="20"/>
          <w:u w:val="single"/>
        </w:rPr>
        <w:t>Adverse Proceeding</w:t>
      </w:r>
      <w:r>
        <w:rPr>
          <w:rFonts w:ascii="Times New Roman" w:hAnsi="Times New Roman"/>
          <w:sz w:val="20"/>
        </w:rPr>
        <w:t xml:space="preserve">” means any action, suit, proceeding (whether administrative, judicial or otherwise), governmental investigation or arbitration (whether or not purportedly on behalf of Holdings, the Borrower or any Subsidiary) at law or in equity, or before or by any Governmental Authority, domestic or foreign (including any Environmental Claim), whether pending or, to the knowledge of Holdings, the Borrower or any Subsidiary, threatened in writing, against or affecting Holdings, the Borrower or other Subsidiary or any property of Holdings, the Borrower or any Subsidiary.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means (a) any EEA Financial Institution or (b) any UK Financial Institution</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applied to any Person, any other Person directly or indirectly Controlling, Controlled by, or under common Control with, that Person. No Person shall be an “Affiliate” solely because it is an unrelated portfolio company of the Sponsor and none of the Administrative Agent, the Arrangers or any Lender or any of their respective Affiliates shall be considered an Affiliate of Holdings, the Borrower or any subsidiary thereof. For purposes of this Agreement and the other Loan Documents, Jefferies LLC and its Affiliates shall be deemed to be Affiliates of Jefferies Finance LLC and its Affiliates. </w:t>
      </w:r>
    </w:p>
    <w:p>
      <w:pPr>
        <w:pStyle w:val="TextBody"/>
        <w:bidi w:val="0"/>
        <w:spacing w:before="240" w:after="0"/>
        <w:jc w:val="left"/>
        <w:rPr/>
      </w:pPr>
      <w:r>
        <w:rPr/>
        <w:t>“</w:t>
      </w:r>
      <w:r>
        <w:rPr>
          <w:rFonts w:ascii="Times New Roman" w:hAnsi="Times New Roman"/>
          <w:sz w:val="20"/>
          <w:u w:val="single"/>
        </w:rPr>
        <w:t>Agent Fee Letter</w:t>
      </w:r>
      <w:r>
        <w:rPr>
          <w:rFonts w:ascii="Times New Roman" w:hAnsi="Times New Roman"/>
          <w:sz w:val="20"/>
        </w:rPr>
        <w:t xml:space="preserve">” means that certain Agency Fee Letter, dated as of the Closing Date, by and among the Borrower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has the meaning assigned to such term in the preamble to this Credit Agreement. </w:t>
      </w:r>
    </w:p>
    <w:p>
      <w:pPr>
        <w:pStyle w:val="TextBody"/>
        <w:bidi w:val="0"/>
        <w:spacing w:before="240" w:after="0"/>
        <w:jc w:val="left"/>
        <w:rPr/>
      </w:pPr>
      <w:r>
        <w:rPr/>
        <w:t>“</w:t>
      </w:r>
      <w:r>
        <w:rPr>
          <w:rFonts w:ascii="Times New Roman" w:hAnsi="Times New Roman"/>
          <w:sz w:val="20"/>
          <w:u w:val="single"/>
        </w:rPr>
        <w:t>Agreement Currency</w:t>
      </w:r>
      <w:r>
        <w:rPr>
          <w:rFonts w:ascii="Times New Roman" w:hAnsi="Times New Roman"/>
          <w:sz w:val="20"/>
        </w:rPr>
        <w:t xml:space="preserve">” has the meaning assigned to such term in </w:t>
      </w:r>
      <w:r>
        <w:rPr>
          <w:rFonts w:ascii="Times New Roman" w:hAnsi="Times New Roman"/>
          <w:sz w:val="20"/>
          <w:u w:val="single"/>
        </w:rPr>
        <w:t>Section 9.26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fluctuating rate per annum equal to the highest of (a) the Federal Funds Effective Rate in effect on such day </w:t>
      </w:r>
      <w:r>
        <w:rPr>
          <w:rFonts w:ascii="Times New Roman" w:hAnsi="Times New Roman"/>
          <w:sz w:val="20"/>
          <w:u w:val="single"/>
        </w:rPr>
        <w:t>plus</w:t>
      </w:r>
      <w:r>
        <w:rPr>
          <w:rFonts w:ascii="Times New Roman" w:hAnsi="Times New Roman"/>
          <w:sz w:val="20"/>
        </w:rPr>
        <w:t xml:space="preserve"> 0.50%, (b) the Prime Rate and (c) Term SOFR for a one-month tenor in effect on such day (but for the avoidance of doubt, not less than the Floor) </w:t>
      </w:r>
      <w:r>
        <w:rPr>
          <w:rFonts w:ascii="Times New Roman" w:hAnsi="Times New Roman"/>
          <w:sz w:val="20"/>
          <w:u w:val="single"/>
        </w:rPr>
        <w:t>plus</w:t>
      </w:r>
      <w:r>
        <w:rPr>
          <w:rFonts w:ascii="Times New Roman" w:hAnsi="Times New Roman"/>
          <w:sz w:val="20"/>
        </w:rPr>
        <w:t xml:space="preserve"> 1.00%. Any change in the Alternate Base Rate due to a change in the Prime Rate, the Federal Funds Effective Rate or Term SOFR, as the case may be, shall be effective from and including the effective date of such change in the Prime Rate, the Federal Funds Effective Rate or Term SOFR, as the case may be.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 with respect to any Lender holding Incremental Term Loans of any Class, a percentage (carried out to the ninth decimal place) equal to a fraction of the numerator of which is the aggregate outstanding principal amounts of the Incremental Term Loans and unused Incremental Term Loan commitments of such Lender under the applicable Class and the denominator of which is the aggregate outstanding principal amount of the Incremental Term Loans and unused Incremental Term Loan commitments of all Lenders under the applicable Class and (b) with respect to any Revolving Lender of any Class, the percentage (carried out to the ninth decimal place) of the aggregate amount of the Revolving Commitments of such Class represented by such Lender’s Revolving Commitment of such Class; </w:t>
      </w:r>
      <w:r>
        <w:rPr>
          <w:rFonts w:ascii="Times New Roman" w:hAnsi="Times New Roman"/>
          <w:sz w:val="20"/>
          <w:u w:val="single"/>
        </w:rPr>
        <w:t>provided</w:t>
      </w:r>
      <w:r>
        <w:rPr>
          <w:rFonts w:ascii="Times New Roman" w:hAnsi="Times New Roman"/>
          <w:sz w:val="20"/>
        </w:rPr>
        <w:t xml:space="preserve">, that for the purpose of </w:t>
      </w:r>
      <w:r>
        <w:rPr>
          <w:rFonts w:ascii="Times New Roman" w:hAnsi="Times New Roman"/>
          <w:sz w:val="20"/>
          <w:u w:val="single"/>
        </w:rPr>
        <w:t>Section 2.21</w:t>
      </w:r>
      <w:r>
        <w:rPr>
          <w:rFonts w:ascii="Times New Roman" w:hAnsi="Times New Roman"/>
          <w:sz w:val="20"/>
        </w:rPr>
        <w:t xml:space="preserve"> and otherwise herein, when there is a Defaulting Lender, such Defaulting Lender’s Revolving Commitment shall be disregarded for any relevant calculation. In the case of </w:t>
      </w:r>
      <w:r>
        <w:rPr>
          <w:rFonts w:ascii="Times New Roman" w:hAnsi="Times New Roman"/>
          <w:sz w:val="20"/>
          <w:u w:val="single"/>
        </w:rPr>
        <w:t>clause (b)</w:t>
      </w:r>
      <w:r>
        <w:rPr>
          <w:rFonts w:ascii="Times New Roman" w:hAnsi="Times New Roman"/>
          <w:sz w:val="20"/>
        </w:rPr>
        <w:t xml:space="preserve">, in the event that the Revolving Commitments of any Class have expired or been terminated, the Applicable Percentage of any Revolving Lender of such Class shall be determined on the basis of the Revolving Credit Exposure of such Revolving Lender as a percentage (carried out to the ninth decimal place) of the aggregate Revolving Credit Exposure of all Revolving Lenders of such Class, giving effect to any assignment thereof.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for any day, with respect to (i) any Initial Revolving Loan, the rate per annum applicable to the relevant Class of Loans set forth below under the caption “ABR Spread” or “SOFR Spread”, as the case may be, based upon the Total Net Leverage Ratio or (ii) any Swingline Loan, the rate per annum applicable to the relevant Class of Loans set forth below under the caption “ABR Spread”, as the case may be, based upon the Total Net Leverage Ratio; </w:t>
      </w:r>
      <w:r>
        <w:rPr>
          <w:rFonts w:ascii="Times New Roman" w:hAnsi="Times New Roman"/>
          <w:sz w:val="20"/>
          <w:u w:val="single"/>
        </w:rPr>
        <w:t>provided</w:t>
      </w:r>
      <w:r>
        <w:rPr>
          <w:rFonts w:ascii="Times New Roman" w:hAnsi="Times New Roman"/>
          <w:sz w:val="20"/>
        </w:rPr>
        <w:t xml:space="preserve"> that until the first Adjustment Date following the completion of at least one full Fiscal Quarter ended after the Closing Date, the “Applicable Rate” for any Initial Revolving Loan or Swingline Loan, as applicable, shall be the applicable rate per annum set forth below in </w:t>
      </w:r>
      <w:r>
        <w:rPr>
          <w:rFonts w:ascii="Times New Roman" w:hAnsi="Times New Roman"/>
          <w:sz w:val="20"/>
          <w:u w:val="single"/>
        </w:rPr>
        <w:t>Level 1</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114"/>
        <w:gridCol w:w="200"/>
        <w:gridCol w:w="283"/>
        <w:gridCol w:w="2078"/>
        <w:gridCol w:w="275"/>
        <w:gridCol w:w="136"/>
        <w:gridCol w:w="286"/>
        <w:gridCol w:w="2105"/>
        <w:gridCol w:w="278"/>
      </w:tblGrid>
      <w:tr>
        <w:trPr/>
        <w:tc>
          <w:tcPr>
            <w:tcW w:w="211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1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Total Net Leverage Ratio</w:t>
            </w:r>
          </w:p>
        </w:tc>
        <w:tc>
          <w:tcPr>
            <w:tcW w:w="200" w:type="dxa"/>
            <w:tcBorders/>
            <w:vAlign w:val="bottom"/>
          </w:tcPr>
          <w:p>
            <w:pPr>
              <w:pStyle w:val="TableContents"/>
              <w:bidi w:val="0"/>
              <w:spacing w:before="0" w:after="283"/>
              <w:jc w:val="left"/>
              <w:rPr/>
            </w:pPr>
            <w:r>
              <w:rPr/>
              <w:t>  </w:t>
            </w:r>
          </w:p>
        </w:tc>
        <w:tc>
          <w:tcPr>
            <w:tcW w:w="2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ABR Spread for Initial</w:t>
              <w:br/>
              <w:t>Revolving Loans</w:t>
              <w:br/>
              <w:t>(including Swingline</w:t>
              <w:br/>
              <w:t>Loans)</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SOFR Spread for</w:t>
              <w:br/>
              <w:t>Initial Revolving Loans</w:t>
            </w:r>
          </w:p>
        </w:tc>
        <w:tc>
          <w:tcPr>
            <w:tcW w:w="278"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Level 1</w:t>
            </w:r>
          </w:p>
        </w:tc>
        <w:tc>
          <w:tcPr>
            <w:tcW w:w="2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207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Less than 1.50 to 1.00</w:t>
            </w:r>
          </w:p>
        </w:tc>
        <w:tc>
          <w:tcPr>
            <w:tcW w:w="2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0.50</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1.50</w:t>
            </w:r>
          </w:p>
        </w:tc>
        <w:tc>
          <w:tcPr>
            <w:tcW w:w="278"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Level 2</w:t>
            </w:r>
          </w:p>
        </w:tc>
        <w:tc>
          <w:tcPr>
            <w:tcW w:w="2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207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Less than 2.00 to 1.00 and greater than or equal to 1.50 to 1.00</w:t>
            </w:r>
          </w:p>
        </w:tc>
        <w:tc>
          <w:tcPr>
            <w:tcW w:w="2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0.75</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1.75</w:t>
            </w:r>
          </w:p>
        </w:tc>
        <w:tc>
          <w:tcPr>
            <w:tcW w:w="278"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Level 3</w:t>
            </w:r>
          </w:p>
        </w:tc>
        <w:tc>
          <w:tcPr>
            <w:tcW w:w="2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207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Less than 2.50 to 1.00 and greater than or equal to 2.00 to 1.00</w:t>
            </w:r>
          </w:p>
        </w:tc>
        <w:tc>
          <w:tcPr>
            <w:tcW w:w="2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2.00</w:t>
            </w:r>
          </w:p>
        </w:tc>
        <w:tc>
          <w:tcPr>
            <w:tcW w:w="278" w:type="dxa"/>
            <w:tcBorders/>
            <w:vAlign w:val="bottom"/>
          </w:tcPr>
          <w:p>
            <w:pPr>
              <w:pStyle w:val="TableContents"/>
              <w:bidi w:val="0"/>
              <w:spacing w:before="0" w:after="283"/>
              <w:jc w:val="left"/>
              <w:rPr/>
            </w:pPr>
            <w:r>
              <w:rPr/>
              <w:t>% </w:t>
            </w:r>
          </w:p>
        </w:tc>
      </w:tr>
      <w:tr>
        <w:trPr/>
        <w:tc>
          <w:tcPr>
            <w:tcW w:w="211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Level 4</w:t>
            </w:r>
          </w:p>
        </w:tc>
        <w:tc>
          <w:tcPr>
            <w:tcW w:w="20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207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sz w:val="4"/>
                <w:szCs w:val="4"/>
              </w:rPr>
            </w:pPr>
            <w:r>
              <w:rPr>
                <w:sz w:val="4"/>
                <w:szCs w:val="4"/>
              </w:rPr>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114" w:type="dxa"/>
            <w:tcBorders/>
          </w:tcPr>
          <w:p>
            <w:pPr>
              <w:pStyle w:val="TableContents"/>
              <w:bidi w:val="0"/>
              <w:spacing w:before="0" w:after="0"/>
              <w:jc w:val="left"/>
              <w:rPr>
                <w:rFonts w:ascii="Times New Roman" w:hAnsi="Times New Roman"/>
                <w:sz w:val="20"/>
              </w:rPr>
            </w:pPr>
            <w:r>
              <w:rPr>
                <w:rFonts w:ascii="Times New Roman" w:hAnsi="Times New Roman"/>
                <w:sz w:val="20"/>
              </w:rPr>
              <w:t>Greater than or equal to 2.50 to 1.00</w:t>
            </w:r>
          </w:p>
        </w:tc>
        <w:tc>
          <w:tcPr>
            <w:tcW w:w="20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2.25</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Rate with respect to any Initial Revolving Loan or Swingline Loan, as applicable, shall be adjusted quarterly on a prospective basis on each Adjustment Date based upon the Total Net Leverage Ratio in accordance with the table above; </w:t>
      </w:r>
      <w:r>
        <w:rPr>
          <w:rFonts w:ascii="Times New Roman" w:hAnsi="Times New Roman"/>
          <w:sz w:val="20"/>
          <w:u w:val="single"/>
        </w:rPr>
        <w:t>provided</w:t>
      </w:r>
      <w:r>
        <w:rPr>
          <w:rFonts w:ascii="Times New Roman" w:hAnsi="Times New Roman"/>
          <w:sz w:val="20"/>
        </w:rPr>
        <w:t xml:space="preserve"> that (i) if financial statements and/or the corresponding Compliance Certificate are not delivered when required pursuant to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Section 5.01(b)</w:t>
      </w:r>
      <w:r>
        <w:rPr>
          <w:rFonts w:ascii="Times New Roman" w:hAnsi="Times New Roman"/>
          <w:sz w:val="20"/>
        </w:rPr>
        <w:t xml:space="preserve"> or </w:t>
      </w:r>
      <w:r>
        <w:rPr>
          <w:rFonts w:ascii="Times New Roman" w:hAnsi="Times New Roman"/>
          <w:sz w:val="20"/>
          <w:u w:val="single"/>
        </w:rPr>
        <w:t>Section 5.01(c),</w:t>
      </w:r>
      <w:r>
        <w:rPr>
          <w:rFonts w:ascii="Times New Roman" w:hAnsi="Times New Roman"/>
          <w:sz w:val="20"/>
        </w:rPr>
        <w:t xml:space="preserve"> as applicable, and/or (ii) at any time that an Event of Default pursuant to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Section 7.01(f)</w:t>
      </w:r>
      <w:r>
        <w:rPr>
          <w:rFonts w:ascii="Times New Roman" w:hAnsi="Times New Roman"/>
          <w:sz w:val="20"/>
        </w:rPr>
        <w:t xml:space="preserve"> or </w:t>
      </w:r>
      <w:r>
        <w:rPr>
          <w:rFonts w:ascii="Times New Roman" w:hAnsi="Times New Roman"/>
          <w:sz w:val="20"/>
          <w:u w:val="single"/>
        </w:rPr>
        <w:t>Section 7.01(g)</w:t>
      </w:r>
      <w:r>
        <w:rPr>
          <w:rFonts w:ascii="Times New Roman" w:hAnsi="Times New Roman"/>
          <w:sz w:val="20"/>
        </w:rPr>
        <w:t xml:space="preserve"> has occurred and is continuing, the “Applicable Rate” for any Initial Revolving Loan or Swingline Loan, as applicable, shall be the rate per annum set forth above in </w:t>
      </w:r>
      <w:r>
        <w:rPr>
          <w:rFonts w:ascii="Times New Roman" w:hAnsi="Times New Roman"/>
          <w:sz w:val="20"/>
          <w:u w:val="single"/>
        </w:rPr>
        <w:t>Level 4</w:t>
      </w:r>
      <w:r>
        <w:rPr>
          <w:rFonts w:ascii="Times New Roman" w:hAnsi="Times New Roman"/>
          <w:sz w:val="20"/>
        </w:rPr>
        <w:t xml:space="preserve"> until such financial statements and/or corresponding Compliance Certificate are delivered in compliance with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Section 5.01(b)</w:t>
      </w:r>
      <w:r>
        <w:rPr>
          <w:rFonts w:ascii="Times New Roman" w:hAnsi="Times New Roman"/>
          <w:sz w:val="20"/>
        </w:rPr>
        <w:t xml:space="preserve"> or </w:t>
      </w:r>
      <w:r>
        <w:rPr>
          <w:rFonts w:ascii="Times New Roman" w:hAnsi="Times New Roman"/>
          <w:sz w:val="20"/>
          <w:u w:val="single"/>
        </w:rPr>
        <w:t>Section 5.01(c)</w:t>
      </w:r>
      <w:r>
        <w:rPr>
          <w:rFonts w:ascii="Times New Roman" w:hAnsi="Times New Roman"/>
          <w:sz w:val="20"/>
        </w:rPr>
        <w:t xml:space="preserve">, as applicable and/or such Event of Default pursuant to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Section 7.01(f)</w:t>
      </w:r>
      <w:r>
        <w:rPr>
          <w:rFonts w:ascii="Times New Roman" w:hAnsi="Times New Roman"/>
          <w:sz w:val="20"/>
        </w:rPr>
        <w:t xml:space="preserve"> or </w:t>
      </w:r>
      <w:r>
        <w:rPr>
          <w:rFonts w:ascii="Times New Roman" w:hAnsi="Times New Roman"/>
          <w:sz w:val="20"/>
          <w:u w:val="single"/>
        </w:rPr>
        <w:t>Section 7.01(g</w:t>
      </w:r>
      <w:r>
        <w:rPr>
          <w:rFonts w:ascii="Times New Roman" w:hAnsi="Times New Roman"/>
          <w:sz w:val="20"/>
        </w:rPr>
        <w:t xml:space="preserve">) has been cured or waived,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Rate in respect of any Additional Loan established as a separate Class of Loans pursuant to </w:t>
      </w:r>
      <w:r>
        <w:rPr>
          <w:rFonts w:ascii="Times New Roman" w:hAnsi="Times New Roman"/>
          <w:sz w:val="20"/>
          <w:u w:val="single"/>
        </w:rPr>
        <w:t>Section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and/or </w:t>
      </w:r>
      <w:r>
        <w:rPr>
          <w:rFonts w:ascii="Times New Roman" w:hAnsi="Times New Roman"/>
          <w:sz w:val="20"/>
          <w:u w:val="single"/>
        </w:rPr>
        <w:t>9.02(c)</w:t>
      </w:r>
      <w:r>
        <w:rPr>
          <w:rFonts w:ascii="Times New Roman" w:hAnsi="Times New Roman"/>
          <w:sz w:val="20"/>
        </w:rPr>
        <w:t xml:space="preserve"> shall be the rate per annum specified in the Incremental Facility Amendment, Extension Amendment or Refinancing Amendment, as applicable, establishing such Class of Loans. </w:t>
      </w:r>
    </w:p>
    <w:p>
      <w:pPr>
        <w:pStyle w:val="TextBody"/>
        <w:bidi w:val="0"/>
        <w:spacing w:before="240" w:after="0"/>
        <w:jc w:val="left"/>
        <w:rPr/>
      </w:pPr>
      <w:r>
        <w:rPr/>
        <w:t>“</w:t>
      </w:r>
      <w:r>
        <w:rPr>
          <w:rFonts w:ascii="Times New Roman" w:hAnsi="Times New Roman"/>
          <w:sz w:val="20"/>
          <w:u w:val="single"/>
        </w:rPr>
        <w:t>Applicable Revolving Credit Percentage</w:t>
      </w:r>
      <w:r>
        <w:rPr>
          <w:rFonts w:ascii="Times New Roman" w:hAnsi="Times New Roman"/>
          <w:sz w:val="20"/>
        </w:rPr>
        <w:t xml:space="preserve">” means, with respect to any Revolving Lender at any time, the percentage of the Total Revolving Credit Commitment at such time represented by such Revolving Lender’s Revolving Commitments at such time; provided that for purposes of </w:t>
      </w:r>
      <w:r>
        <w:rPr>
          <w:rFonts w:ascii="Times New Roman" w:hAnsi="Times New Roman"/>
          <w:sz w:val="20"/>
          <w:u w:val="single"/>
        </w:rPr>
        <w:t>Section 2.21</w:t>
      </w:r>
      <w:r>
        <w:rPr>
          <w:rFonts w:ascii="Times New Roman" w:hAnsi="Times New Roman"/>
          <w:sz w:val="20"/>
        </w:rPr>
        <w:t xml:space="preserve">, when there is a Defaulting Lender, any such Defaulting Lender’s Revolving Commitment shall be disregarded in the relevant calculations. In the event that (a) the Revolving Commitments of any Class have expired or been terminated in accordance with the terms hereof (other than pursuant to Article 7), the Applicable Revolving Credit Percentage shall be recalculated without giving effect to the Revolving Commitments of such Class or (b) the Revolving Commitments of all Classes have terminated (or the Revolving Commitments of any Class have terminated pursuant to Article 7), the Applicable Revolving Credit Percentage shall be determined based upon the Revolving Commitments (or the Revolving Commitments of such Class) most recently in effect, giving effect to any assignments thereof.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has the meaning assigned to such term in </w:t>
      </w:r>
      <w:r>
        <w:rPr>
          <w:rFonts w:ascii="Times New Roman" w:hAnsi="Times New Roman"/>
          <w:sz w:val="20"/>
          <w:u w:val="single"/>
        </w:rPr>
        <w:t>Section 9.16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 </w:t>
      </w:r>
    </w:p>
    <w:p>
      <w:pPr>
        <w:pStyle w:val="TextBody"/>
        <w:bidi w:val="0"/>
        <w:spacing w:before="240" w:after="0"/>
        <w:jc w:val="left"/>
        <w:rPr/>
      </w:pPr>
      <w:r>
        <w:rPr/>
        <w:t>“</w:t>
      </w:r>
      <w:r>
        <w:rPr>
          <w:rFonts w:ascii="Times New Roman" w:hAnsi="Times New Roman"/>
          <w:sz w:val="20"/>
          <w:u w:val="single"/>
        </w:rPr>
        <w:t>Arrangers</w:t>
      </w:r>
      <w:r>
        <w:rPr>
          <w:rFonts w:ascii="Times New Roman" w:hAnsi="Times New Roman"/>
          <w:sz w:val="20"/>
        </w:rPr>
        <w:t xml:space="preserve">” means each of (i) KeyBanc Capital Markets Inc., JPM and City National Bank, each in its capacity as joint lead arranger, (ii) KeyBank Capital Markets Inc. and JPM, each in its capacity as joint bookrunner and (iii) Jefferies Finance LLC and The Toronto-Dominion Bank, each in its capacity as documentation agent. </w:t>
      </w:r>
    </w:p>
    <w:p>
      <w:pPr>
        <w:pStyle w:val="TextBody"/>
        <w:bidi w:val="0"/>
        <w:spacing w:before="240" w:after="0"/>
        <w:jc w:val="left"/>
        <w:rPr/>
      </w:pPr>
      <w:r>
        <w:rPr/>
        <w:t>“</w:t>
      </w:r>
      <w:r>
        <w:rPr>
          <w:rFonts w:ascii="Times New Roman" w:hAnsi="Times New Roman"/>
          <w:sz w:val="20"/>
          <w:u w:val="single"/>
        </w:rPr>
        <w:t>AS</w:t>
      </w:r>
      <w:r>
        <w:rPr>
          <w:rFonts w:ascii="Times New Roman" w:hAnsi="Times New Roman"/>
          <w:sz w:val="20"/>
        </w:rPr>
        <w:t xml:space="preserve">” means American Securities, LLC, a New York limited liability company. </w:t>
      </w:r>
    </w:p>
    <w:p>
      <w:pPr>
        <w:pStyle w:val="TextBody"/>
        <w:bidi w:val="0"/>
        <w:spacing w:before="240" w:after="0"/>
        <w:jc w:val="left"/>
        <w:rPr/>
      </w:pPr>
      <w:r>
        <w:rPr/>
        <w:t>“</w:t>
      </w:r>
      <w:r>
        <w:rPr>
          <w:rFonts w:ascii="Times New Roman" w:hAnsi="Times New Roman"/>
          <w:sz w:val="20"/>
          <w:u w:val="single"/>
        </w:rPr>
        <w:t>Assignment Agreement</w:t>
      </w:r>
      <w:r>
        <w:rPr>
          <w:rFonts w:ascii="Times New Roman" w:hAnsi="Times New Roman"/>
          <w:sz w:val="20"/>
        </w:rPr>
        <w:t xml:space="preserve">” means an assignment and assumption entered into by a Lender and an assignee (with the consent of any party whose consent is required by </w:t>
      </w:r>
      <w:r>
        <w:rPr>
          <w:rFonts w:ascii="Times New Roman" w:hAnsi="Times New Roman"/>
          <w:sz w:val="20"/>
          <w:u w:val="single"/>
        </w:rPr>
        <w:t>Section 9.05</w:t>
      </w:r>
      <w:r>
        <w:rPr>
          <w:rFonts w:ascii="Times New Roman" w:hAnsi="Times New Roman"/>
          <w:sz w:val="20"/>
        </w:rPr>
        <w:t xml:space="preserve">) and accepted by the Administrative Agent in the form of </w:t>
      </w:r>
      <w:r>
        <w:rPr>
          <w:rFonts w:ascii="Times New Roman" w:hAnsi="Times New Roman"/>
          <w:sz w:val="20"/>
          <w:u w:val="single"/>
        </w:rPr>
        <w:t>Exhibit A</w:t>
      </w:r>
      <w:r>
        <w:rPr>
          <w:rFonts w:ascii="Times New Roman" w:hAnsi="Times New Roman"/>
          <w:sz w:val="20"/>
        </w:rPr>
        <w:t xml:space="preserve"> or any other form approved by the Administrative Agent and the Borrower.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xml:space="preserve">” means, at any time, an amount equal to,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sum of: </w:t>
      </w:r>
    </w:p>
    <w:p>
      <w:pPr>
        <w:pStyle w:val="TextBody"/>
        <w:bidi w:val="0"/>
        <w:spacing w:before="120" w:after="0"/>
        <w:jc w:val="left"/>
        <w:rPr>
          <w:rFonts w:ascii="Times New Roman" w:hAnsi="Times New Roman"/>
          <w:sz w:val="20"/>
        </w:rPr>
      </w:pPr>
      <w:r>
        <w:rPr>
          <w:rFonts w:ascii="Times New Roman" w:hAnsi="Times New Roman"/>
          <w:sz w:val="20"/>
        </w:rPr>
        <w:t xml:space="preserve">(i) the greater of $140,000,000 and 40% of Consolidated Adjusted EBITDA as of the last day of the most recently ended Test Period;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 amount, not less than zero for any period, equal to the CNI Growth Amount;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amount of any capital contribution in respect of Qualified Capital Stock or the proceeds of any issuance of Qualified Capital Stock after the Closing Date (other than any amounts (x) constituting a Cure Amount or an Available Excluded Contribution Amount, (y) received (or deemed to be received) from the Borrower and/or any of its Subsidiaries or (z) consisting of the proceeds of any loan or advance made pursuant to </w:t>
      </w:r>
      <w:r>
        <w:rPr>
          <w:rFonts w:ascii="Times New Roman" w:hAnsi="Times New Roman"/>
          <w:sz w:val="20"/>
          <w:u w:val="single"/>
        </w:rPr>
        <w:t>Section 6.06(h)(ii)</w:t>
      </w:r>
      <w:r>
        <w:rPr>
          <w:rFonts w:ascii="Times New Roman" w:hAnsi="Times New Roman"/>
          <w:sz w:val="20"/>
        </w:rPr>
        <w:t xml:space="preserve">) received (or deemed to be received) as Cash equity by the Borrower and/or any of its Subsidiaries, </w:t>
      </w:r>
      <w:r>
        <w:rPr>
          <w:rFonts w:ascii="Times New Roman" w:hAnsi="Times New Roman"/>
          <w:sz w:val="20"/>
          <w:u w:val="single"/>
        </w:rPr>
        <w:t>plus</w:t>
      </w:r>
      <w:r>
        <w:rPr>
          <w:rFonts w:ascii="Times New Roman" w:hAnsi="Times New Roman"/>
          <w:sz w:val="20"/>
        </w:rPr>
        <w:t xml:space="preserve"> the fair market value, as reasonably determined by the Borrower, of Cash Equivalents, marketable securities or other property received by the Borrower and/or any of its Subsidiaries as a capital contribution in respect of Qualified Capital Stock or in return for any issuance of Qualified Capital Stock (other than any amounts (x) constituting a Cure Amount or an Available Excluded Contribution Amount or (y) received from the Borrower and/or any of its Subsidiaries), in each case, during the period from and including the day immediately following the Closing Date through and including such time;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aggregate principal amount of any Indebtedness (including any Disqualified Capital Stock) of the Borrower and/or any of its Subsidiaries issued after the Closing Date (other than Indebtedness or such Disqualified Capital Stock issued to the Borrower and/or any of its Subsidiaries), which has been converted into or exchanged for Capital Stock of the Borrower and/or any of its Subsidiaries or any Parent Company that does not constitute Disqualified Capital Stock, together with the fair market value of any Cash Equivalents and the fair market value (as reasonably determined by the Borrower) of any assets received by the Borrower and/or any of its Subsidiaries upon such exchange or conversion, in each case, during the period from and including the day immediately following the Closing Date through and including such time;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the net proceeds received by the Borrower and/or any of its Subsidiaries during the period from and including the day immediately following the Closing Date through and including such time in connection with the Disposition to any Person (other than the Borrower and/or any of its Subsidiaries) of any Investment made pursuant to </w:t>
      </w:r>
      <w:r>
        <w:rPr>
          <w:rFonts w:ascii="Times New Roman" w:hAnsi="Times New Roman"/>
          <w:sz w:val="20"/>
          <w:u w:val="single"/>
        </w:rPr>
        <w:t>Section 6.06(r)(i)</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to the extent not already reflected as a return of capital with respect to such Investment for purposes of determining the amount of such Investment (pursuant to the definition thereof), the proceeds received (or deemed to be received) by the Borrower and/or any of its Subsidiaries during the period from and including the day immediately following the Closing Date through and including such time in connection with cash returns, cash profits, cash distributions and similar cash amounts (excluding, for the avoidance of doubt, any return, profit, distribution or similar amount, in each case, attributable to tax distributions received by the Borrower or any of its Subsidiaries), including cash principal repayments and interest payments of loans, in each case, received in respect of any Investment made after the Closing Date pursuant to </w:t>
      </w:r>
      <w:r>
        <w:rPr>
          <w:rFonts w:ascii="Times New Roman" w:hAnsi="Times New Roman"/>
          <w:sz w:val="20"/>
          <w:u w:val="single"/>
        </w:rPr>
        <w:t>Section 6.06(r)(i)</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an amount equal to the sum of the amount of any Investments by the Borrower and/or any of its Subsidiaries pursuant to </w:t>
      </w:r>
      <w:r>
        <w:rPr>
          <w:rFonts w:ascii="Times New Roman" w:hAnsi="Times New Roman"/>
          <w:sz w:val="20"/>
          <w:u w:val="single"/>
        </w:rPr>
        <w:t>Section 6.06(r)(i)</w:t>
      </w:r>
      <w:r>
        <w:rPr>
          <w:rFonts w:ascii="Times New Roman" w:hAnsi="Times New Roman"/>
          <w:sz w:val="20"/>
        </w:rPr>
        <w:t xml:space="preserve"> in any third party or in any person (in an amount not to exceed the original amount of such Investment) that has been merged, consolidated or amalgamated with or into, or is liquidated, wound up or dissolved into the Borrower and/or any of its Subsidiaries; </w:t>
      </w:r>
      <w:r>
        <w:rPr>
          <w:rFonts w:ascii="Times New Roman" w:hAnsi="Times New Roman"/>
          <w:sz w:val="20"/>
          <w:u w:val="single"/>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an amount equal to the sum of (i) Restricted Payments made pursuant to </w:t>
      </w:r>
      <w:r>
        <w:rPr>
          <w:rFonts w:ascii="Times New Roman" w:hAnsi="Times New Roman"/>
          <w:sz w:val="20"/>
          <w:u w:val="single"/>
        </w:rPr>
        <w:t>Section 6.04(a)(iii)(A)</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(ii) Restricted Debt Payments made pursuant to </w:t>
      </w:r>
      <w:r>
        <w:rPr>
          <w:rFonts w:ascii="Times New Roman" w:hAnsi="Times New Roman"/>
          <w:sz w:val="20"/>
          <w:u w:val="single"/>
        </w:rPr>
        <w:t>Section 6.04(b)(vi)(A)</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(iii) Investments made pursuant to </w:t>
      </w:r>
      <w:r>
        <w:rPr>
          <w:rFonts w:ascii="Times New Roman" w:hAnsi="Times New Roman"/>
          <w:sz w:val="20"/>
          <w:u w:val="single"/>
        </w:rPr>
        <w:t>Section 6.06(r)(i)</w:t>
      </w:r>
      <w:r>
        <w:rPr>
          <w:rFonts w:ascii="Times New Roman" w:hAnsi="Times New Roman"/>
          <w:sz w:val="20"/>
        </w:rPr>
        <w:t xml:space="preserve">, in each case, after the Closing Date and prior to such time or contemporaneously therewith. </w:t>
      </w:r>
    </w:p>
    <w:p>
      <w:pPr>
        <w:pStyle w:val="TextBody"/>
        <w:bidi w:val="0"/>
        <w:spacing w:before="240" w:after="0"/>
        <w:jc w:val="left"/>
        <w:rPr/>
      </w:pPr>
      <w:r>
        <w:rPr/>
        <w:t>“</w:t>
      </w:r>
      <w:r>
        <w:rPr>
          <w:rFonts w:ascii="Times New Roman" w:hAnsi="Times New Roman"/>
          <w:sz w:val="20"/>
          <w:u w:val="single"/>
        </w:rPr>
        <w:t>Available Excluded Contribution Amount</w:t>
      </w:r>
      <w:r>
        <w:rPr>
          <w:rFonts w:ascii="Times New Roman" w:hAnsi="Times New Roman"/>
          <w:sz w:val="20"/>
        </w:rPr>
        <w:t xml:space="preserve">” means the aggregate amount of Cash or Cash Equivalents or the fair market value of other assets (as reasonably determined by the Borrower, but excluding any Cure Amount) received (or deemed to be received) by the Borrower and/or any of its Subsidiaries after the Closing Date from: </w:t>
      </w:r>
    </w:p>
    <w:p>
      <w:pPr>
        <w:pStyle w:val="TextBody"/>
        <w:bidi w:val="0"/>
        <w:spacing w:before="120" w:after="0"/>
        <w:jc w:val="left"/>
        <w:rPr>
          <w:rFonts w:ascii="Times New Roman" w:hAnsi="Times New Roman"/>
          <w:sz w:val="20"/>
        </w:rPr>
      </w:pPr>
      <w:r>
        <w:rPr>
          <w:rFonts w:ascii="Times New Roman" w:hAnsi="Times New Roman"/>
          <w:sz w:val="20"/>
        </w:rPr>
        <w:t xml:space="preserve">(a) contributions in respect of Qualified Capital Stock of the Borrower (other than any amounts (i) constituting a Cure Amount or (ii) received from any Subsidiary of the Borrower),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sale of Qualified Capital Stock of the Borrower (other than (i) to any Subsidiary of the Borrower, (ii) pursuant to any management equity plan or stock option plan or any other management or employee benefit plan or (iii) with the proceeds of any loan or advance made pursuant to </w:t>
      </w:r>
      <w:r>
        <w:rPr>
          <w:rFonts w:ascii="Times New Roman" w:hAnsi="Times New Roman"/>
          <w:sz w:val="20"/>
          <w:u w:val="single"/>
        </w:rPr>
        <w:t>Section 6.06(h)(ii)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designated by the Borrower as an Available Excluded Contribution Amount pursuant to a certificate of a Responsible Officer on or promptly after the date on which the relevant capital contribution is made or the relevant proceeds are received, as the case may be, and which are (x) excluded from the calculation of the Available Amount and (y) not utilized to incur Indebtedness pursuant to </w:t>
      </w:r>
      <w:r>
        <w:rPr>
          <w:rFonts w:ascii="Times New Roman" w:hAnsi="Times New Roman"/>
          <w:sz w:val="20"/>
          <w:u w:val="single"/>
        </w:rPr>
        <w:t>Section 6.01(r)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(a) if the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Banking Services</w:t>
      </w:r>
      <w:r>
        <w:rPr>
          <w:rFonts w:ascii="Times New Roman" w:hAnsi="Times New Roman"/>
          <w:sz w:val="20"/>
        </w:rPr>
        <w:t xml:space="preserve">” 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 </w:t>
      </w:r>
    </w:p>
    <w:p>
      <w:pPr>
        <w:pStyle w:val="TextBody"/>
        <w:bidi w:val="0"/>
        <w:spacing w:before="240" w:after="0"/>
        <w:jc w:val="left"/>
        <w:rPr/>
      </w:pPr>
      <w:r>
        <w:rPr/>
        <w:t>“</w:t>
      </w:r>
      <w:r>
        <w:rPr>
          <w:rFonts w:ascii="Times New Roman" w:hAnsi="Times New Roman"/>
          <w:sz w:val="20"/>
          <w:u w:val="single"/>
        </w:rPr>
        <w:t>Banking Services Obligations</w:t>
      </w:r>
      <w:r>
        <w:rPr>
          <w:rFonts w:ascii="Times New Roman" w:hAnsi="Times New Roman"/>
          <w:sz w:val="20"/>
        </w:rPr>
        <w:t xml:space="preserve">” means any and all obligations of any Loan Party or any Subsidiary of any Loan Party, whether absolute or contingent and however and whenever created, arising, evidenced or acquired (including all renewals, extensions and modifications thereof and substitutions therefor), under any arrangement in connection with Banking Services that is between any Loan Party or any Subsidiary of any Loan Party and a Cash Management Bank.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(11 U.S.C. § 101 </w:t>
      </w:r>
      <w:r>
        <w:rPr>
          <w:rFonts w:ascii="Times New Roman" w:hAnsi="Times New Roman"/>
          <w:i/>
          <w:sz w:val="20"/>
        </w:rPr>
        <w:t>et seq</w:t>
      </w:r>
      <w:r>
        <w:rPr>
          <w:rFonts w:ascii="Times New Roman" w:hAnsi="Times New Roman"/>
          <w:sz w:val="20"/>
        </w:rPr>
        <w:t xml:space="preserve">.), as it has been, or may be, amended, from time to time.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2.14(b)(iv)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alternative set forth in the order below that can be determined by the Administrative Agent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(a) Daily Simple SOFR;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(a) or (b)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a date and time determined by the Administrative Agent, which date shall be no later than the earlier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Section 2.14(b)(iv) ending at the time that a Benchmark Replacement has replaced the then-current Benchmark for all purposes hereunder and under any Loan Document in accordance with Section 2.14(b)(iv).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Bona Fide Debt Fund</w:t>
      </w:r>
      <w:r>
        <w:rPr>
          <w:rFonts w:ascii="Times New Roman" w:hAnsi="Times New Roman"/>
          <w:sz w:val="20"/>
        </w:rPr>
        <w:t xml:space="preserve">” means any debt fund, investment vehicle, regulated bank entity or unregulated lending entity that is (a) primarily engaged in making, purchasing, holding or otherwise investing in commercial loans and similar extensions of credit in the ordinary course of business for financial investment purposes (but not with a view towards owning the Borrower or issuer of any such loans or similar extensions of credit) and (b) managed, sponsored or advised by any Person controlling, controlled by or under common control with any Company Competitor or Affiliate thereof, but, in each case, only to the extent that no personnel involved with the investment in the relevant Company Competitor or its Affiliates, or the management, control, or operation thereof, (i) directly or indirectly makes (or has the right to make or participate with others in making) investment decisions on behalf of, or otherwise cause the direction of the investment policies of, such debt fund, investment vehicle, regulated bank entity or unregulated entity or (ii) has access to any information (other than information that is publicly available) relating to Holdings, the Borrower and/or any of its subsidiaries or any entity that forms a part of any of their respective businesses (including any of their respective subsidiaries); it being understood and agreed that the term “Bona Fide Debt Fund” shall not include any Person that is a Disqualified Institution pursuant to </w:t>
      </w:r>
      <w:r>
        <w:rPr>
          <w:rFonts w:ascii="Times New Roman" w:hAnsi="Times New Roman"/>
          <w:sz w:val="20"/>
          <w:u w:val="single"/>
        </w:rPr>
        <w:t>clause (a)</w:t>
      </w:r>
      <w:r>
        <w:rPr>
          <w:rFonts w:ascii="Times New Roman" w:hAnsi="Times New Roman"/>
          <w:sz w:val="20"/>
        </w:rPr>
        <w:t xml:space="preserve"> of the definition thereof.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has the meaning assigned to such term in the preamble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Borrower Materials</w:t>
      </w:r>
      <w:r>
        <w:rPr>
          <w:rFonts w:ascii="Times New Roman" w:hAnsi="Times New Roman"/>
          <w:sz w:val="20"/>
        </w:rPr>
        <w:t xml:space="preserve">” has the meaning assigned to such term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any Loans of the same Type and Class made, converted or continued on the same date and, in the case of SOFR Loans, as to which a single Interest Period is in effect.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the Borrower for a Borrowing in accordance with </w:t>
      </w:r>
      <w:r>
        <w:rPr>
          <w:rFonts w:ascii="Times New Roman" w:hAnsi="Times New Roman"/>
          <w:sz w:val="20"/>
          <w:u w:val="single"/>
        </w:rPr>
        <w:t>Section 2.03</w:t>
      </w:r>
      <w:r>
        <w:rPr>
          <w:rFonts w:ascii="Times New Roman" w:hAnsi="Times New Roman"/>
          <w:sz w:val="20"/>
        </w:rPr>
        <w:t xml:space="preserve"> and substantially in the form attached hereto as </w:t>
      </w:r>
      <w:r>
        <w:rPr>
          <w:rFonts w:ascii="Times New Roman" w:hAnsi="Times New Roman"/>
          <w:sz w:val="20"/>
          <w:u w:val="single"/>
        </w:rPr>
        <w:t>Exhibit B</w:t>
      </w:r>
      <w:r>
        <w:rPr>
          <w:rFonts w:ascii="Times New Roman" w:hAnsi="Times New Roman"/>
          <w:sz w:val="20"/>
        </w:rPr>
        <w:t xml:space="preserve"> or such other form that is reasonably acceptable to the Administrative Agent and the Borrower, appropriately completed and signed by a Responsible Officer of the Borrower. </w:t>
      </w:r>
    </w:p>
    <w:p>
      <w:pPr>
        <w:pStyle w:val="TextBody"/>
        <w:bidi w:val="0"/>
        <w:spacing w:before="240" w:after="0"/>
        <w:jc w:val="left"/>
        <w:rPr/>
      </w:pPr>
      <w:r>
        <w:rPr/>
        <w:t>“</w:t>
      </w:r>
      <w:r>
        <w:rPr>
          <w:rFonts w:ascii="Times New Roman" w:hAnsi="Times New Roman"/>
          <w:sz w:val="20"/>
          <w:u w:val="single"/>
        </w:rPr>
        <w:t>Burdensome Agreement</w:t>
      </w:r>
      <w:r>
        <w:rPr>
          <w:rFonts w:ascii="Times New Roman" w:hAnsi="Times New Roman"/>
          <w:sz w:val="20"/>
        </w:rPr>
        <w:t xml:space="preserve">” has the meaning assigned to such term in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any day that is not a Saturday, Sunday or other day that is a legal holiday under the laws of the State of New York or is a day on which banking institutions in such state are authorized or required by law to close and (b) if such day relates to any interest rate setting as to any SOFR Loan, any funding, disbursement, settlement and/or payments in respect of such SOFR Loan or any other dealing to be carried out pursuant to this Agreement in respect of any such SOFR Loan, any such day described in </w:t>
      </w:r>
      <w:r>
        <w:rPr>
          <w:rFonts w:ascii="Times New Roman" w:hAnsi="Times New Roman"/>
          <w:sz w:val="20"/>
          <w:u w:val="single"/>
        </w:rPr>
        <w:t>clause (a)</w:t>
      </w:r>
      <w:r>
        <w:rPr>
          <w:rFonts w:ascii="Times New Roman" w:hAnsi="Times New Roman"/>
          <w:sz w:val="20"/>
        </w:rPr>
        <w:t xml:space="preserve"> above that is also a U.S. Government Securities Business Day. </w:t>
      </w:r>
    </w:p>
    <w:p>
      <w:pPr>
        <w:pStyle w:val="TextBody"/>
        <w:bidi w:val="0"/>
        <w:spacing w:before="240" w:after="0"/>
        <w:jc w:val="left"/>
        <w:rPr/>
      </w:pPr>
      <w:r>
        <w:rPr/>
        <w:t>“</w:t>
      </w:r>
      <w:r>
        <w:rPr>
          <w:rFonts w:ascii="Times New Roman" w:hAnsi="Times New Roman"/>
          <w:sz w:val="20"/>
          <w:u w:val="single"/>
        </w:rPr>
        <w:t>Capital Lease</w:t>
      </w:r>
      <w:r>
        <w:rPr>
          <w:rFonts w:ascii="Times New Roman" w:hAnsi="Times New Roman"/>
          <w:sz w:val="20"/>
        </w:rPr>
        <w:t xml:space="preserve">” means, as applied to any Person, any lease of any property (whether real, personal or mixed) by that Person as lessee that, in conformity with GAAP, is or should be accounted for as a capital or finance lease on the balance sheet of that Person; </w:t>
      </w:r>
      <w:r>
        <w:rPr>
          <w:rFonts w:ascii="Times New Roman" w:hAnsi="Times New Roman"/>
          <w:sz w:val="20"/>
          <w:u w:val="single"/>
        </w:rPr>
        <w:t>provided</w:t>
      </w:r>
      <w:r>
        <w:rPr>
          <w:rFonts w:ascii="Times New Roman" w:hAnsi="Times New Roman"/>
          <w:sz w:val="20"/>
        </w:rPr>
        <w:t xml:space="preserve">, that for the avoidance of doubt, the amount of obligations attributable to any Capital Lease shall be the amount thereof accounted for as a liability in accordance with GAAP. </w:t>
      </w:r>
    </w:p>
    <w:p>
      <w:pPr>
        <w:pStyle w:val="TextBody"/>
        <w:bidi w:val="0"/>
        <w:spacing w:before="240" w:after="0"/>
        <w:jc w:val="left"/>
        <w:rPr/>
      </w:pPr>
      <w:r>
        <w:rPr/>
        <w:t>“</w:t>
      </w:r>
      <w:r>
        <w:rPr>
          <w:rFonts w:ascii="Times New Roman" w:hAnsi="Times New Roman"/>
          <w:sz w:val="20"/>
          <w:u w:val="single"/>
        </w:rPr>
        <w:t>Capital Stock</w:t>
      </w:r>
      <w:r>
        <w:rPr>
          <w:rFonts w:ascii="Times New Roman" w:hAnsi="Times New Roman"/>
          <w:sz w:val="20"/>
        </w:rPr>
        <w:t xml:space="preserve">” means any and all shares, interests, participations, preferred equity certificates, convertible preferred equity certificates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 </w:t>
      </w:r>
    </w:p>
    <w:p>
      <w:pPr>
        <w:pStyle w:val="TextBody"/>
        <w:bidi w:val="0"/>
        <w:spacing w:before="240" w:after="0"/>
        <w:jc w:val="left"/>
        <w:rPr/>
      </w:pPr>
      <w:r>
        <w:rPr/>
        <w:t>“</w:t>
      </w:r>
      <w:r>
        <w:rPr>
          <w:rFonts w:ascii="Times New Roman" w:hAnsi="Times New Roman"/>
          <w:sz w:val="20"/>
          <w:u w:val="single"/>
        </w:rPr>
        <w:t>Captive Insurance Subsidiary</w:t>
      </w:r>
      <w:r>
        <w:rPr>
          <w:rFonts w:ascii="Times New Roman" w:hAnsi="Times New Roman"/>
          <w:sz w:val="20"/>
        </w:rPr>
        <w:t xml:space="preserve">” means any Subsidiary of the Borrower that is subject to regulation as an insurance company (or any Subsidiary thereof). </w:t>
      </w:r>
    </w:p>
    <w:p>
      <w:pPr>
        <w:pStyle w:val="TextBody"/>
        <w:bidi w:val="0"/>
        <w:spacing w:before="240" w:after="0"/>
        <w:jc w:val="left"/>
        <w:rPr/>
      </w:pPr>
      <w:r>
        <w:rPr/>
        <w:t>“</w:t>
      </w:r>
      <w:r>
        <w:rPr>
          <w:rFonts w:ascii="Times New Roman" w:hAnsi="Times New Roman"/>
          <w:sz w:val="20"/>
          <w:u w:val="single"/>
        </w:rPr>
        <w:t>Cash</w:t>
      </w:r>
      <w:r>
        <w:rPr>
          <w:rFonts w:ascii="Times New Roman" w:hAnsi="Times New Roman"/>
          <w:sz w:val="20"/>
        </w:rPr>
        <w:t xml:space="preserve">” means money, currency or a credit balance in any Deposit Account, in each case, determined in accordance with GAAP.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branches or agencies and that has capital and surplus of not less than $100,000,000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$100,000,000; (f) shares of any money market mutual fund that has (i) substantially all of its assets invested in the types of investments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(ii) net assets of not less than $250,000,000 and (iii) a rating of at least A-2 from S&amp;P or at least P-2 from Moody’s; and (g) solely with respect to any Captive Insurance Subsidiary, any investment that such Captive Insurance Subsidiary is not prohibited to make in accordance with applicable Requirements of Law. Cash Equivalents shall also include (x) Investments of the type and maturity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of foreign obligors, which Investments or obligors (or the parent companies thereof) have the ratings described in such clauses or equivalent ratings from comparable foreign rating agencies and (y) other short-term Investments utilized by Non-U.S. Subsidiaries in accordance with normal investment practices for cash management in Investments that are analogous to the Investments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and in this paragraph. </w:t>
      </w:r>
    </w:p>
    <w:p>
      <w:pPr>
        <w:pStyle w:val="TextBody"/>
        <w:bidi w:val="0"/>
        <w:spacing w:before="240" w:after="0"/>
        <w:jc w:val="left"/>
        <w:rPr/>
      </w:pPr>
      <w:r>
        <w:rPr/>
        <w:t>“</w:t>
      </w:r>
      <w:r>
        <w:rPr>
          <w:rFonts w:ascii="Times New Roman" w:hAnsi="Times New Roman"/>
          <w:sz w:val="20"/>
          <w:u w:val="single"/>
        </w:rPr>
        <w:t>Cash Management Bank</w:t>
      </w:r>
      <w:r>
        <w:rPr>
          <w:rFonts w:ascii="Times New Roman" w:hAnsi="Times New Roman"/>
          <w:sz w:val="20"/>
        </w:rPr>
        <w:t xml:space="preserve">” means any Person that is the Administrative Agent, a Lender or an Affiliate of the Administrative Agent or Lender on the Closing Date or at the time it entered into a secured cash management agreement, whether or not such Person subsequently ceases to be the Administrative Agent, a Lender or an Affiliate of the Administrative Agent or Lender; it being understood that each Cash Management Bank shall be deemed (i) to appoint the Administrative Agent as its agent under the applicable Loan Documents and (ii) to agree to be bound by the provisions of </w:t>
      </w:r>
      <w:r>
        <w:rPr>
          <w:rFonts w:ascii="Times New Roman" w:hAnsi="Times New Roman"/>
          <w:sz w:val="20"/>
          <w:u w:val="single"/>
        </w:rPr>
        <w:t>Article 8</w:t>
      </w:r>
      <w:r>
        <w:rPr>
          <w:rFonts w:ascii="Times New Roman" w:hAnsi="Times New Roman"/>
          <w:sz w:val="20"/>
        </w:rPr>
        <w:t xml:space="preserve">, </w:t>
      </w:r>
      <w:r>
        <w:rPr>
          <w:rFonts w:ascii="Times New Roman" w:hAnsi="Times New Roman"/>
          <w:sz w:val="20"/>
          <w:u w:val="single"/>
        </w:rPr>
        <w:t>Section 9.03</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and each Intercreditor Agreement as if it were a Lender.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(a) the adoption of any law, treaty, rule or regulation after the Closing Date, (b) any change in any law, treaty, rule or regulation or in the interpretation or application thereof by any Governmental Authority after the Closing Date or (c) compliance by any Lender (or, for purposes of </w:t>
      </w:r>
      <w:r>
        <w:rPr>
          <w:rFonts w:ascii="Times New Roman" w:hAnsi="Times New Roman"/>
          <w:sz w:val="20"/>
          <w:u w:val="single"/>
        </w:rPr>
        <w:t>Section 2.15(b)</w:t>
      </w:r>
      <w:r>
        <w:rPr>
          <w:rFonts w:ascii="Times New Roman" w:hAnsi="Times New Roman"/>
          <w:sz w:val="20"/>
        </w:rPr>
        <w:t xml:space="preserve">, by any Lending Office of such Lender or by such Lender’s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Times New Roman" w:hAnsi="Times New Roman"/>
          <w:sz w:val="20"/>
          <w:u w:val="single"/>
        </w:rPr>
        <w:t>Section 2.15</w:t>
      </w:r>
      <w:r>
        <w:rPr>
          <w:rFonts w:ascii="Times New Roman" w:hAnsi="Times New Roman"/>
          <w:sz w:val="20"/>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regulatory authorities, in each case, pursuant to Basel III, shall, in each case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be deemed to be a Change in Law, regardless of the date enacted, adopted, issued or implemented.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(a) Holdings or the Borrower becoming aware of the direct or indirect acquisition by any Person or group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(ii) one or more Permitted Holders and (iii) any underwriter in connection with the IPO), of Capital Stock representing more than the greater of (A) 40% of the total voting power of all of the outstanding voting common stock of Holdings and (B) the percentage of the total voting power of all of the outstanding voting common stock of Holdings owned, directly or indirectly, beneficially by the Permitted Holders; </w:t>
      </w:r>
      <w:r>
        <w:rPr>
          <w:rFonts w:ascii="Times New Roman" w:hAnsi="Times New Roman"/>
          <w:sz w:val="20"/>
          <w:u w:val="single"/>
        </w:rPr>
        <w:t>provided</w:t>
      </w:r>
      <w:r>
        <w:rPr>
          <w:rFonts w:ascii="Times New Roman" w:hAnsi="Times New Roman"/>
          <w:sz w:val="20"/>
        </w:rPr>
        <w:t xml:space="preserve">, that notwithstanding the above, no “Change of Control” shall be deemed to have occurred if the Permitted Holders have the right, by voting power, contract or otherwise, to elect or designate for election at least a majority of the board of directors (or similar governing body) of Holdings; or (b) Holdings shall cease to, directly or indirectly, beneficially own 100% of the Capital Stock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(1) a Person or group shall not be deemed to beneficially own Capital Stock or voting power subject to a stock or asset purchase agreement, merger agreement or similar agreement (or voting or similar agreement related thereto) until the consummation of the acquisition of the Capital Stock or voting power pursuant to the transactions contemplated by such agreement and (2) it is understood and agreed that any transaction resulting in a Successor Borrower in accordance with the terms hereof shall not give rise to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transaction shall not be deemed to involve a Change of Control solely as a result of Holdings becoming a direct or indirect wholly owned subsidiary of a holding company if (a) the direct or indirect holders of the issued and outstanding Capital Stock having ordinary voting power of such holding company immediately following that transaction are substantially the same as the direct or indirect holders of the issued and outstanding Capital Stock having ordinary voting power of Holdings immediately prior to that transaction (and such direct or indirect holders of the issued and outstanding Capital Stock having ordinary voting power of Holdings immediately prior to such transaction would not have otherwise caused a Change of Control) and (b) immediately following that transaction no person (other than the Permitted Holders) is the beneficial owner, directly or indirectly of more than 50% of the issued and outstanding Capital Stock having ordinary voting power of such holding company. </w:t>
      </w:r>
    </w:p>
    <w:p>
      <w:pPr>
        <w:pStyle w:val="TextBody"/>
        <w:bidi w:val="0"/>
        <w:spacing w:before="240" w:after="0"/>
        <w:jc w:val="left"/>
        <w:rPr/>
      </w:pPr>
      <w:r>
        <w:rPr/>
        <w:t>“</w:t>
      </w:r>
      <w:r>
        <w:rPr>
          <w:rFonts w:ascii="Times New Roman" w:hAnsi="Times New Roman"/>
          <w:sz w:val="20"/>
          <w:u w:val="single"/>
        </w:rPr>
        <w:t>Charge</w:t>
      </w:r>
      <w:r>
        <w:rPr>
          <w:rFonts w:ascii="Times New Roman" w:hAnsi="Times New Roman"/>
          <w:sz w:val="20"/>
        </w:rPr>
        <w:t xml:space="preserve">” means any fee, loss, charge, expense, cost, accrual or reserve of any kind. </w:t>
      </w:r>
    </w:p>
    <w:p>
      <w:pPr>
        <w:pStyle w:val="TextBody"/>
        <w:bidi w:val="0"/>
        <w:spacing w:before="240" w:after="0"/>
        <w:jc w:val="left"/>
        <w:rPr/>
      </w:pPr>
      <w:r>
        <w:rPr/>
        <w:t>“</w:t>
      </w:r>
      <w:r>
        <w:rPr>
          <w:rFonts w:ascii="Times New Roman" w:hAnsi="Times New Roman"/>
          <w:sz w:val="20"/>
          <w:u w:val="single"/>
        </w:rPr>
        <w:t>Charged Amounts</w:t>
      </w:r>
      <w:r>
        <w:rPr>
          <w:rFonts w:ascii="Times New Roman" w:hAnsi="Times New Roman"/>
          <w:sz w:val="20"/>
        </w:rPr>
        <w:t xml:space="preserve">” has the meaning assigned to such term in </w:t>
      </w:r>
      <w:r>
        <w:rPr>
          <w:rFonts w:ascii="Times New Roman" w:hAnsi="Times New Roman"/>
          <w:sz w:val="20"/>
          <w:u w:val="single"/>
        </w:rPr>
        <w:t>Section 9.19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with respect to (a) any Loan or Borrowing, refers to whether such Loan, or the Loans comprising such Borrowing, are Initial Revolving Loans or Additional Loans of any series established as a separate “Class” pursuant to </w:t>
      </w:r>
      <w:r>
        <w:rPr>
          <w:rFonts w:ascii="Times New Roman" w:hAnsi="Times New Roman"/>
          <w:sz w:val="20"/>
          <w:u w:val="single"/>
        </w:rPr>
        <w:t>Section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or </w:t>
      </w:r>
      <w:r>
        <w:rPr>
          <w:rFonts w:ascii="Times New Roman" w:hAnsi="Times New Roman"/>
          <w:sz w:val="20"/>
          <w:u w:val="single"/>
        </w:rPr>
        <w:t>9.02(c)</w:t>
      </w:r>
      <w:r>
        <w:rPr>
          <w:rFonts w:ascii="Times New Roman" w:hAnsi="Times New Roman"/>
          <w:sz w:val="20"/>
        </w:rPr>
        <w:t xml:space="preserve"> (b) any Commitment, refers to whether such Commitment is an Initial Revolving Commitment or an Additional Commitment of any series established as a separate “Class” pursuant to </w:t>
      </w:r>
      <w:r>
        <w:rPr>
          <w:rFonts w:ascii="Times New Roman" w:hAnsi="Times New Roman"/>
          <w:sz w:val="20"/>
          <w:u w:val="single"/>
        </w:rPr>
        <w:t>Section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or </w:t>
      </w:r>
      <w:r>
        <w:rPr>
          <w:rFonts w:ascii="Times New Roman" w:hAnsi="Times New Roman"/>
          <w:sz w:val="20"/>
          <w:u w:val="single"/>
        </w:rPr>
        <w:t>9.02(c)</w:t>
      </w:r>
      <w:r>
        <w:rPr>
          <w:rFonts w:ascii="Times New Roman" w:hAnsi="Times New Roman"/>
          <w:sz w:val="20"/>
        </w:rPr>
        <w:t xml:space="preserve">, (c) any Lender, refers to whether such Lender has a Loan or Commitment of a particular Class and (d) any Revolving Credit Exposure refers to whether such Revolving Credit Exposure is attributable to a Revolving Commitment of a particular Class.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February 12, 2026. </w:t>
      </w:r>
    </w:p>
    <w:p>
      <w:pPr>
        <w:pStyle w:val="TextBody"/>
        <w:bidi w:val="0"/>
        <w:spacing w:before="240" w:after="0"/>
        <w:jc w:val="left"/>
        <w:rPr/>
      </w:pPr>
      <w:r>
        <w:rPr/>
        <w:t>“</w:t>
      </w:r>
      <w:r>
        <w:rPr>
          <w:rFonts w:ascii="Times New Roman" w:hAnsi="Times New Roman"/>
          <w:sz w:val="20"/>
          <w:u w:val="single"/>
        </w:rPr>
        <w:t>Closing Date Refinancing</w:t>
      </w:r>
      <w:r>
        <w:rPr>
          <w:rFonts w:ascii="Times New Roman" w:hAnsi="Times New Roman"/>
          <w:sz w:val="20"/>
        </w:rPr>
        <w:t xml:space="preserve">” means the repayment of the outstanding, principal, accrued and unpaid interest and fees and all other amounts (other than contingent obligations not then due and payable) under the Existing Credit Agreements, together with the termination of all commitments to lend thereunder and the termination and release of all security interests and guarantees in connection therewith. </w:t>
      </w:r>
    </w:p>
    <w:p>
      <w:pPr>
        <w:pStyle w:val="TextBody"/>
        <w:bidi w:val="0"/>
        <w:spacing w:before="240" w:after="0"/>
        <w:jc w:val="left"/>
        <w:rPr/>
      </w:pPr>
      <w:r>
        <w:rPr/>
        <w:t>“</w:t>
      </w:r>
      <w:r>
        <w:rPr>
          <w:rFonts w:ascii="Times New Roman" w:hAnsi="Times New Roman"/>
          <w:sz w:val="20"/>
          <w:u w:val="single"/>
        </w:rPr>
        <w:t>CNI Growth Amount</w:t>
      </w:r>
      <w:r>
        <w:rPr>
          <w:rFonts w:ascii="Times New Roman" w:hAnsi="Times New Roman"/>
          <w:sz w:val="20"/>
        </w:rPr>
        <w:t xml:space="preserve">” means, at any date of determination, for the period (treated as one accounting period) from the first day of the Fiscal Quarter of the Borrower during which the Closing Date occurs and ending with the last Fiscal Quarter of the Borrower included in the most recently ended Test Period, an amount (which amount shall not be less than zero for any Fiscal Quarter) determined on a cumulative basis equal to 50% of Adjusted Consolidated Net Income for each Fiscal Quarter included in such period (if Adjusted Consolidated Net Income for such Fiscal Quarter is positive).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 </w:t>
      </w:r>
    </w:p>
    <w:p>
      <w:pPr>
        <w:pStyle w:val="TextBody"/>
        <w:bidi w:val="0"/>
        <w:spacing w:before="240" w:after="0"/>
        <w:jc w:val="left"/>
        <w:rPr/>
      </w:pPr>
      <w:r>
        <w:rPr/>
        <w:t>“</w:t>
      </w:r>
      <w:r>
        <w:rPr>
          <w:rFonts w:ascii="Times New Roman" w:hAnsi="Times New Roman"/>
          <w:sz w:val="20"/>
          <w:u w:val="single"/>
        </w:rPr>
        <w:t>Collateral and Guarantee Requirement</w:t>
      </w:r>
      <w:r>
        <w:rPr>
          <w:rFonts w:ascii="Times New Roman" w:hAnsi="Times New Roman"/>
          <w:sz w:val="20"/>
        </w:rPr>
        <w:t xml:space="preserve">” means, at any time, subject to (x) the applicable limitations set forth in this Agreement and/or any other Loan Document and (y) the time periods (and extensions thereof) set forth in </w:t>
      </w:r>
      <w:r>
        <w:rPr>
          <w:rFonts w:ascii="Times New Roman" w:hAnsi="Times New Roman"/>
          <w:sz w:val="20"/>
          <w:u w:val="single"/>
        </w:rPr>
        <w:t>Section 5.12</w:t>
      </w:r>
      <w:r>
        <w:rPr>
          <w:rFonts w:ascii="Times New Roman" w:hAnsi="Times New Roman"/>
          <w:sz w:val="20"/>
        </w:rPr>
        <w:t xml:space="preserve">, the requirement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Administrative Agent shall have received in the case of any Subsidiary that is required to become a Loan Party after the Closing Date (including by ceasing to be an Excluded Subsidiary) or otherwise becomes a Loan Party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(A) a Joinder Agreement, (B) if the respective Subsidiary required to comply with the requirements set forth in this definition pursuant to </w:t>
      </w:r>
      <w:r>
        <w:rPr>
          <w:rFonts w:ascii="Times New Roman" w:hAnsi="Times New Roman"/>
          <w:sz w:val="20"/>
          <w:u w:val="single"/>
        </w:rPr>
        <w:t>Section 5.12</w:t>
      </w:r>
      <w:r>
        <w:rPr>
          <w:rFonts w:ascii="Times New Roman" w:hAnsi="Times New Roman"/>
          <w:sz w:val="20"/>
        </w:rPr>
        <w:t xml:space="preserve"> owns registrations of or applications for U.S. Patents, Trademarks and/or Copyrights that constitute Collateral, an Intellectual Property Security Agreement, (C) a completed Perfection Certificate, (D) Uniform Commercial Code financing statements (or the analogous applicable documents) in appropriate form for filing in such jurisdictions as the Administrative Agent may reasonably request, (E) an executed joinder to any applicable Intercreditor Agreement in substantially the form attached as an exhibit thereto and (F) a joinder to the Intercompany Note; </w:t>
      </w:r>
    </w:p>
    <w:p>
      <w:pPr>
        <w:pStyle w:val="TextBody"/>
        <w:bidi w:val="0"/>
        <w:spacing w:before="120" w:after="0"/>
        <w:jc w:val="left"/>
        <w:rPr>
          <w:rFonts w:ascii="Times New Roman" w:hAnsi="Times New Roman"/>
          <w:sz w:val="20"/>
        </w:rPr>
      </w:pPr>
      <w:r>
        <w:rPr>
          <w:rFonts w:ascii="Times New Roman" w:hAnsi="Times New Roman"/>
          <w:sz w:val="20"/>
        </w:rPr>
        <w:t xml:space="preserve">(ii) each item of Collateral that such Subsidiary is required to deliver under the Collateral Documents (which, for the avoidance of doubt, shall be delivered within the time periods set forth in </w:t>
      </w:r>
      <w:r>
        <w:rPr>
          <w:rFonts w:ascii="Times New Roman" w:hAnsi="Times New Roman"/>
          <w:sz w:val="20"/>
          <w:u w:val="single"/>
        </w:rPr>
        <w:t>Section 5.12(a)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 Subsidiary that has been designated as a Discretionary Guarantor, (A) in the case of any Subsidiary that is a U.S. Subsidiary, the documents described in </w:t>
      </w:r>
      <w:r>
        <w:rPr>
          <w:rFonts w:ascii="Times New Roman" w:hAnsi="Times New Roman"/>
          <w:sz w:val="20"/>
          <w:u w:val="single"/>
        </w:rPr>
        <w:t>clause (a)(i)</w:t>
      </w:r>
      <w:r>
        <w:rPr>
          <w:rFonts w:ascii="Times New Roman" w:hAnsi="Times New Roman"/>
          <w:sz w:val="20"/>
        </w:rPr>
        <w:t xml:space="preserve"> above and (B) in the case of any Subsidiary that is a Non-U.S. Subsidiary, (1) a Joinder Agreement and (2) such other contracts, agreements, instruments and documentation relating to such categories of assets (other than Excluded Assets) as the Borrower and Administrative Agent may reasonably agree; and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have received with respect to any Material Real Estate Assets acquired after the Closing Date (including, with respect to an entity that becomes a Loan Party if such entity owns any Material Real Estate Asset within the time periods contemplated by </w:t>
      </w:r>
      <w:r>
        <w:rPr>
          <w:rFonts w:ascii="Times New Roman" w:hAnsi="Times New Roman"/>
          <w:sz w:val="20"/>
          <w:u w:val="single"/>
        </w:rPr>
        <w:t>Section 5.12(b)</w:t>
      </w:r>
      <w:r>
        <w:rPr>
          <w:rFonts w:ascii="Times New Roman" w:hAnsi="Times New Roman"/>
          <w:sz w:val="20"/>
        </w:rPr>
        <w:t xml:space="preserve">), a Mortgage and any necessary UCC or equivalent fixture filing in respect thereof, in each case, together with, to the extent customary and appropriate (as reasonably determined by the Administrative Agent and the Borrower): </w:t>
      </w:r>
    </w:p>
    <w:p>
      <w:pPr>
        <w:pStyle w:val="TextBody"/>
        <w:bidi w:val="0"/>
        <w:spacing w:before="120" w:after="0"/>
        <w:jc w:val="left"/>
        <w:rPr>
          <w:rFonts w:ascii="Times New Roman" w:hAnsi="Times New Roman"/>
          <w:sz w:val="20"/>
        </w:rPr>
      </w:pPr>
      <w:r>
        <w:rPr>
          <w:rFonts w:ascii="Times New Roman" w:hAnsi="Times New Roman"/>
          <w:sz w:val="20"/>
        </w:rPr>
        <w:t xml:space="preserve">(i) evidence that (A) counterparts of such Mortgage have been duly executed, acknowledged and delivered and such Mortgage and any corresponding UCC or equivalent fixture filing are in form suitable for filing or recording in all filing or recording offices that the Administrative Agent may deem reasonably necessary in order to create a valid and subsisting Lien on such Material Real Estate Asset in favor of the Administrative Agent for the benefit of the Secured Parties, (B) such Mortgage and any corresponding UCC or equivalent fixture filings have been duly recorded or filed, as applicable, and (C) all filing and recording taxes and fees have been paid or otherwise provided for in a manner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customary legal opinions of local counsel for the Borrower in the jurisdiction in which such Material Real Estate Asset is located, and if applicable, in the jurisdiction of formation of the Borrower, in each case, as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any Material Real Estate Asset located in the U.S., a Flood Certificate; </w:t>
      </w:r>
    </w:p>
    <w:p>
      <w:pPr>
        <w:pStyle w:val="TextBody"/>
        <w:bidi w:val="0"/>
        <w:spacing w:before="120" w:after="0"/>
        <w:jc w:val="left"/>
        <w:rPr>
          <w:rFonts w:ascii="Times New Roman" w:hAnsi="Times New Roman"/>
          <w:sz w:val="20"/>
        </w:rPr>
      </w:pPr>
      <w:r>
        <w:rPr>
          <w:rFonts w:ascii="Times New Roman" w:hAnsi="Times New Roman"/>
          <w:sz w:val="20"/>
        </w:rPr>
        <w:t>(iv) (A) a policy or policies of title insurance (or unconditional commitment to issue such policy or policies) issued by a nationally recognized title insurance company insuring the Lien of each such Mortgage as a valid First Priority Lien on the Material Real Estate Asset described therein, free and clear of any other Liens, except for Permitted Liens, which policy or policies shall be in form and substance reasonably satisfactory to the Administrative Agent, together with such endorsements as the Administrative Agent may reasonably request to the extent available in the applicable jurisdiction at commercially reasonable rates, in amounts reasonably acceptable to the Administrative Agent (“</w:t>
      </w:r>
      <w:r>
        <w:rPr>
          <w:rFonts w:ascii="Times New Roman" w:hAnsi="Times New Roman"/>
          <w:sz w:val="20"/>
          <w:u w:val="single"/>
        </w:rPr>
        <w:t>Title Policies</w:t>
      </w:r>
      <w:r>
        <w:rPr>
          <w:rFonts w:ascii="Times New Roman" w:hAnsi="Times New Roman"/>
          <w:sz w:val="20"/>
        </w:rPr>
        <w:t xml:space="preserve">”), and (B) evidence reasonably satisfactory to the Administrative Agent that such Loan Party has paid to the title company or to the appropriate Governmental Authorities all expenses and premiums of the title company and all other sums required in connection with the issuance of each Title Policy and all recording and stamp taxes (including mortgage recording and intangible taxes) payable in connection with recording the Mortgages for each such Material Real Estate Asset in the appropriate real estate records;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 new survey in compliance with the 2021 Minimum Standard Detail Requirements for ALTA/NSPS Land Title Surveys or such other requirements as in effect at the time and otherwise reasonably satisfactory to the Administrative Agent and the title insurance company, or an existing survey together with a no change affidavit sufficient for the title insurance company to remove the standard survey exceptions from the Title Policies and issue the endorsements required in </w:t>
      </w:r>
      <w:r>
        <w:rPr>
          <w:rFonts w:ascii="Times New Roman" w:hAnsi="Times New Roman"/>
          <w:sz w:val="20"/>
          <w:u w:val="single"/>
        </w:rPr>
        <w:t>clause (iv)</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any Loan Document to the contrary, (a) if any mortgage tax or similar tax or charge is owed on the entire amount of the Obligations evidenced hereby, then, to the extent permitted by, and in accordance with, applicable Requirements of Law, the amount of such mortgage tax or similar tax or charge shall be calculated based on either (i) the lesser of (A) the amount of the Obligations allocated to the applicable Material Real Estate Assets and (B) the fair market value of the applicable Material Real Estate Assets at the time the Mortgage is entered into and determined in a manner reasonably acceptable to Administrative Agent and the Borrower or (ii) such other calculation or formula as is required to be used by applicable Requirement of Law, which in the case of </w:t>
      </w:r>
      <w:r>
        <w:rPr>
          <w:rFonts w:ascii="Times New Roman" w:hAnsi="Times New Roman"/>
          <w:sz w:val="20"/>
          <w:u w:val="single"/>
        </w:rPr>
        <w:t>clause (i)</w:t>
      </w:r>
      <w:r>
        <w:rPr>
          <w:rFonts w:ascii="Times New Roman" w:hAnsi="Times New Roman"/>
          <w:sz w:val="20"/>
        </w:rPr>
        <w:t xml:space="preserve"> will, and in the case of </w:t>
      </w:r>
      <w:r>
        <w:rPr>
          <w:rFonts w:ascii="Times New Roman" w:hAnsi="Times New Roman"/>
          <w:sz w:val="20"/>
          <w:u w:val="single"/>
        </w:rPr>
        <w:t>clause (ii)</w:t>
      </w:r>
      <w:r>
        <w:rPr>
          <w:rFonts w:ascii="Times New Roman" w:hAnsi="Times New Roman"/>
          <w:sz w:val="20"/>
        </w:rPr>
        <w:t xml:space="preserve"> may, result in a limitation of the Obligations secured by the Mortgage to such amount and (b) the Borrower will not be required to procure title insurance or any survey with respect to any Material Real Estate Asset.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collectively, (a) the Security Agreement, (b) each Mortgage, (c) each Intellectual Property Security Agreement, (d) any Perfection Certificate and (e) each of the other instruments and documents pursuant to which the Borrower grants (or purports to grant) a Lien on any Collateral as security for payment of the Secured Obligations. </w:t>
      </w:r>
    </w:p>
    <w:p>
      <w:pPr>
        <w:pStyle w:val="TextBody"/>
        <w:bidi w:val="0"/>
        <w:spacing w:before="240" w:after="0"/>
        <w:jc w:val="left"/>
        <w:rPr/>
      </w:pPr>
      <w:r>
        <w:rPr/>
        <w:t>“</w:t>
      </w:r>
      <w:r>
        <w:rPr>
          <w:rFonts w:ascii="Times New Roman" w:hAnsi="Times New Roman"/>
          <w:sz w:val="20"/>
          <w:u w:val="single"/>
        </w:rPr>
        <w:t>Commercial Tort Claim</w:t>
      </w:r>
      <w:r>
        <w:rPr>
          <w:rFonts w:ascii="Times New Roman" w:hAnsi="Times New Roman"/>
          <w:sz w:val="20"/>
        </w:rPr>
        <w:t xml:space="preserve">” has the meaning set forth in Article 9 of the UCC.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each Lender, such Lender’s Revolving Commitment and Additional Commitment, as applicable, in effect as of such time. </w:t>
      </w:r>
    </w:p>
    <w:p>
      <w:pPr>
        <w:pStyle w:val="TextBody"/>
        <w:bidi w:val="0"/>
        <w:spacing w:before="240" w:after="0"/>
        <w:jc w:val="left"/>
        <w:rPr/>
      </w:pPr>
      <w:r>
        <w:rPr/>
        <w:t>“</w:t>
      </w:r>
      <w:r>
        <w:rPr>
          <w:rFonts w:ascii="Times New Roman" w:hAnsi="Times New Roman"/>
          <w:sz w:val="20"/>
          <w:u w:val="single"/>
        </w:rPr>
        <w:t>Commitment Fee Rate</w:t>
      </w:r>
      <w:r>
        <w:rPr>
          <w:rFonts w:ascii="Times New Roman" w:hAnsi="Times New Roman"/>
          <w:sz w:val="20"/>
        </w:rPr>
        <w:t xml:space="preserve">” means, on any date (a) with respect to the Initial Revolving Credit Commitments, the applicable rate per annum set forth below based upon the Total Net Leverage Ratio; </w:t>
      </w:r>
      <w:r>
        <w:rPr>
          <w:rFonts w:ascii="Times New Roman" w:hAnsi="Times New Roman"/>
          <w:sz w:val="20"/>
          <w:u w:val="single"/>
        </w:rPr>
        <w:t>provided</w:t>
      </w:r>
      <w:r>
        <w:rPr>
          <w:rFonts w:ascii="Times New Roman" w:hAnsi="Times New Roman"/>
          <w:sz w:val="20"/>
        </w:rPr>
        <w:t xml:space="preserve"> that until the first Adjustment Date following the completion of at least one full Fiscal Quarter after the Closing Date, “Commitment Fee Rate” shall be the applicable rate per annum set forth below in </w:t>
      </w:r>
      <w:r>
        <w:rPr>
          <w:rFonts w:ascii="Times New Roman" w:hAnsi="Times New Roman"/>
          <w:sz w:val="20"/>
          <w:u w:val="single"/>
        </w:rPr>
        <w:t>Level 1</w:t>
      </w:r>
      <w:r>
        <w:rPr>
          <w:rFonts w:ascii="Times New Roman" w:hAnsi="Times New Roman"/>
          <w:sz w:val="20"/>
        </w:rPr>
        <w:t xml:space="preserve"> and (b) with respect to Additional Revolving Credit Commitments of any Class, the rate or rates per annum specified in the applicable Refinancing Amendment, Incremental Facility Amendment or Extension Amendment: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33"/>
        <w:gridCol w:w="609"/>
        <w:gridCol w:w="277"/>
        <w:gridCol w:w="2043"/>
        <w:gridCol w:w="277"/>
      </w:tblGrid>
      <w:tr>
        <w:trPr/>
        <w:tc>
          <w:tcPr>
            <w:tcW w:w="3733" w:type="dxa"/>
            <w:tcBorders/>
            <w:vAlign w:val="center"/>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7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Total Net Leverage Ratio</w:t>
            </w:r>
          </w:p>
        </w:tc>
        <w:tc>
          <w:tcPr>
            <w:tcW w:w="609" w:type="dxa"/>
            <w:tcBorders/>
            <w:vAlign w:val="bottom"/>
          </w:tcPr>
          <w:p>
            <w:pPr>
              <w:pStyle w:val="TableContents"/>
              <w:bidi w:val="0"/>
              <w:spacing w:before="0" w:after="283"/>
              <w:jc w:val="left"/>
              <w:rPr/>
            </w:pPr>
            <w:r>
              <w:rPr/>
              <w:t>  </w:t>
            </w:r>
          </w:p>
        </w:tc>
        <w:tc>
          <w:tcPr>
            <w:tcW w:w="2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 Fee Rate</w:t>
            </w:r>
          </w:p>
        </w:tc>
        <w:tc>
          <w:tcPr>
            <w:tcW w:w="277" w:type="dxa"/>
            <w:tcBorders/>
            <w:vAlign w:val="bottom"/>
          </w:tcPr>
          <w:p>
            <w:pPr>
              <w:pStyle w:val="TableContents"/>
              <w:bidi w:val="0"/>
              <w:spacing w:before="0" w:after="283"/>
              <w:jc w:val="left"/>
              <w:rPr/>
            </w:pPr>
            <w:r>
              <w:rPr/>
              <w:t> </w:t>
            </w:r>
          </w:p>
        </w:tc>
      </w:tr>
      <w:tr>
        <w:trPr/>
        <w:tc>
          <w:tcPr>
            <w:tcW w:w="3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u w:val="single"/>
              </w:rPr>
              <w:t>Level 1</w:t>
            </w:r>
            <w:r>
              <w:rPr>
                <w:rFonts w:ascii="Times New Roman" w:hAnsi="Times New Roman"/>
                <w:sz w:val="20"/>
              </w:rPr>
              <w:t xml:space="preserve"> </w:t>
              <w:br/>
              <w:t>Less than 1.50 to 1.00</w:t>
            </w:r>
          </w:p>
        </w:tc>
        <w:tc>
          <w:tcPr>
            <w:tcW w:w="60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right"/>
              <w:rPr/>
            </w:pPr>
            <w:r>
              <w:rPr/>
              <w:t>0.20</w:t>
            </w:r>
          </w:p>
        </w:tc>
        <w:tc>
          <w:tcPr>
            <w:tcW w:w="277" w:type="dxa"/>
            <w:tcBorders/>
            <w:shd w:fill="CCEEFF" w:val="clear"/>
            <w:vAlign w:val="bottom"/>
          </w:tcPr>
          <w:p>
            <w:pPr>
              <w:pStyle w:val="TableContents"/>
              <w:bidi w:val="0"/>
              <w:spacing w:before="0" w:after="283"/>
              <w:jc w:val="left"/>
              <w:rPr/>
            </w:pPr>
            <w:r>
              <w:rPr/>
              <w:t>% </w:t>
            </w:r>
          </w:p>
        </w:tc>
      </w:tr>
      <w:tr>
        <w:trPr/>
        <w:tc>
          <w:tcPr>
            <w:tcW w:w="3733"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Level 2</w:t>
            </w:r>
            <w:r>
              <w:rPr>
                <w:rFonts w:ascii="Times New Roman" w:hAnsi="Times New Roman"/>
                <w:sz w:val="20"/>
              </w:rPr>
              <w:t xml:space="preserve"> </w:t>
              <w:br/>
              <w:t>Less than 2.00 to 1.00 and greater than or equal to 1.50 to 1.00</w:t>
            </w:r>
          </w:p>
        </w:tc>
        <w:tc>
          <w:tcPr>
            <w:tcW w:w="60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right"/>
              <w:rPr/>
            </w:pPr>
            <w:r>
              <w:rPr/>
              <w:t>0.25</w:t>
            </w:r>
          </w:p>
        </w:tc>
        <w:tc>
          <w:tcPr>
            <w:tcW w:w="277" w:type="dxa"/>
            <w:tcBorders/>
            <w:vAlign w:val="bottom"/>
          </w:tcPr>
          <w:p>
            <w:pPr>
              <w:pStyle w:val="TableContents"/>
              <w:bidi w:val="0"/>
              <w:spacing w:before="0" w:after="283"/>
              <w:jc w:val="left"/>
              <w:rPr/>
            </w:pPr>
            <w:r>
              <w:rPr/>
              <w:t>% </w:t>
            </w:r>
          </w:p>
        </w:tc>
      </w:tr>
      <w:tr>
        <w:trPr/>
        <w:tc>
          <w:tcPr>
            <w:tcW w:w="3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u w:val="single"/>
              </w:rPr>
              <w:t>Level 3</w:t>
            </w:r>
            <w:r>
              <w:rPr>
                <w:rFonts w:ascii="Times New Roman" w:hAnsi="Times New Roman"/>
                <w:sz w:val="20"/>
              </w:rPr>
              <w:t xml:space="preserve"> </w:t>
              <w:br/>
              <w:t>Less than 2.50 to 1.00 and greater than or equal to 2.00 to 1.00</w:t>
            </w:r>
          </w:p>
        </w:tc>
        <w:tc>
          <w:tcPr>
            <w:tcW w:w="609"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right"/>
              <w:rPr/>
            </w:pPr>
            <w:r>
              <w:rPr/>
              <w:t>0.30</w:t>
            </w:r>
          </w:p>
        </w:tc>
        <w:tc>
          <w:tcPr>
            <w:tcW w:w="277" w:type="dxa"/>
            <w:tcBorders/>
            <w:shd w:fill="CCEEFF" w:val="clear"/>
            <w:vAlign w:val="bottom"/>
          </w:tcPr>
          <w:p>
            <w:pPr>
              <w:pStyle w:val="TableContents"/>
              <w:bidi w:val="0"/>
              <w:spacing w:before="0" w:after="283"/>
              <w:jc w:val="left"/>
              <w:rPr/>
            </w:pPr>
            <w:r>
              <w:rPr/>
              <w:t>% </w:t>
            </w:r>
          </w:p>
        </w:tc>
      </w:tr>
      <w:tr>
        <w:trPr/>
        <w:tc>
          <w:tcPr>
            <w:tcW w:w="3733"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Level 4</w:t>
            </w:r>
            <w:r>
              <w:rPr>
                <w:rFonts w:ascii="Times New Roman" w:hAnsi="Times New Roman"/>
                <w:sz w:val="20"/>
              </w:rPr>
              <w:t xml:space="preserve"> </w:t>
              <w:br/>
              <w:t>Greater than or equal to 2.50 to 1.00</w:t>
            </w:r>
          </w:p>
        </w:tc>
        <w:tc>
          <w:tcPr>
            <w:tcW w:w="609"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right"/>
              <w:rPr/>
            </w:pPr>
            <w:r>
              <w:rPr/>
              <w:t>0.35</w:t>
            </w:r>
          </w:p>
        </w:tc>
        <w:tc>
          <w:tcPr>
            <w:tcW w:w="27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Commitment Fee Rate with respect to the Initial Revolving Credit Commitment shall be adjusted quarterly on a prospective basis on each Adjustment Date based upon the Total Net Leverage Ratio in accordance with the table set forth above; </w:t>
      </w:r>
      <w:r>
        <w:rPr>
          <w:rFonts w:ascii="Times New Roman" w:hAnsi="Times New Roman"/>
          <w:sz w:val="20"/>
          <w:u w:val="single"/>
        </w:rPr>
        <w:t>provided</w:t>
      </w:r>
      <w:r>
        <w:rPr>
          <w:rFonts w:ascii="Times New Roman" w:hAnsi="Times New Roman"/>
          <w:sz w:val="20"/>
        </w:rPr>
        <w:t xml:space="preserve"> that (i) if financial statements and/or the corresponding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are not delivered when required pursuant to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Section 5.01(b)</w:t>
      </w:r>
      <w:r>
        <w:rPr>
          <w:rFonts w:ascii="Times New Roman" w:hAnsi="Times New Roman"/>
          <w:sz w:val="20"/>
        </w:rPr>
        <w:t xml:space="preserve"> or </w:t>
      </w:r>
      <w:r>
        <w:rPr>
          <w:rFonts w:ascii="Times New Roman" w:hAnsi="Times New Roman"/>
          <w:sz w:val="20"/>
          <w:u w:val="single"/>
        </w:rPr>
        <w:t>Section 5.01(c)</w:t>
      </w:r>
      <w:r>
        <w:rPr>
          <w:rFonts w:ascii="Times New Roman" w:hAnsi="Times New Roman"/>
          <w:sz w:val="20"/>
        </w:rPr>
        <w:t xml:space="preserve">, as applicable, and/or (ii) at any time that an Event of Default pursuant to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Section 7.01(f)</w:t>
      </w:r>
      <w:r>
        <w:rPr>
          <w:rFonts w:ascii="Times New Roman" w:hAnsi="Times New Roman"/>
          <w:sz w:val="20"/>
        </w:rPr>
        <w:t xml:space="preserve"> or </w:t>
      </w:r>
      <w:r>
        <w:rPr>
          <w:rFonts w:ascii="Times New Roman" w:hAnsi="Times New Roman"/>
          <w:sz w:val="20"/>
          <w:u w:val="single"/>
        </w:rPr>
        <w:t>Section 7.01(g)</w:t>
      </w:r>
      <w:r>
        <w:rPr>
          <w:rFonts w:ascii="Times New Roman" w:hAnsi="Times New Roman"/>
          <w:sz w:val="20"/>
        </w:rPr>
        <w:t xml:space="preserve"> has occurred and is continuing, the “Commitment Fee Rate” shall be the rate per annum set forth above in </w:t>
      </w:r>
      <w:r>
        <w:rPr>
          <w:rFonts w:ascii="Times New Roman" w:hAnsi="Times New Roman"/>
          <w:sz w:val="20"/>
          <w:u w:val="single"/>
        </w:rPr>
        <w:t>Level 4</w:t>
      </w:r>
      <w:r>
        <w:rPr>
          <w:rFonts w:ascii="Times New Roman" w:hAnsi="Times New Roman"/>
          <w:sz w:val="20"/>
        </w:rPr>
        <w:t xml:space="preserve"> until such financial statements and/or corresponding Compliance Certificate are delivered in compliance with </w:t>
      </w:r>
      <w:r>
        <w:rPr>
          <w:rFonts w:ascii="Times New Roman" w:hAnsi="Times New Roman"/>
          <w:sz w:val="20"/>
          <w:u w:val="single"/>
        </w:rPr>
        <w:t>Section 5.01(a)</w:t>
      </w:r>
      <w:r>
        <w:rPr>
          <w:rFonts w:ascii="Times New Roman" w:hAnsi="Times New Roman"/>
          <w:sz w:val="20"/>
        </w:rPr>
        <w:t xml:space="preserve">, </w:t>
      </w:r>
      <w:r>
        <w:rPr>
          <w:rFonts w:ascii="Times New Roman" w:hAnsi="Times New Roman"/>
          <w:sz w:val="20"/>
          <w:u w:val="single"/>
        </w:rPr>
        <w:t>Section 5.01(b)</w:t>
      </w:r>
      <w:r>
        <w:rPr>
          <w:rFonts w:ascii="Times New Roman" w:hAnsi="Times New Roman"/>
          <w:sz w:val="20"/>
        </w:rPr>
        <w:t xml:space="preserve"> or </w:t>
      </w:r>
      <w:r>
        <w:rPr>
          <w:rFonts w:ascii="Times New Roman" w:hAnsi="Times New Roman"/>
          <w:sz w:val="20"/>
          <w:u w:val="single"/>
        </w:rPr>
        <w:t>Section 5.01(c)</w:t>
      </w:r>
      <w:r>
        <w:rPr>
          <w:rFonts w:ascii="Times New Roman" w:hAnsi="Times New Roman"/>
          <w:sz w:val="20"/>
        </w:rPr>
        <w:t xml:space="preserve">, as applicable, and/or such Event of Default pursuant to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Section 7.01(f)</w:t>
      </w:r>
      <w:r>
        <w:rPr>
          <w:rFonts w:ascii="Times New Roman" w:hAnsi="Times New Roman"/>
          <w:sz w:val="20"/>
        </w:rPr>
        <w:t xml:space="preserve"> or </w:t>
      </w:r>
      <w:r>
        <w:rPr>
          <w:rFonts w:ascii="Times New Roman" w:hAnsi="Times New Roman"/>
          <w:sz w:val="20"/>
          <w:u w:val="single"/>
        </w:rPr>
        <w:t>Section 7.01(g</w:t>
      </w:r>
      <w:r>
        <w:rPr>
          <w:rFonts w:ascii="Times New Roman" w:hAnsi="Times New Roman"/>
          <w:sz w:val="20"/>
        </w:rPr>
        <w:t xml:space="preserve">) has been cured or waived, as the case may be. </w:t>
      </w:r>
    </w:p>
    <w:p>
      <w:pPr>
        <w:pStyle w:val="TextBody"/>
        <w:bidi w:val="0"/>
        <w:spacing w:before="240" w:after="0"/>
        <w:jc w:val="left"/>
        <w:rPr/>
      </w:pPr>
      <w:r>
        <w:rPr/>
        <w:t>“</w:t>
      </w:r>
      <w:r>
        <w:rPr>
          <w:rFonts w:ascii="Times New Roman" w:hAnsi="Times New Roman"/>
          <w:sz w:val="20"/>
          <w:u w:val="single"/>
        </w:rPr>
        <w:t>Commitment Schedule</w:t>
      </w:r>
      <w:r>
        <w:rPr>
          <w:rFonts w:ascii="Times New Roman" w:hAnsi="Times New Roman"/>
          <w:sz w:val="20"/>
        </w:rPr>
        <w:t xml:space="preserve">” means the Schedule attached hereto as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i/>
          <w:sz w:val="20"/>
        </w:rPr>
        <w:t>et seq</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Competitor</w:t>
      </w:r>
      <w:r>
        <w:rPr>
          <w:rFonts w:ascii="Times New Roman" w:hAnsi="Times New Roman"/>
          <w:sz w:val="20"/>
        </w:rPr>
        <w:t xml:space="preserve">” means any competitor of the Borrower and/or any of its Subsidiaries.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Compliance Certificate substantially in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Confidential Information</w:t>
      </w:r>
      <w:r>
        <w:rPr>
          <w:rFonts w:ascii="Times New Roman" w:hAnsi="Times New Roman"/>
          <w:sz w:val="20"/>
        </w:rPr>
        <w:t xml:space="preserve">” has the meaning assigned to such term in </w:t>
      </w:r>
      <w:r>
        <w:rPr>
          <w:rFonts w:ascii="Times New Roman" w:hAnsi="Times New Roman"/>
          <w:sz w:val="20"/>
          <w:u w:val="single"/>
        </w:rPr>
        <w:t>Section 9.13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Consolidated Adjusted EBITDA</w:t>
      </w:r>
      <w:r>
        <w:rPr>
          <w:rFonts w:ascii="Times New Roman" w:hAnsi="Times New Roman"/>
          <w:sz w:val="20"/>
        </w:rPr>
        <w:t xml:space="preserve">” means, with respect to any Person on a consolidated basis for any period, the sum of: </w:t>
      </w:r>
    </w:p>
    <w:p>
      <w:pPr>
        <w:pStyle w:val="TextBody"/>
        <w:bidi w:val="0"/>
        <w:spacing w:before="120" w:after="0"/>
        <w:jc w:val="left"/>
        <w:rPr>
          <w:rFonts w:ascii="Times New Roman" w:hAnsi="Times New Roman"/>
          <w:sz w:val="20"/>
        </w:rPr>
      </w:pPr>
      <w:r>
        <w:rPr>
          <w:rFonts w:ascii="Times New Roman" w:hAnsi="Times New Roman"/>
          <w:sz w:val="20"/>
        </w:rPr>
        <w:t xml:space="preserve">(a) Consolidated Net Income for such period; plus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otherwise included in the determination of Consolidated Net Income for such period, the amount of any proceeds of any business interruption insurance policy in an amount representing the earnings for the applicable period that such proceeds are intended to replace (whether or not then received so long as such Person in good faith expects to receive such proceeds within the next four Fiscal Quarters (it being understood that to the extent such proceeds are not actually received within such Fiscal Quarters, such proceeds shall be deducted in calculating Consolidated Adjusted EBITDA for the immediately succeeding four Fiscal Quarter period));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without duplication, those amounts which, in the determination of Consolidated Net Income for such period, have been deducted for: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(ii) Losses or discounts on sales or other payments of receivables and related assets in connection with any Permitted Receivables Facility or similar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Taxes and any provision for Taxes, including income, capital, federal, state, provincial, franchise, excise and similar Taxes, property Taxes,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 and (B) any payments described in </w:t>
      </w:r>
      <w:r>
        <w:rPr>
          <w:rFonts w:ascii="Times New Roman" w:hAnsi="Times New Roman"/>
          <w:sz w:val="20"/>
          <w:u w:val="single"/>
        </w:rPr>
        <w:t>Section 6.04(a)(xv)</w:t>
      </w:r>
      <w:r>
        <w:rPr>
          <w:rFonts w:ascii="Times New Roman" w:hAnsi="Times New Roman"/>
          <w:sz w:val="20"/>
        </w:rPr>
        <w:t xml:space="preserve"> paid or accrued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(iv) (A) all depreciation and amortization (including, without limitation, amortization of goodwill, software and other intangible assets), (B) all impairment Charges, and (C) all asset write-offs and/or write-downs; </w:t>
      </w:r>
    </w:p>
    <w:p>
      <w:pPr>
        <w:pStyle w:val="TextBody"/>
        <w:bidi w:val="0"/>
        <w:spacing w:before="120" w:after="0"/>
        <w:jc w:val="left"/>
        <w:rPr>
          <w:rFonts w:ascii="Times New Roman" w:hAnsi="Times New Roman"/>
          <w:sz w:val="20"/>
        </w:rPr>
      </w:pPr>
      <w:r>
        <w:rPr>
          <w:rFonts w:ascii="Times New Roman" w:hAnsi="Times New Roman"/>
          <w:sz w:val="20"/>
        </w:rPr>
        <w:t xml:space="preserve">(v) any earn-out and contingent consideration obligations (including to the extent accounted for as bonuses, compensation or otherwise) incurred in connection with, the Transactions, any acquisition and/or other Investment permitted under </w:t>
      </w:r>
      <w:r>
        <w:rPr>
          <w:rFonts w:ascii="Times New Roman" w:hAnsi="Times New Roman"/>
          <w:sz w:val="20"/>
          <w:u w:val="single"/>
        </w:rPr>
        <w:t>Section 6.06</w:t>
      </w:r>
      <w:r>
        <w:rPr>
          <w:rFonts w:ascii="Times New Roman" w:hAnsi="Times New Roman"/>
          <w:sz w:val="20"/>
        </w:rPr>
        <w:t xml:space="preserve"> which is paid or accrued during such period and in connection with any similar acquisition or other Investment completed prior to the Closing Date and, in each case, adjustments thereof; </w:t>
      </w:r>
    </w:p>
    <w:p>
      <w:pPr>
        <w:pStyle w:val="TextBody"/>
        <w:bidi w:val="0"/>
        <w:spacing w:before="120" w:after="0"/>
        <w:jc w:val="left"/>
        <w:rPr>
          <w:rFonts w:ascii="Times New Roman" w:hAnsi="Times New Roman"/>
          <w:sz w:val="20"/>
        </w:rPr>
      </w:pPr>
      <w:r>
        <w:rPr>
          <w:rFonts w:ascii="Times New Roman" w:hAnsi="Times New Roman"/>
          <w:sz w:val="20"/>
        </w:rPr>
        <w:t>(vi) any non-cash Charge (excluding the amortization of any prepaid cash items paid in a prior period), including (A) the excess of GAAP rent expense over actual cash rent paid during such period due to the use of straight line rent for GAAP purposes, (B) any write-offs and/or write-downs reducing Consolidated Net Income for such period, (C) losses on sales, disposals or abandonment of, or any impairment charges or asset write-offs and/or write-downs related to, intangible assets, long-lived assets, inventory and investments in debt and equity securities, (D) all losses from investments recorded using the equity method, (E) charges for facilities closed prior to the applicable lease expiration and (F) contingent consideration charges associated with acquisitions or similar investment after the initial 12-month period of purchase accounting (</w:t>
      </w:r>
      <w:r>
        <w:rPr>
          <w:rFonts w:ascii="Times New Roman" w:hAnsi="Times New Roman"/>
          <w:sz w:val="20"/>
          <w:u w:val="single"/>
        </w:rPr>
        <w:t>provided</w:t>
      </w:r>
      <w:r>
        <w:rPr>
          <w:rFonts w:ascii="Times New Roman" w:hAnsi="Times New Roman"/>
          <w:sz w:val="20"/>
        </w:rPr>
        <w:t xml:space="preserve">, that to the extent that any such non-cash Charge represents an accrual or reserve for any potential cash item in any future period, (I) such Person may elect not to add back such non-cash Charge in the current period and (II) to the extent such Person elects to add back such non-cash Charge, the cash payment in respect thereof in such future period shall be subtracted from Consolidated Adjusted EBITDA to such extent); </w:t>
      </w:r>
    </w:p>
    <w:p>
      <w:pPr>
        <w:pStyle w:val="TextBody"/>
        <w:bidi w:val="0"/>
        <w:spacing w:before="120" w:after="0"/>
        <w:jc w:val="left"/>
        <w:rPr>
          <w:rFonts w:ascii="Times New Roman" w:hAnsi="Times New Roman"/>
          <w:sz w:val="20"/>
        </w:rPr>
      </w:pPr>
      <w:r>
        <w:rPr>
          <w:rFonts w:ascii="Times New Roman" w:hAnsi="Times New Roman"/>
          <w:sz w:val="20"/>
        </w:rPr>
        <w:t xml:space="preserve">(vii) any non-cash compensation Charge and/or any other non-cash Charge arising from the granting of any stock option or similar arrangement (including any profits interest), the granting of any stock appreciation right and/or similar arrangement (including any repricing, amendment, modification, substitution or change of any such stock option, stock appreciation right, profits interest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(viii) (A) Transaction Costs, (B) Charges incurred in connection with any transaction (in each case, regardless of whether consummated, and whether or not permitted under this Agreement), including any incurrence or issuance of Indebtedness and/or any issuance and/or offering of Capital Stock (including, in each case, by any Parent Company), any Investment (including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(C) the amount of any Charge that is actually reimbursed or reimbursable by third parties pursuant to indemnification or reimbursement provisions or similar agreements or insurance; </w:t>
      </w:r>
      <w:r>
        <w:rPr>
          <w:rFonts w:ascii="Times New Roman" w:hAnsi="Times New Roman"/>
          <w:sz w:val="20"/>
          <w:u w:val="single"/>
        </w:rPr>
        <w:t>provided</w:t>
      </w:r>
      <w:r>
        <w:rPr>
          <w:rFonts w:ascii="Times New Roman" w:hAnsi="Times New Roman"/>
          <w:sz w:val="20"/>
        </w:rPr>
        <w:t xml:space="preserve">, that in respect of any Charge that is added back in reliance on </w:t>
      </w:r>
      <w:r>
        <w:rPr>
          <w:rFonts w:ascii="Times New Roman" w:hAnsi="Times New Roman"/>
          <w:sz w:val="20"/>
          <w:u w:val="single"/>
        </w:rPr>
        <w:t>clause (C)</w:t>
      </w:r>
      <w:r>
        <w:rPr>
          <w:rFonts w:ascii="Times New Roman" w:hAnsi="Times New Roman"/>
          <w:sz w:val="20"/>
        </w:rPr>
        <w:t xml:space="preserve"> above, the relevant Person in good faith expects to receive reimbursement for such fee, cost, expense or reserve within the next four Fiscal Quarters (it being understood that to the extent any reimbursement amount is not actually received within such Fiscal Quarters, such reimbursement amount shall be deducted in calculating Consolidated Adjusted EBITDA for the immediately succeeding four Fiscal Quarter period) and/or (D) Public Company Costs; </w:t>
      </w:r>
    </w:p>
    <w:p>
      <w:pPr>
        <w:pStyle w:val="TextBody"/>
        <w:bidi w:val="0"/>
        <w:spacing w:before="120" w:after="0"/>
        <w:jc w:val="left"/>
        <w:rPr>
          <w:rFonts w:ascii="Times New Roman" w:hAnsi="Times New Roman"/>
          <w:sz w:val="20"/>
        </w:rPr>
      </w:pPr>
      <w:r>
        <w:rPr>
          <w:rFonts w:ascii="Times New Roman" w:hAnsi="Times New Roman"/>
          <w:sz w:val="20"/>
        </w:rPr>
        <w:t xml:space="preserve">(ix) any Charge or deduction that is associated with the Borrower or any Subsidiary of the Borrower and attributable to any non-controlling interest and/or minority interest of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without duplication of any amount referred to in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(c)(viii)(C)</w:t>
      </w:r>
      <w:r>
        <w:rPr>
          <w:rFonts w:ascii="Times New Roman" w:hAnsi="Times New Roman"/>
          <w:sz w:val="20"/>
        </w:rPr>
        <w:t xml:space="preserve"> above, the amount of (A) any Charge to the extent that a corresponding amount is received in cash by such Person from a Person other than such Person or any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 a deduction in the immediately succeeding four Fiscal Quarter period for any amount so added back to the extent not so reimbursed within the next four Fiscal Quarters) or (ii) without duplication of amounts included in a prior period under </w:t>
      </w:r>
      <w:r>
        <w:rPr>
          <w:rFonts w:ascii="Times New Roman" w:hAnsi="Times New Roman"/>
          <w:sz w:val="20"/>
          <w:u w:val="single"/>
        </w:rPr>
        <w:t>clause (B)(i)</w:t>
      </w:r>
      <w:r>
        <w:rPr>
          <w:rFonts w:ascii="Times New Roman" w:hAnsi="Times New Roman"/>
          <w:sz w:val="20"/>
        </w:rPr>
        <w:t xml:space="preserve"> above, to the extent such Charge is covered by insurance proceeds received in cash during such period (it being understood that if the amount received in cash under any such agreement in such period exceeds the amount of such Charge paid during such period such excess amounts received may be carried forward and applied against any similar Charge in any future period); </w:t>
      </w:r>
    </w:p>
    <w:p>
      <w:pPr>
        <w:pStyle w:val="TextBody"/>
        <w:bidi w:val="0"/>
        <w:spacing w:before="120" w:after="0"/>
        <w:jc w:val="left"/>
        <w:rPr>
          <w:rFonts w:ascii="Times New Roman" w:hAnsi="Times New Roman"/>
          <w:sz w:val="20"/>
        </w:rPr>
      </w:pPr>
      <w:r>
        <w:rPr>
          <w:rFonts w:ascii="Times New Roman" w:hAnsi="Times New Roman"/>
          <w:sz w:val="20"/>
        </w:rPr>
        <w:t xml:space="preserve">(xi) the amount of management, monitoring, consulting, transaction and advisory fees and related indemnities and expenses (including reimbursements) pursuant to any sponsor management agreement and payments made to any Investor (and/or its Affiliates or management companies) for any financial advisory, financing, underwriting or placement services or in respect of other investment banking activities and payments to outside directors of a Parent Company, the Borrower and/or any Subsidiaries, actually paid by or on behalf of, or accrued by, such Person or any of its subsidiaries; </w:t>
      </w:r>
      <w:r>
        <w:rPr>
          <w:rFonts w:ascii="Times New Roman" w:hAnsi="Times New Roman"/>
          <w:sz w:val="20"/>
          <w:u w:val="single"/>
        </w:rPr>
        <w:t>provided</w:t>
      </w:r>
      <w:r>
        <w:rPr>
          <w:rFonts w:ascii="Times New Roman" w:hAnsi="Times New Roman"/>
          <w:sz w:val="20"/>
        </w:rPr>
        <w:t xml:space="preserve">, that such payment is permitted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(xii) any Charge attributable to the undertaking and/or implementation of new initiatives, business optimization activities, cost savings initiatives, cost rationalization programs, operating expense reductions and/or synergies and/or similar initiatives and/or programs (including in connection with any integration, restructuring or transition, any reconstruction, decommissioning, recommissioning or reconfiguration of fixed assets for alternative uses, any facility opening and/or pre-opening), any Charge related to the entry into, renegotiation of, or ramp up for performance of, any contract and/or other arrangement, any Charge attributable to any inventory optimization program and/or any curtailment, any business optimization Charge, any Charge relating to the destruction of equipment, any restructuring Charge (including any Charge relating to any tax restructuring), any Charge relating to the closure or consolidation of any facility (including, but not limited, to rent termination costs, moving costs and legal costs), any systems implementation Charge, any severance Charge, any Charge relating to entry into a new market, any Charge relating to any strategic initiative, any signing Charge, any retention or completion bonus, any expansion and/or relocation Charge, any Charge associated with any modification to any pension and post-retirement employee benefit plan, any software or intellectual property development Charge, any Charge associated with new systems design, any implementation Charge, any startup project Charge, any Charge in connection with new operations, any Charge in connection with unused warehouse space, any Charge relating to a new contract, any consulting Charge, any corporate development Charge and/or any Charge in connection with one-time rate changes, management transition costs and/or non-recurring advertising costs; </w:t>
      </w:r>
      <w:r>
        <w:rPr>
          <w:rFonts w:ascii="Times New Roman" w:hAnsi="Times New Roman"/>
          <w:sz w:val="20"/>
          <w:u w:val="single"/>
        </w:rPr>
        <w:t>provided</w:t>
      </w:r>
      <w:r>
        <w:rPr>
          <w:rFonts w:ascii="Times New Roman" w:hAnsi="Times New Roman"/>
          <w:sz w:val="20"/>
        </w:rPr>
        <w:t xml:space="preserve">, that the aggregate amount that may be added back to Consolidated Adjusted EBITDA pursuant to this </w:t>
      </w:r>
      <w:r>
        <w:rPr>
          <w:rFonts w:ascii="Times New Roman" w:hAnsi="Times New Roman"/>
          <w:sz w:val="20"/>
          <w:u w:val="single"/>
        </w:rPr>
        <w:t>clause (c)(xii)</w:t>
      </w:r>
      <w:r>
        <w:rPr>
          <w:rFonts w:ascii="Times New Roman" w:hAnsi="Times New Roman"/>
          <w:sz w:val="20"/>
        </w:rPr>
        <w:t xml:space="preserve"> shall not exceed, when combined with the aggregate amount that may be added back to Consolidated Adjusted EBITDA pursuant to </w:t>
      </w:r>
      <w:r>
        <w:rPr>
          <w:rFonts w:ascii="Times New Roman" w:hAnsi="Times New Roman"/>
          <w:sz w:val="20"/>
          <w:u w:val="single"/>
        </w:rPr>
        <w:t>clause (e)</w:t>
      </w:r>
      <w:r>
        <w:rPr>
          <w:rFonts w:ascii="Times New Roman" w:hAnsi="Times New Roman"/>
          <w:sz w:val="20"/>
        </w:rPr>
        <w:t xml:space="preserve"> below, 25% of Consolidated Adjusted EBITDA in any four consecutive fiscal quarter period (calculated after giving effect to amounts added back pursuant to this </w:t>
      </w:r>
      <w:r>
        <w:rPr>
          <w:rFonts w:ascii="Times New Roman" w:hAnsi="Times New Roman"/>
          <w:sz w:val="20"/>
          <w:u w:val="single"/>
        </w:rPr>
        <w:t>clause (c)(xii)</w:t>
      </w:r>
      <w:r>
        <w:rPr>
          <w:rFonts w:ascii="Times New Roman" w:hAnsi="Times New Roman"/>
          <w:sz w:val="20"/>
        </w:rPr>
        <w:t xml:space="preserve"> and </w:t>
      </w:r>
      <w:r>
        <w:rPr>
          <w:rFonts w:ascii="Times New Roman" w:hAnsi="Times New Roman"/>
          <w:sz w:val="20"/>
          <w:u w:val="single"/>
        </w:rPr>
        <w:t>clause (e)</w:t>
      </w:r>
      <w:r>
        <w:rPr>
          <w:rFonts w:ascii="Times New Roman" w:hAnsi="Times New Roman"/>
          <w:sz w:val="20"/>
        </w:rPr>
        <w:t xml:space="preserve"> below and all other addbacks);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any Charge incurred or accrued in connection with any single or one-time event, including the following Charges (except to the extent such Charges are expressly referenced in </w:t>
      </w:r>
      <w:r>
        <w:rPr>
          <w:rFonts w:ascii="Times New Roman" w:hAnsi="Times New Roman"/>
          <w:sz w:val="20"/>
          <w:u w:val="single"/>
        </w:rPr>
        <w:t>clause (c)(xii)</w:t>
      </w:r>
      <w:r>
        <w:rPr>
          <w:rFonts w:ascii="Times New Roman" w:hAnsi="Times New Roman"/>
          <w:sz w:val="20"/>
        </w:rPr>
        <w:t xml:space="preserve"> above) in connection with (A) the Transactions, (B) any acquisition or similar Investment consummated after the Closing Date, (C) the closing, consolidation or reconfiguration of any facility, (D) any one-time consulting cost and (E) restructuring charges (but excluding, in each case, any costs related to risks associated with the operation of the Borrower and its Subsidiaries’ business in the ordinary course); </w:t>
      </w:r>
      <w:r>
        <w:rPr>
          <w:rFonts w:ascii="Times New Roman" w:hAnsi="Times New Roman"/>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other add-backs and adjustments reflected in (A) the Sponsor Model and/or (B) any other quality of earnings report prepared by independent registered public accountants of recognized national standing or any other accounting firm reasonably acceptable to the Administrative Agent and delivered to the Administrative Agent in connection with any acquisition or similar Investment (for distribution to the Lenders);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not included in Consolidated Net Income for such period, cash actually received (or any netting arrangement resulting in reduced cash expenditures) during such period so long as the non-cash income or gain was deducted in the calculation of Consolidated Adjusted EBITDA (including any component definition) pursuant to </w:t>
      </w:r>
      <w:r>
        <w:rPr>
          <w:rFonts w:ascii="Times New Roman" w:hAnsi="Times New Roman"/>
          <w:sz w:val="20"/>
          <w:u w:val="single"/>
        </w:rPr>
        <w:t>clause (h)</w:t>
      </w:r>
      <w:r>
        <w:rPr>
          <w:rFonts w:ascii="Times New Roman" w:hAnsi="Times New Roman"/>
          <w:sz w:val="20"/>
        </w:rPr>
        <w:t xml:space="preserve"> for such period or any previous period and not added back;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the pro forma “run rate” expected cost savings, operating expense reductions, operational improvements and cost synergies (collectively, “</w:t>
      </w:r>
      <w:r>
        <w:rPr>
          <w:rFonts w:ascii="Times New Roman" w:hAnsi="Times New Roman"/>
          <w:sz w:val="20"/>
          <w:u w:val="single"/>
        </w:rPr>
        <w:t>Expected Cost Savings</w:t>
      </w:r>
      <w:r>
        <w:rPr>
          <w:rFonts w:ascii="Times New Roman" w:hAnsi="Times New Roman"/>
          <w:sz w:val="20"/>
        </w:rPr>
        <w:t>”) (net of actual amounts realized) that are reasonably identifiable and factually supportable (in the good faith determination of the Borrower) related to (A) the Transactions and (B) any Investment, Disposition, operating improvement, restructuring, cost savings initiative, any similar initiative (any such operating improvement, restructuring, cost savings initiative and/or similar initiative, a “</w:t>
      </w:r>
      <w:r>
        <w:rPr>
          <w:rFonts w:ascii="Times New Roman" w:hAnsi="Times New Roman"/>
          <w:sz w:val="20"/>
          <w:u w:val="single"/>
        </w:rPr>
        <w:t>Cost Saving Initiative</w:t>
      </w:r>
      <w:r>
        <w:rPr>
          <w:rFonts w:ascii="Times New Roman" w:hAnsi="Times New Roman"/>
          <w:sz w:val="20"/>
        </w:rPr>
        <w:t xml:space="preserve">”) and/or Subject Transaction, in each case, prior to, on or after the Closing Date; </w:t>
      </w:r>
      <w:r>
        <w:rPr>
          <w:rFonts w:ascii="Times New Roman" w:hAnsi="Times New Roman"/>
          <w:sz w:val="20"/>
          <w:u w:val="single"/>
        </w:rPr>
        <w:t>provided</w:t>
      </w:r>
      <w:r>
        <w:rPr>
          <w:rFonts w:ascii="Times New Roman" w:hAnsi="Times New Roman"/>
          <w:sz w:val="20"/>
        </w:rPr>
        <w:t xml:space="preserve">, that (x) the Borrower has determined in good faith that the Expected Cost Savings are likely to be realized within 24 months after the date of determination of such action (or, in the case of Expected Cost Savings relating to any acquisition, within 24 months after such acquisition) and (y) the aggregate amount that may be added back to Consolidated Adjusted EBITDA pursuant to this </w:t>
      </w:r>
      <w:r>
        <w:rPr>
          <w:rFonts w:ascii="Times New Roman" w:hAnsi="Times New Roman"/>
          <w:sz w:val="20"/>
          <w:u w:val="single"/>
        </w:rPr>
        <w:t>clause (e)</w:t>
      </w:r>
      <w:r>
        <w:rPr>
          <w:rFonts w:ascii="Times New Roman" w:hAnsi="Times New Roman"/>
          <w:sz w:val="20"/>
        </w:rPr>
        <w:t xml:space="preserve"> shall not exceed when combined with the aggregate amount that may be added back to Consolidated Adjusted EBITDA pursuant to </w:t>
      </w:r>
      <w:r>
        <w:rPr>
          <w:rFonts w:ascii="Times New Roman" w:hAnsi="Times New Roman"/>
          <w:sz w:val="20"/>
          <w:u w:val="single"/>
        </w:rPr>
        <w:t>clause (c)(xii)</w:t>
      </w:r>
      <w:r>
        <w:rPr>
          <w:rFonts w:ascii="Times New Roman" w:hAnsi="Times New Roman"/>
          <w:sz w:val="20"/>
        </w:rPr>
        <w:t xml:space="preserve"> above, 25% of Consolidated Adjusted EBITDA in any four consecutive fiscal quarter period (calculated after giving pro forma effect to the amounts added back pursuant to this </w:t>
      </w:r>
      <w:r>
        <w:rPr>
          <w:rFonts w:ascii="Times New Roman" w:hAnsi="Times New Roman"/>
          <w:sz w:val="20"/>
          <w:u w:val="single"/>
        </w:rPr>
        <w:t>clause (e)</w:t>
      </w:r>
      <w:r>
        <w:rPr>
          <w:rFonts w:ascii="Times New Roman" w:hAnsi="Times New Roman"/>
          <w:sz w:val="20"/>
        </w:rPr>
        <w:t xml:space="preserve"> and </w:t>
      </w:r>
      <w:r>
        <w:rPr>
          <w:rFonts w:ascii="Times New Roman" w:hAnsi="Times New Roman"/>
          <w:sz w:val="20"/>
          <w:u w:val="single"/>
        </w:rPr>
        <w:t>clause (c)(xii)</w:t>
      </w:r>
      <w:r>
        <w:rPr>
          <w:rFonts w:ascii="Times New Roman" w:hAnsi="Times New Roman"/>
          <w:sz w:val="20"/>
        </w:rPr>
        <w:t xml:space="preserve"> above and all other addbacks); it being understood that the cap described in this proviso shall not apply to any other provision of this definition other than this </w:t>
      </w:r>
      <w:r>
        <w:rPr>
          <w:rFonts w:ascii="Times New Roman" w:hAnsi="Times New Roman"/>
          <w:sz w:val="20"/>
          <w:u w:val="single"/>
        </w:rPr>
        <w:t>clause (e)</w:t>
      </w:r>
      <w:r>
        <w:rPr>
          <w:rFonts w:ascii="Times New Roman" w:hAnsi="Times New Roman"/>
          <w:sz w:val="20"/>
        </w:rPr>
        <w:t xml:space="preserve"> and </w:t>
      </w:r>
      <w:r>
        <w:rPr>
          <w:rFonts w:ascii="Times New Roman" w:hAnsi="Times New Roman"/>
          <w:sz w:val="20"/>
          <w:u w:val="single"/>
        </w:rPr>
        <w:t>clause (c)(xii)</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[reserved];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any amount which, in the determination of Consolidated Net Income for such period, has been added for any non-cash income or non-cash gain, all as determined in accordance with GAAP (</w:t>
      </w:r>
      <w:r>
        <w:rPr>
          <w:rFonts w:ascii="Times New Roman" w:hAnsi="Times New Roman"/>
          <w:sz w:val="20"/>
          <w:u w:val="single"/>
        </w:rPr>
        <w:t>provided</w:t>
      </w:r>
      <w:r>
        <w:rPr>
          <w:rFonts w:ascii="Times New Roman" w:hAnsi="Times New Roman"/>
          <w:sz w:val="20"/>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hAnsi="Times New Roman"/>
          <w:sz w:val="20"/>
          <w:u w:val="single"/>
        </w:rPr>
        <w:t>minus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amount of any cash payment made during such period in respect of any noncash accrual, reserve or other non-cash Charge that is accounted for in a prior period which was added to Consolidated Net Income to determine Consolidated Adjusted EBITDA for such prior period and which does not otherwise reduce Consolidated Net Income for the current period (including the excess of actual cash rent paid during such period over GAAP rent expense for such period due to the use of straight-line for GAAP purposes).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it is agreed that for the purpose of calculating the Total Net Leverage Ratio, the First Lien Leverage Ratio, the Secured Leverage Ratio and the Interest Coverage Ratio for any period that includes the Fiscal Quarters ended on or about March 31, 2025, June 30, 2025, September 30, 2025 and December 31, 2025, (i) Consolidated Adjusted EBITDA for the Fiscal Quarter ended on or about March 31, 2025 shall be deemed to be $44,745,699, (ii) Consolidated Adjusted EBITDA for the Fiscal Quarter ended on or about June 30, 2025 shall be deemed to be $95,384,505, (iii) Consolidated Adjusted EBITDA for the Fiscal Quarter ended on or about September 30, 2025 shall be deemed to be $124,799,691 and (iv) Consolidated Adjusted EBITDA for the Fiscal Quarter ended on or about December 31, 2025 shall be deemed to be $102,654,834, in each case, as adjusted on a Pro Forma Basis,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First Lien Debt</w:t>
      </w:r>
      <w:r>
        <w:rPr>
          <w:rFonts w:ascii="Times New Roman" w:hAnsi="Times New Roman"/>
          <w:sz w:val="20"/>
        </w:rPr>
        <w:t xml:space="preserve">” means, as to any Person at any date of determination, the aggregate principal amount of Consolidated Total Debt outstanding on such date that is secured by a First Priority Lien on the Collateral.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with respect to any Person for any period, the sum of (a) consolidated total interest expense of such Person and its Subsidiaries determined in accordance with GAAP for such period, whether paid or accrued and whether or not capitalized (including, without limitation (and without duplication), amortization of any debt issuance cost and/or original issue discount, any premium paid to obtain payment, financial assurance or similar bonds,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and any cost associated with any surety bond in connection with financing activities (whether amortized or immediately expensed)) </w:t>
      </w:r>
      <w:r>
        <w:rPr>
          <w:rFonts w:ascii="Times New Roman" w:hAnsi="Times New Roman"/>
          <w:sz w:val="20"/>
          <w:u w:val="single"/>
        </w:rPr>
        <w:t>plus</w:t>
      </w:r>
      <w:r>
        <w:rPr>
          <w:rFonts w:ascii="Times New Roman" w:hAnsi="Times New Roman"/>
          <w:sz w:val="20"/>
        </w:rPr>
        <w:t xml:space="preserve"> (b)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means, in respect of any period and as determined for any Person (the “</w:t>
      </w:r>
      <w:r>
        <w:rPr>
          <w:rFonts w:ascii="Times New Roman" w:hAnsi="Times New Roman"/>
          <w:sz w:val="20"/>
          <w:u w:val="single"/>
        </w:rPr>
        <w:t>Subject Person</w:t>
      </w:r>
      <w:r>
        <w:rPr>
          <w:rFonts w:ascii="Times New Roman" w:hAnsi="Times New Roman"/>
          <w:sz w:val="20"/>
        </w:rPr>
        <w:t xml:space="preserve">”) on a consolidated basis, an amount equal to the sum of net income, determined in accordance with GAAP, but excluding: </w:t>
      </w:r>
    </w:p>
    <w:p>
      <w:pPr>
        <w:pStyle w:val="TextBody"/>
        <w:bidi w:val="0"/>
        <w:spacing w:before="120" w:after="0"/>
        <w:jc w:val="left"/>
        <w:rPr>
          <w:rFonts w:ascii="Times New Roman" w:hAnsi="Times New Roman"/>
          <w:sz w:val="20"/>
        </w:rPr>
      </w:pPr>
      <w:r>
        <w:rPr>
          <w:rFonts w:ascii="Times New Roman" w:hAnsi="Times New Roman"/>
          <w:sz w:val="20"/>
        </w:rPr>
        <w:t xml:space="preserve">(a) the income (or loss) of any Person (other than a Subsidiary of the Subject Person) accounted for by the equity method of accounting or that is an Unrestricted Subsidiary; </w:t>
      </w:r>
      <w:r>
        <w:rPr>
          <w:rFonts w:ascii="Times New Roman" w:hAnsi="Times New Roman"/>
          <w:sz w:val="20"/>
          <w:u w:val="single"/>
        </w:rPr>
        <w:t>provided</w:t>
      </w:r>
      <w:r>
        <w:rPr>
          <w:rFonts w:ascii="Times New Roman" w:hAnsi="Times New Roman"/>
          <w:sz w:val="20"/>
        </w:rPr>
        <w:t xml:space="preserve"> that the Consolidated Net Income of the Subject Person shall include the Subject Person’s ratable share of the net income of such Person to the extent of the amount of dividends or distributions that are actually paid in Cash or Cash Equivalents to the Subject Person or a Subsidiary thereof (or subsequently converted into Cash or Cash Equivalents)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(b) any gain or Charge attributable to any asset Disposition (including asset retirement costs and including any abandonments of assets) or of returned surplus assets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(i) any gain or Charge from (A) any extraordinary item (as determined in good faith by such Person) and/or (B) any nonrecurring or unusual item (as determined in good faith by such Person, but in any event such items shall not include costs related to risks associated with the operation of the Borrower and its Subsidiaries’ business in the ordinary course) and/or (ii) any Charge associated with and/or payment of any actual or prospective legal settlement, fine, judgment or order, </w:t>
      </w:r>
    </w:p>
    <w:p>
      <w:pPr>
        <w:pStyle w:val="TextBody"/>
        <w:bidi w:val="0"/>
        <w:spacing w:before="240" w:after="0"/>
        <w:jc w:val="left"/>
        <w:rPr>
          <w:rFonts w:ascii="Times New Roman" w:hAnsi="Times New Roman"/>
          <w:sz w:val="20"/>
        </w:rPr>
      </w:pPr>
      <w:r>
        <w:rPr>
          <w:rFonts w:ascii="Times New Roman" w:hAnsi="Times New Roman"/>
          <w:sz w:val="20"/>
        </w:rPr>
        <w:t xml:space="preserve">(d) any net gain or Charge with respect to (i) any disposed, abandoned, divested and/or discontinued asset, property or operation (other than, at the option of the Borrower, any asset, property or operation pending the disposal, abandonment, divestiture and/or termination thereof) and/or (ii) any disposal, abandonment, divestiture and/or discontinuation of any asset, property or operation (other than, at the option of such Person, relating to assets or properties held for sale or pending the divestiture or termination thereof); it being understood and agreed for the avoidance of doubt that any net gain or Charge resulting from any DevCo Disposition shall not be excluded under this </w:t>
      </w:r>
      <w:r>
        <w:rPr>
          <w:rFonts w:ascii="Times New Roman" w:hAnsi="Times New Roman"/>
          <w:sz w:val="20"/>
          <w:u w:val="single"/>
        </w:rPr>
        <w:t>clause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net income or write-off or amortization made of any deferred financing cost and/or premium paid or other Charge, in each case, attributable to the early extinguishment of Indebtedness (and the termination of any associated Hedge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any Charge incurred pursuant to any management equity plan, profits interest or stock option plan or any other management or employee benefit plan or agreement, any pension plan (including any post-employment benefit scheme which has been agreed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or payout of Capital Stock held by management of Holdings (or any other Parent Company), the Borrower and/or any of its Subsidiaries, in each case, to the extent that any cash Charge is funded with net cash proceeds contributed to relevant Person as a capital contribution or as a result of the sale or issuance of Qualified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(g) any Charge that is established, adjusted and/or incurred, as applicable, (i) within 12 months after the Closing Date that is required to be established, adjusted or incurred, as applicable, as a result of the Transactions in accordance with GAAP or (ii) within 12 months after the closing of any other acquisition that is required to be established, adjusted or incurred, as applicable, as a result of such acquisition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(h) (i) the effects of adjustments (including the effects of such adjustments pushed down to the relevant Person and its Subsidiaries) in component amounts required or permitted by GAAP (including in the inventory, property and equipment, lease, rights fee arrangement, software, goodwill, intangible asset, in-process research and development, deferred revenue, advanced billing and debt line items thereof), resulting from the application of purchase accounting in relation to the Transactions or any consummated acquisition or recapitalization accounting or the amortization or write-off of any amounts thereof, net of Taxes, and (ii) the cumulative effect of changes (effected through cumulative effect adjustment or retroactive application) in, or the adoption or modification of, accounting principles or policies made in such period in accordance with GAAP which affect Consolidated Net Income (except that, if the Borrower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 </w:t>
      </w:r>
    </w:p>
    <w:p>
      <w:pPr>
        <w:pStyle w:val="TextBody"/>
        <w:bidi w:val="0"/>
        <w:spacing w:before="240" w:after="0"/>
        <w:jc w:val="left"/>
        <w:rPr>
          <w:rFonts w:ascii="Times New Roman" w:hAnsi="Times New Roman"/>
          <w:sz w:val="20"/>
        </w:rPr>
      </w:pPr>
      <w:r>
        <w:rPr>
          <w:rFonts w:ascii="Times New Roman" w:hAnsi="Times New Roman"/>
          <w:sz w:val="20"/>
        </w:rPr>
        <w:t xml:space="preserve">(i) any asset write-off or write-down, including asset write-offs or write-downs related to intangible assets, long-lived assets, investments in debt and equity securities or as a result of a change in law or regulation, in each case, pursuant to GAAP, and the amortization of intangibles arising pursuant to GAAP shall be excluded, </w:t>
      </w:r>
    </w:p>
    <w:p>
      <w:pPr>
        <w:pStyle w:val="TextBody"/>
        <w:bidi w:val="0"/>
        <w:spacing w:before="240" w:after="0"/>
        <w:jc w:val="left"/>
        <w:rPr>
          <w:rFonts w:ascii="Times New Roman" w:hAnsi="Times New Roman"/>
          <w:sz w:val="20"/>
        </w:rPr>
      </w:pPr>
      <w:r>
        <w:rPr>
          <w:rFonts w:ascii="Times New Roman" w:hAnsi="Times New Roman"/>
          <w:sz w:val="20"/>
        </w:rPr>
        <w:t xml:space="preserve">(j) [reserved], </w:t>
      </w:r>
    </w:p>
    <w:p>
      <w:pPr>
        <w:pStyle w:val="TextBody"/>
        <w:bidi w:val="0"/>
        <w:spacing w:before="240" w:after="0"/>
        <w:jc w:val="left"/>
        <w:rPr>
          <w:rFonts w:ascii="Times New Roman" w:hAnsi="Times New Roman"/>
          <w:sz w:val="20"/>
        </w:rPr>
      </w:pPr>
      <w:r>
        <w:rPr>
          <w:rFonts w:ascii="Times New Roman" w:hAnsi="Times New Roman"/>
          <w:sz w:val="20"/>
        </w:rPr>
        <w:t xml:space="preserve">(k) (i) any realized or unrealized gain or loss in respect of (A) any obligation under any Hedge Agreement as determined in accordance with GAAP and/or (B) any other derivative instrument pursuant to, in the case of this </w:t>
      </w:r>
      <w:r>
        <w:rPr>
          <w:rFonts w:ascii="Times New Roman" w:hAnsi="Times New Roman"/>
          <w:sz w:val="20"/>
          <w:u w:val="single"/>
        </w:rPr>
        <w:t>clause (B)</w:t>
      </w:r>
      <w:r>
        <w:rPr>
          <w:rFonts w:ascii="Times New Roman" w:hAnsi="Times New Roman"/>
          <w:sz w:val="20"/>
        </w:rPr>
        <w:t xml:space="preserve">, Financial Accounting Standards Board’s Accounting Standards Codification No. 815-Derivatives and Hedging, (ii) any realized or unrealized foreign currency exchange gain or loss (including any currency re-measurement of Indebtedness, any net gain or loss resulting from Hedge Agreements for currency exchange risk resulting from any intercompany Indebtedness, any foreign currency translation or transaction or any other currency-related risk); </w:t>
      </w:r>
      <w:r>
        <w:rPr>
          <w:rFonts w:ascii="Times New Roman" w:hAnsi="Times New Roman"/>
          <w:sz w:val="20"/>
          <w:u w:val="single"/>
        </w:rPr>
        <w:t>provided</w:t>
      </w:r>
      <w:r>
        <w:rPr>
          <w:rFonts w:ascii="Times New Roman" w:hAnsi="Times New Roman"/>
          <w:sz w:val="20"/>
        </w:rPr>
        <w:t xml:space="preserve">, that notwithstanding anything to the contrary herein, any realized gain or loss in respect of any Designated Operational FX Hedge shall be included in the calculation of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(l) any deferred Tax expense associated with any tax deduction or net operating loss arising as a result of the Transactions, or the release of any valuation allowance related to any such item, and </w:t>
      </w:r>
    </w:p>
    <w:p>
      <w:pPr>
        <w:pStyle w:val="TextBody"/>
        <w:bidi w:val="0"/>
        <w:spacing w:before="240" w:after="0"/>
        <w:jc w:val="left"/>
        <w:rPr>
          <w:rFonts w:ascii="Times New Roman" w:hAnsi="Times New Roman"/>
          <w:sz w:val="20"/>
        </w:rPr>
      </w:pPr>
      <w:r>
        <w:rPr>
          <w:rFonts w:ascii="Times New Roman" w:hAnsi="Times New Roman"/>
          <w:sz w:val="20"/>
        </w:rPr>
        <w:t xml:space="preserve">(m) effects of adjustments to accruals and reserves during a prior period relating to any change in the methodology of calculating reserves for returns, rebates and other chargebacks (including government program rebates) shall be excluded. </w:t>
      </w:r>
    </w:p>
    <w:p>
      <w:pPr>
        <w:pStyle w:val="TextBody"/>
        <w:bidi w:val="0"/>
        <w:spacing w:before="240" w:after="0"/>
        <w:jc w:val="left"/>
        <w:rPr/>
      </w:pPr>
      <w:r>
        <w:rPr/>
        <w:t>“</w:t>
      </w:r>
      <w:r>
        <w:rPr>
          <w:rFonts w:ascii="Times New Roman" w:hAnsi="Times New Roman"/>
          <w:sz w:val="20"/>
          <w:u w:val="single"/>
        </w:rPr>
        <w:t>Consolidated Secured Debt</w:t>
      </w:r>
      <w:r>
        <w:rPr>
          <w:rFonts w:ascii="Times New Roman" w:hAnsi="Times New Roman"/>
          <w:sz w:val="20"/>
        </w:rPr>
        <w:t xml:space="preserve">” means, as to any Person at any date of determination, the aggregate principal amount of Consolidated Total Debt outstanding on such date that is secured by a Lien on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Total Assets</w:t>
      </w:r>
      <w:r>
        <w:rPr>
          <w:rFonts w:ascii="Times New Roman" w:hAnsi="Times New Roman"/>
          <w:sz w:val="20"/>
        </w:rPr>
        <w:t xml:space="preserve">” means, at any date, all amounts that would, in conformity with GAAP, be set forth opposite the caption “total assets” (or any like caption) on the most recently delivered consolidated balance sheet of the applicable Person at such date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w:t>
      </w:r>
    </w:p>
    <w:p>
      <w:pPr>
        <w:pStyle w:val="TextBody"/>
        <w:bidi w:val="0"/>
        <w:spacing w:before="240" w:after="0"/>
        <w:jc w:val="left"/>
        <w:rPr/>
      </w:pPr>
      <w:r>
        <w:rPr/>
        <w:t>“</w:t>
      </w:r>
      <w:r>
        <w:rPr>
          <w:rFonts w:ascii="Times New Roman" w:hAnsi="Times New Roman"/>
          <w:sz w:val="20"/>
          <w:u w:val="single"/>
        </w:rPr>
        <w:t>Consolidated Total Debt</w:t>
      </w:r>
      <w:r>
        <w:rPr>
          <w:rFonts w:ascii="Times New Roman" w:hAnsi="Times New Roman"/>
          <w:sz w:val="20"/>
        </w:rPr>
        <w:t xml:space="preserve">” means, as to any Person at any date of determination, the aggregate outstanding principal amount of all third party debt for borrowed money (including (i) revolving loans, (ii) term loans, (iii) letter of credit disbursements that have not been reimbursed within three Business Days, but excluding, for the avoidance of doubt, undrawn letters of credit, (iv) debt evidenced by notes, bonds, debentures or similar instruments, (v) Disqualified Capital Stock (other than for purposes of </w:t>
      </w:r>
      <w:r>
        <w:rPr>
          <w:rFonts w:ascii="Times New Roman" w:hAnsi="Times New Roman"/>
          <w:sz w:val="20"/>
          <w:u w:val="single"/>
        </w:rPr>
        <w:t>Section 6.15(a)</w:t>
      </w:r>
      <w:r>
        <w:rPr>
          <w:rFonts w:ascii="Times New Roman" w:hAnsi="Times New Roman"/>
          <w:sz w:val="20"/>
        </w:rPr>
        <w:t xml:space="preserve">) and (vi) earn-outs or contingent acquisition consideration once due and payable but not paid), Capital Leases and purchase money Indebtedness as such amount may be adjusted to reflect the effect (as determined by the Borrower in good faith) of any Debt FX Hedge; </w:t>
      </w:r>
      <w:r>
        <w:rPr>
          <w:rFonts w:ascii="Times New Roman" w:hAnsi="Times New Roman"/>
          <w:sz w:val="20"/>
          <w:u w:val="single"/>
        </w:rPr>
        <w:t>provided</w:t>
      </w:r>
      <w:r>
        <w:rPr>
          <w:rFonts w:ascii="Times New Roman" w:hAnsi="Times New Roman"/>
          <w:sz w:val="20"/>
        </w:rPr>
        <w:t xml:space="preserve">, that “Consolidated Total Debt” shall be calculated (a) net of the Unrestricted Cash Amount not to exceed $200,000,000 in any Test Period and (b) excluding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For the avoidance of doubt, “Consolidated Total Debt” shall exclude Surety Bond Indebtedness unless the obligations in respect of any Surety Bond Indebtedness (I) become a liability on the balance sheet of such Person in accordance with GAAP, (II) have become due and payable and (III) have not been paid for five (5) days.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Copyright</w:t>
      </w:r>
      <w:r>
        <w:rPr>
          <w:rFonts w:ascii="Times New Roman" w:hAnsi="Times New Roman"/>
          <w:sz w:val="20"/>
        </w:rPr>
        <w:t xml:space="preserve">” means the following: (a) all copyrights, rights and interests in copyrights, works protectable by copyright whether published or unpublished, copyright registrations and copyright applications; (b) all renewals of any of the foregoing; and (c) all rights corresponding to any of the foregoing. </w:t>
      </w:r>
    </w:p>
    <w:p>
      <w:pPr>
        <w:pStyle w:val="TextBody"/>
        <w:bidi w:val="0"/>
        <w:spacing w:before="240" w:after="0"/>
        <w:jc w:val="left"/>
        <w:rPr/>
      </w:pPr>
      <w:r>
        <w:rPr/>
        <w:t>“</w:t>
      </w:r>
      <w:r>
        <w:rPr>
          <w:rFonts w:ascii="Times New Roman" w:hAnsi="Times New Roman"/>
          <w:sz w:val="20"/>
          <w:u w:val="single"/>
        </w:rPr>
        <w:t>Cost Saving Initiative</w:t>
      </w:r>
      <w:r>
        <w:rPr>
          <w:rFonts w:ascii="Times New Roman" w:hAnsi="Times New Roman"/>
          <w:sz w:val="20"/>
        </w:rPr>
        <w:t xml:space="preserve">” has the meaning assigned to such term in the definition of “Consolidated Adjusted EBITDA”.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Covered Party</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Extension</w:t>
      </w:r>
      <w:r>
        <w:rPr>
          <w:rFonts w:ascii="Times New Roman" w:hAnsi="Times New Roman"/>
          <w:sz w:val="20"/>
        </w:rPr>
        <w:t xml:space="preserve">” means each of (i) the making of a Loan or Swingline Loan (other than any Letter of Credit Reimbursement Loan) or (ii) the issuance, amendment, modification, renewal or extension of any Letter of Credit (other than any such amendment, modification, renewal or extension that does not increase the Stated Amount of the relevant Letter of Credit). </w:t>
      </w:r>
    </w:p>
    <w:p>
      <w:pPr>
        <w:pStyle w:val="TextBody"/>
        <w:bidi w:val="0"/>
        <w:spacing w:before="240" w:after="0"/>
        <w:jc w:val="left"/>
        <w:rPr/>
      </w:pPr>
      <w:r>
        <w:rPr/>
        <w:t>“</w:t>
      </w:r>
      <w:r>
        <w:rPr>
          <w:rFonts w:ascii="Times New Roman" w:hAnsi="Times New Roman"/>
          <w:sz w:val="20"/>
          <w:u w:val="single"/>
        </w:rPr>
        <w:t>Cure Amount</w:t>
      </w:r>
      <w:r>
        <w:rPr>
          <w:rFonts w:ascii="Times New Roman" w:hAnsi="Times New Roman"/>
          <w:sz w:val="20"/>
        </w:rPr>
        <w:t xml:space="preserve">” has the meaning assigned to such term in </w:t>
      </w:r>
      <w:r>
        <w:rPr>
          <w:rFonts w:ascii="Times New Roman" w:hAnsi="Times New Roman"/>
          <w:sz w:val="20"/>
          <w:u w:val="single"/>
        </w:rPr>
        <w:t>Section 6.15(c)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Cure Right</w:t>
      </w:r>
      <w:r>
        <w:rPr>
          <w:rFonts w:ascii="Times New Roman" w:hAnsi="Times New Roman"/>
          <w:sz w:val="20"/>
        </w:rPr>
        <w:t xml:space="preserve">” has the meaning assigned to such term in </w:t>
      </w:r>
      <w:r>
        <w:rPr>
          <w:rFonts w:ascii="Times New Roman" w:hAnsi="Times New Roman"/>
          <w:sz w:val="20"/>
          <w:u w:val="single"/>
        </w:rPr>
        <w:t>Section 6.15(c)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Times New Roman" w:hAnsi="Times New Roman"/>
          <w:sz w:val="20"/>
          <w:u w:val="single"/>
        </w:rPr>
        <w:t>provided</w:t>
      </w:r>
      <w:r>
        <w:rPr>
          <w:rFonts w:ascii="Times New Roman" w:hAnsi="Times New Roman"/>
          <w:sz w:val="20"/>
        </w:rPr>
        <w:t xml:space="preserve">, that if the Administrative Agent decides that any such convention is not administratively feasible for the Administrative Agent, then the Administrative Agent may establish another convention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Debt FX Hedge</w:t>
      </w:r>
      <w:r>
        <w:rPr>
          <w:rFonts w:ascii="Times New Roman" w:hAnsi="Times New Roman"/>
          <w:sz w:val="20"/>
        </w:rPr>
        <w:t xml:space="preserve">” means any Hedge Agreement entered into for the purpose of hedging currency-related risks in respect of any Indebtedness of the type described in the definition of “Consolidated Total Debt”, calculated on a mark-to-market basis.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which upon notice, lapse of time or both would become an Event of Default.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Person that has (a) defaulted in (or is otherwise unable to perform) its funding obligations under this Agreement, including its obligations (i) to make a Loan within two Business Days of the date required to be made by it hereunder or (ii) to fund its participation in a Letter of Credit or Swingline Loan required to be funded by it hereunder within two Business Days of the date such obligation arose or such Loan or Letter of Credit or Swingline Loan was required to be made or funded, unless, in the case of </w:t>
      </w:r>
      <w:r>
        <w:rPr>
          <w:rFonts w:ascii="Times New Roman" w:hAnsi="Times New Roman"/>
          <w:sz w:val="20"/>
          <w:u w:val="single"/>
        </w:rPr>
        <w:t>subclause (x)</w:t>
      </w:r>
      <w:r>
        <w:rPr>
          <w:rFonts w:ascii="Times New Roman" w:hAnsi="Times New Roman"/>
          <w:sz w:val="20"/>
        </w:rPr>
        <w:t xml:space="preserve"> above, such Person notifies the Administrative Agent in writing that such failure is the result of such Person’s good faith determination that a condition precedent to funding (specifically identified and including the particular default, if any) has not been satisfied, (b) notified the Administrative Agent, any Issuing Bank or the Swingline Lender and the Borrower in writing that it does not intend to satisfy or perform any such obligation or has made a public statement to the effect that it does not intend to comply with its funding or other obligations under this Agreement or under agreements in which it commits to extend credit generally (unless such writing indicates that such position is based on such Person’s good faith determination that a condition precedent (specifically identified and including the particular condition precedent) to funding a Loan cannot be satisfied), (c) failed, within two Business Days after the request of the Borrower, to confirm in writing that it will comply with the terms of this Agreement relating to its obligations to fund prospective Loans and participations in then outstanding Letters of Credit or Swingline Loans; </w:t>
      </w:r>
      <w:r>
        <w:rPr>
          <w:rFonts w:ascii="Times New Roman" w:hAnsi="Times New Roman"/>
          <w:sz w:val="20"/>
          <w:u w:val="single"/>
        </w:rPr>
        <w:t>provided</w:t>
      </w:r>
      <w:r>
        <w:rPr>
          <w:rFonts w:ascii="Times New Roman" w:hAnsi="Times New Roman"/>
          <w:sz w:val="20"/>
        </w:rPr>
        <w:t xml:space="preserve">, that such Person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the Administrative Agent and the Borrower, (d) become (or any parent company thereof has become) insolvent or been determined by any Governmental Authority having regulatory authority over such Person or its assets, to be insolvent, or the assets or management of which has been taken over by any Governmental Authority (and such Lender or the Borrower has provided the Administrative Agent with written notice of such event) or (e)(i) become (or any parent company thereof has become) the subject of (A) a bankruptcy or insolvency proceeding or (B) a Bail-In Action, (ii) has had (other than in the case of an Undisclosed Administration) a receiver, 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 in, any such proceeding or appointment, unless in the case of any Person subject to this </w:t>
      </w:r>
      <w:r>
        <w:rPr>
          <w:rFonts w:ascii="Times New Roman" w:hAnsi="Times New Roman"/>
          <w:sz w:val="20"/>
          <w:u w:val="single"/>
        </w:rPr>
        <w:t>clause (e)</w:t>
      </w:r>
      <w:r>
        <w:rPr>
          <w:rFonts w:ascii="Times New Roman" w:hAnsi="Times New Roman"/>
          <w:sz w:val="20"/>
        </w:rPr>
        <w:t xml:space="preserve">, the Borrower has determined that such Person intends, and has all approvals required to enable it (in form and substance satisfactory to the Borrower), to continue to perform its funding obligations hereunder; </w:t>
      </w:r>
      <w:r>
        <w:rPr>
          <w:rFonts w:ascii="Times New Roman" w:hAnsi="Times New Roman"/>
          <w:sz w:val="20"/>
          <w:u w:val="single"/>
        </w:rPr>
        <w:t>provided</w:t>
      </w:r>
      <w:r>
        <w:rPr>
          <w:rFonts w:ascii="Times New Roman" w:hAnsi="Times New Roman"/>
          <w:sz w:val="20"/>
        </w:rPr>
        <w:t xml:space="preserve">, that no Person shall be deemed to be a Defaulting Lender solely by virtue of the ownership or acquisition of any Capital Stock in such Lender or its parent by any Governmental Authority; </w:t>
      </w:r>
      <w:r>
        <w:rPr>
          <w:rFonts w:ascii="Times New Roman" w:hAnsi="Times New Roman"/>
          <w:sz w:val="20"/>
          <w:u w:val="single"/>
        </w:rPr>
        <w:t>provided</w:t>
      </w:r>
      <w:r>
        <w:rPr>
          <w:rFonts w:ascii="Times New Roman" w:hAnsi="Times New Roman"/>
          <w:sz w:val="20"/>
        </w:rPr>
        <w:t xml:space="preserve">, that such action does not result in or provide such Lender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shall be conclusive and binding absent manifest error, and such Lender shall be deemed to be a Defaulting Lender (subject to </w:t>
      </w:r>
      <w:r>
        <w:rPr>
          <w:rFonts w:ascii="Times New Roman" w:hAnsi="Times New Roman"/>
          <w:sz w:val="20"/>
          <w:u w:val="single"/>
        </w:rPr>
        <w:t>Section 2.21(f)</w:t>
      </w:r>
      <w:r>
        <w:rPr>
          <w:rFonts w:ascii="Times New Roman" w:hAnsi="Times New Roman"/>
          <w:sz w:val="20"/>
        </w:rPr>
        <w:t xml:space="preserve">) upon delivery of written notice of such determination to the Borrower, each Issuing Bank, the Swingline Lender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Deposit Account</w:t>
      </w:r>
      <w:r>
        <w:rPr>
          <w:rFonts w:ascii="Times New Roman" w:hAnsi="Times New Roman"/>
          <w:sz w:val="20"/>
        </w:rPr>
        <w:t xml:space="preserve">” means a demand, time, savings, passbook or like account with a bank, savings and loan association, credit union or like organization, other than an account evidenced by a negotiable certificate of deposit. </w:t>
      </w:r>
    </w:p>
    <w:p>
      <w:pPr>
        <w:pStyle w:val="TextBody"/>
        <w:bidi w:val="0"/>
        <w:spacing w:before="240" w:after="0"/>
        <w:jc w:val="left"/>
        <w:rPr/>
      </w:pPr>
      <w:r>
        <w:rPr/>
        <w:t>“</w:t>
      </w:r>
      <w:r>
        <w:rPr>
          <w:rFonts w:ascii="Times New Roman" w:hAnsi="Times New Roman"/>
          <w:sz w:val="20"/>
          <w:u w:val="single"/>
        </w:rPr>
        <w:t>Derivative Transaction</w:t>
      </w:r>
      <w:r>
        <w:rPr>
          <w:rFonts w:ascii="Times New Roman" w:hAnsi="Times New Roman"/>
          <w:sz w:val="20"/>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members of management, managers or consultants of the Borrower and/or any of its Subsidiaries shall be a Derivative Transaction. </w:t>
      </w:r>
    </w:p>
    <w:p>
      <w:pPr>
        <w:pStyle w:val="TextBody"/>
        <w:bidi w:val="0"/>
        <w:spacing w:before="240" w:after="0"/>
        <w:jc w:val="left"/>
        <w:rPr/>
      </w:pPr>
      <w:r>
        <w:rPr/>
        <w:t>“</w:t>
      </w:r>
      <w:r>
        <w:rPr>
          <w:rFonts w:ascii="Times New Roman" w:hAnsi="Times New Roman"/>
          <w:sz w:val="20"/>
          <w:u w:val="single"/>
        </w:rPr>
        <w:t>Designated Non-Cash Consideration</w:t>
      </w:r>
      <w:r>
        <w:rPr>
          <w:rFonts w:ascii="Times New Roman" w:hAnsi="Times New Roman"/>
          <w:sz w:val="20"/>
        </w:rPr>
        <w:t xml:space="preserve">” means the fair market value (as determined by the Borrower in good faith) of non-Cash consideration received by the Borrower and/or any of its Subsidiaries in connection with any Disposition pursuant to </w:t>
      </w:r>
      <w:r>
        <w:rPr>
          <w:rFonts w:ascii="Times New Roman" w:hAnsi="Times New Roman"/>
          <w:sz w:val="20"/>
          <w:u w:val="single"/>
        </w:rPr>
        <w:t>Section 6.07(h)</w:t>
      </w:r>
      <w:r>
        <w:rPr>
          <w:rFonts w:ascii="Times New Roman" w:hAnsi="Times New Roman"/>
          <w:sz w:val="20"/>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 </w:t>
      </w:r>
    </w:p>
    <w:p>
      <w:pPr>
        <w:pStyle w:val="TextBody"/>
        <w:bidi w:val="0"/>
        <w:spacing w:before="240" w:after="0"/>
        <w:jc w:val="left"/>
        <w:rPr/>
      </w:pPr>
      <w:r>
        <w:rPr/>
        <w:t>“</w:t>
      </w:r>
      <w:r>
        <w:rPr>
          <w:rFonts w:ascii="Times New Roman" w:hAnsi="Times New Roman"/>
          <w:sz w:val="20"/>
          <w:u w:val="single"/>
        </w:rPr>
        <w:t>Designated Operational FX Hedge</w:t>
      </w:r>
      <w:r>
        <w:rPr>
          <w:rFonts w:ascii="Times New Roman" w:hAnsi="Times New Roman"/>
          <w:sz w:val="20"/>
        </w:rPr>
        <w:t xml:space="preserve">” means any Hedge Agreement entered into for the purpose of hedging currency-related risks in respect of the revenues, cash flows or other balance sheet items of the Borrower, any of its subsidiaries and designated at the time entered into (or on or prior to the Closing Date, with respect to any Hedge Agreement entered into on or prior to the Closing Date) as a Designated Operational FX Hedge by the Borrower in a writing delivered to the Administrative Agent. </w:t>
      </w:r>
    </w:p>
    <w:p>
      <w:pPr>
        <w:pStyle w:val="TextBody"/>
        <w:bidi w:val="0"/>
        <w:spacing w:before="240" w:after="0"/>
        <w:jc w:val="left"/>
        <w:rPr/>
      </w:pPr>
      <w:r>
        <w:rPr/>
        <w:t>“</w:t>
      </w:r>
      <w:r>
        <w:rPr>
          <w:rFonts w:ascii="Times New Roman" w:hAnsi="Times New Roman"/>
          <w:sz w:val="20"/>
          <w:u w:val="single"/>
        </w:rPr>
        <w:t>DevCo</w:t>
      </w:r>
      <w:r>
        <w:rPr>
          <w:rFonts w:ascii="Times New Roman" w:hAnsi="Times New Roman"/>
          <w:sz w:val="20"/>
        </w:rPr>
        <w:t xml:space="preserve">” means CS Energy DevCo, LLC, formerly known as Conti Solar Devco, LLC, a Delaware limited liability company. </w:t>
      </w:r>
    </w:p>
    <w:p>
      <w:pPr>
        <w:pStyle w:val="TextBody"/>
        <w:bidi w:val="0"/>
        <w:spacing w:before="240" w:after="0"/>
        <w:jc w:val="left"/>
        <w:rPr/>
      </w:pPr>
      <w:r>
        <w:rPr/>
        <w:t>“</w:t>
      </w:r>
      <w:r>
        <w:rPr>
          <w:rFonts w:ascii="Times New Roman" w:hAnsi="Times New Roman"/>
          <w:sz w:val="20"/>
          <w:u w:val="single"/>
        </w:rPr>
        <w:t>DevCo Acquisition</w:t>
      </w:r>
      <w:r>
        <w:rPr>
          <w:rFonts w:ascii="Times New Roman" w:hAnsi="Times New Roman"/>
          <w:sz w:val="20"/>
        </w:rPr>
        <w:t xml:space="preserve">” means any acquisition of the Capital Stock of any Person formed to facilitate any development project, including any Person that becomes a Project Development Subsidiary, in the ordinary course of business (as determined by the Borrower in good faith). </w:t>
      </w:r>
    </w:p>
    <w:p>
      <w:pPr>
        <w:pStyle w:val="TextBody"/>
        <w:bidi w:val="0"/>
        <w:spacing w:before="240" w:after="0"/>
        <w:jc w:val="left"/>
        <w:rPr/>
      </w:pPr>
      <w:r>
        <w:rPr/>
        <w:t>“</w:t>
      </w:r>
      <w:r>
        <w:rPr>
          <w:rFonts w:ascii="Times New Roman" w:hAnsi="Times New Roman"/>
          <w:sz w:val="20"/>
          <w:u w:val="single"/>
        </w:rPr>
        <w:t>DevCo Business</w:t>
      </w:r>
      <w:r>
        <w:rPr>
          <w:rFonts w:ascii="Times New Roman" w:hAnsi="Times New Roman"/>
          <w:sz w:val="20"/>
        </w:rPr>
        <w:t xml:space="preserve">” means the “development business” of the Borrower and its subsidiaries, collectively, as determined by the Borrower in good faith (on the Closing Date, operated by DevCo and its Subsidiaries). </w:t>
      </w:r>
    </w:p>
    <w:p>
      <w:pPr>
        <w:pStyle w:val="TextBody"/>
        <w:bidi w:val="0"/>
        <w:spacing w:before="240" w:after="0"/>
        <w:jc w:val="left"/>
        <w:rPr/>
      </w:pPr>
      <w:r>
        <w:rPr/>
        <w:t>“</w:t>
      </w:r>
      <w:r>
        <w:rPr>
          <w:rFonts w:ascii="Times New Roman" w:hAnsi="Times New Roman"/>
          <w:sz w:val="20"/>
          <w:u w:val="single"/>
        </w:rPr>
        <w:t>DevCo Disposition</w:t>
      </w:r>
      <w:r>
        <w:rPr>
          <w:rFonts w:ascii="Times New Roman" w:hAnsi="Times New Roman"/>
          <w:sz w:val="20"/>
        </w:rPr>
        <w:t xml:space="preserve">” means any Disposition of any asset comprising part of the DevCo Business (as determined by the Borrower in good faith), including the Disposition of any Capital Stock of any Project Development Subsidiary and/or any Subsidiary of DevCo, but excluding the Disposition of the Capital Stock of DevCo. </w:t>
      </w:r>
    </w:p>
    <w:p>
      <w:pPr>
        <w:pStyle w:val="TextBody"/>
        <w:bidi w:val="0"/>
        <w:spacing w:before="240" w:after="0"/>
        <w:jc w:val="left"/>
        <w:rPr/>
      </w:pPr>
      <w:r>
        <w:rPr/>
        <w:t>“</w:t>
      </w:r>
      <w:r>
        <w:rPr>
          <w:rFonts w:ascii="Times New Roman" w:hAnsi="Times New Roman"/>
          <w:sz w:val="20"/>
          <w:u w:val="single"/>
        </w:rPr>
        <w:t>Discretionary Guarantor</w:t>
      </w:r>
      <w:r>
        <w:rPr>
          <w:rFonts w:ascii="Times New Roman" w:hAnsi="Times New Roman"/>
          <w:sz w:val="20"/>
        </w:rPr>
        <w:t xml:space="preserve">” means any Subsidiary that is not otherwise required to be a Subsidiary Guarantor, that the Borrower, in its sole discretion, elects to become a Subsidiary Guarantor, subject to satisfaction of customary “know your customer” requirements; </w:t>
      </w:r>
      <w:r>
        <w:rPr>
          <w:rFonts w:ascii="Times New Roman" w:hAnsi="Times New Roman"/>
          <w:sz w:val="20"/>
          <w:u w:val="single"/>
        </w:rPr>
        <w:t>provided</w:t>
      </w:r>
      <w:r>
        <w:rPr>
          <w:rFonts w:ascii="Times New Roman" w:hAnsi="Times New Roman"/>
          <w:sz w:val="20"/>
        </w:rPr>
        <w:t xml:space="preserve">, that if such entity is not a U.S. Subsidiary, the jurisdiction of formation for such entity must be in a jurisdiction reasonably satisfactory to the Administrative Agent (it being agreed that such determination shall be based upon (i) the amount and enforceability of the guaranty that may be entered into by a Subsidiary organized in such jurisdiction, (ii) the security interests (and enforceability thereof) that may be granted with respect to assets (or various classes of assets) (other than Excluded Assets) located in such jurisdiction and (iii) any Sanctions, FCPA or any anti-corruption or anti-bribery risk associated with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the sale, lease, sublease, or other disposition (whether effected pursuant to a Division or otherwise) of any property of any Person. </w:t>
      </w:r>
    </w:p>
    <w:p>
      <w:pPr>
        <w:pStyle w:val="TextBody"/>
        <w:bidi w:val="0"/>
        <w:spacing w:before="240" w:after="0"/>
        <w:jc w:val="left"/>
        <w:rPr/>
      </w:pPr>
      <w:r>
        <w:rPr/>
        <w:t>“</w:t>
      </w:r>
      <w:r>
        <w:rPr>
          <w:rFonts w:ascii="Times New Roman" w:hAnsi="Times New Roman"/>
          <w:sz w:val="20"/>
          <w:u w:val="single"/>
        </w:rPr>
        <w:t>Disqualified Capital Stock</w:t>
      </w:r>
      <w:r>
        <w:rPr>
          <w:rFonts w:ascii="Times New Roman" w:hAnsi="Times New Roman"/>
          <w:sz w:val="20"/>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91 days following the Latest Maturity Date at the time such Capital Stock is issued (it being understood that if any such redemption is in part, only such part coming into effect prior to 91 days following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91 days following the Latest Maturity Date at the time such Capital Stock is issued,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the Latest Maturity Date shall constitute Disqualified Capital Stock) or (d) provides for the scheduled payments of dividends in Cash on or prior to 91 days following the Latest Maturity Date at the time such Capital Stock is issued; </w:t>
      </w:r>
      <w:r>
        <w:rPr>
          <w:rFonts w:ascii="Times New Roman" w:hAnsi="Times New Roman"/>
          <w:sz w:val="20"/>
          <w:u w:val="single"/>
        </w:rPr>
        <w:t>provided</w:t>
      </w:r>
      <w:r>
        <w:rPr>
          <w:rFonts w:ascii="Times New Roman" w:hAnsi="Times New Roman"/>
          <w:sz w:val="20"/>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Holdings, the Borrower or any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w:t>
      </w:r>
    </w:p>
    <w:p>
      <w:pPr>
        <w:pStyle w:val="TextBody"/>
        <w:bidi w:val="0"/>
        <w:spacing w:before="240" w:after="0"/>
        <w:jc w:val="left"/>
        <w:rPr/>
      </w:pPr>
      <w:r>
        <w:rPr/>
        <w:t>“</w:t>
      </w:r>
      <w:r>
        <w:rPr>
          <w:rFonts w:ascii="Times New Roman" w:hAnsi="Times New Roman"/>
          <w:sz w:val="20"/>
          <w:u w:val="single"/>
        </w:rPr>
        <w:t>Disqualified Institution</w:t>
      </w:r>
      <w:r>
        <w:rPr>
          <w:rFonts w:ascii="Times New Roman" w:hAnsi="Times New Roman"/>
          <w:sz w:val="20"/>
        </w:rPr>
        <w:t xml:space="preserve">” means (a)(i) any Person designated by the Borrower in writing by name to the Arrangers and the Administrative Agent on or prior to the Closing Date (and any Affiliate of such Person that is reasonably identifiable on the basis of such Affiliate’s name) and (ii) any other Affiliate of any Persons described in </w:t>
      </w:r>
      <w:r>
        <w:rPr>
          <w:rFonts w:ascii="Times New Roman" w:hAnsi="Times New Roman"/>
          <w:sz w:val="20"/>
          <w:u w:val="single"/>
        </w:rPr>
        <w:t>clause (i)</w:t>
      </w:r>
      <w:r>
        <w:rPr>
          <w:rFonts w:ascii="Times New Roman" w:hAnsi="Times New Roman"/>
          <w:sz w:val="20"/>
        </w:rPr>
        <w:t xml:space="preserve"> that is identified in writing by name after the Closing Date to the Administrative Agent and (b) any Person that is or becomes a Company Competitor and is designated by the Borrower as such by name in a writing provided to the Arrangers (if prior to the Closing Date) and the Administrative Agent (if after Closing Date) (and any Affiliate of such Company Competitor that is reasonably identifiable on the basis of such Affiliate’s name) and any known Affiliate of a Company Competitor identified in writing to the Arrangers (if on or prior to the Closing Date) and the Administrative Agent (if after the Closing Date) even if not identifiable on the basis of such Affiliate’s name, which any such designations after the Closing Date shall not apply retroactively to disqualify any Person that has previously acquired any assignment or participation interest that is otherwise permitted pursuant to the terms of this Agreement in respect of such assignment or participation interest; </w:t>
      </w:r>
      <w:r>
        <w:rPr>
          <w:rFonts w:ascii="Times New Roman" w:hAnsi="Times New Roman"/>
          <w:sz w:val="20"/>
          <w:u w:val="single"/>
        </w:rPr>
        <w:t>provided</w:t>
      </w:r>
      <w:r>
        <w:rPr>
          <w:rFonts w:ascii="Times New Roman" w:hAnsi="Times New Roman"/>
          <w:sz w:val="20"/>
        </w:rPr>
        <w:t>, that “</w:t>
      </w:r>
      <w:r>
        <w:rPr>
          <w:rFonts w:ascii="Times New Roman" w:hAnsi="Times New Roman"/>
          <w:sz w:val="20"/>
          <w:u w:val="single"/>
        </w:rPr>
        <w:t>Disqualified Institutions</w:t>
      </w:r>
      <w:r>
        <w:rPr>
          <w:rFonts w:ascii="Times New Roman" w:hAnsi="Times New Roman"/>
          <w:sz w:val="20"/>
        </w:rPr>
        <w:t xml:space="preserve">” shall not include any Bona Fide Debt Fund of any Company Competitor unless such Bona Fide Debt Fund is a Disqualified Institution pursuant to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each Loan Party and each Lender acknowledges and agrees that the Administrative Agent shall not have any responsibility or obligation to determine whether any Lender or potential Lender is a Disqualified Institution and the Administrative Agent shall have no liability with respect to any assignment or participation made by a Lender to a Disqualified Institution, (B) any assignment or participation by a Lender to a Disqualified Institution shall be subject to the terms of </w:t>
      </w:r>
      <w:r>
        <w:rPr>
          <w:rFonts w:ascii="Times New Roman" w:hAnsi="Times New Roman"/>
          <w:sz w:val="20"/>
          <w:u w:val="single"/>
        </w:rPr>
        <w:t>Section 9.05(f)</w:t>
      </w:r>
      <w:r>
        <w:rPr>
          <w:rFonts w:ascii="Times New Roman" w:hAnsi="Times New Roman"/>
          <w:sz w:val="20"/>
        </w:rPr>
        <w:t xml:space="preserve"> and (C) nothing in the foregoing shall prejudice any right or remedy that the Borrower may have at law or in equity against any Lender who enters into an assignment, participation or other transaction (including the disclosure of the Information) with a Disqualified Institution in contravention of the terms of this Agreement. </w:t>
      </w:r>
    </w:p>
    <w:p>
      <w:pPr>
        <w:pStyle w:val="TextBody"/>
        <w:bidi w:val="0"/>
        <w:spacing w:before="240" w:after="0"/>
        <w:jc w:val="left"/>
        <w:rPr/>
      </w:pPr>
      <w:r>
        <w:rPr/>
        <w:t>“</w:t>
      </w:r>
      <w:r>
        <w:rPr>
          <w:rFonts w:ascii="Times New Roman" w:hAnsi="Times New Roman"/>
          <w:sz w:val="20"/>
          <w:u w:val="single"/>
        </w:rPr>
        <w:t>Disqualified Person</w:t>
      </w:r>
      <w:r>
        <w:rPr>
          <w:rFonts w:ascii="Times New Roman" w:hAnsi="Times New Roman"/>
          <w:sz w:val="20"/>
        </w:rPr>
        <w:t xml:space="preserve">” has the meaning assigned to such term in </w:t>
      </w:r>
      <w:r>
        <w:rPr>
          <w:rFonts w:ascii="Times New Roman" w:hAnsi="Times New Roman"/>
          <w:sz w:val="20"/>
          <w:u w:val="single"/>
        </w:rPr>
        <w:t>Section 9.05(f)(ii)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Dividing Person</w:t>
      </w:r>
      <w:r>
        <w:rPr>
          <w:rFonts w:ascii="Times New Roman" w:hAnsi="Times New Roman"/>
          <w:sz w:val="20"/>
        </w:rPr>
        <w:t xml:space="preserve">” has the meaning assigned to such term in the definition of “Division”. </w:t>
      </w:r>
    </w:p>
    <w:p>
      <w:pPr>
        <w:pStyle w:val="TextBody"/>
        <w:bidi w:val="0"/>
        <w:spacing w:before="240" w:after="0"/>
        <w:jc w:val="left"/>
        <w:rPr/>
      </w:pPr>
      <w:r>
        <w:rPr/>
        <w:t>“</w:t>
      </w:r>
      <w:r>
        <w:rPr>
          <w:rFonts w:ascii="Times New Roman" w:hAnsi="Times New Roman"/>
          <w:sz w:val="20"/>
          <w:u w:val="single"/>
        </w:rPr>
        <w:t>Division</w:t>
      </w:r>
      <w:r>
        <w:rPr>
          <w:rFonts w:ascii="Times New Roman" w:hAnsi="Times New Roman"/>
          <w:sz w:val="20"/>
        </w:rPr>
        <w:t>” means the division of assets, liabilities and/or obligations of a Person (the “</w:t>
      </w:r>
      <w:r>
        <w:rPr>
          <w:rFonts w:ascii="Times New Roman" w:hAnsi="Times New Roman"/>
          <w:sz w:val="20"/>
          <w:u w:val="single"/>
        </w:rPr>
        <w:t>Dividing Person</w:t>
      </w:r>
      <w:r>
        <w:rPr>
          <w:rFonts w:ascii="Times New Roman" w:hAnsi="Times New Roman"/>
          <w:sz w:val="20"/>
        </w:rPr>
        <w:t xml:space="preserve">”) among two or more Persons (whether pursuant to a “plan of division” or similar arrangement), which may or may not include the Dividing Person and pursuant to which the Dividing Person may or may not survive.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on the relevant date of determination) for the purchase of Dollars with such other currency.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U.S.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(or, to the extent that the United Kingdom is not an EEA Member Country, the United Kingdom), which is subject to the supervision of a Resolution Authority, (b) any entity established in an EEA Member Country (or, to the extent that the United Kingdom is not an EEA Member Country, the United Kingdom),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(or, to the extent that the United Kingdom is not an EEA Member Country, the United Kingdom), which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 any Lender, (b) any commercial bank, insurance company, or finance company, financial institution, any fund that invests in loans or any other “accredited investor” (as defined in Regulation D of the Securities Act), (c) any Affiliate of any Lender and (d) any Approved Fund of any Lender; </w:t>
      </w:r>
      <w:r>
        <w:rPr>
          <w:rFonts w:ascii="Times New Roman" w:hAnsi="Times New Roman"/>
          <w:sz w:val="20"/>
          <w:u w:val="single"/>
        </w:rPr>
        <w:t>provided</w:t>
      </w:r>
      <w:r>
        <w:rPr>
          <w:rFonts w:ascii="Times New Roman" w:hAnsi="Times New Roman"/>
          <w:sz w:val="20"/>
        </w:rPr>
        <w:t xml:space="preserve">, that in any event, “Eligible Assignee” shall not include (i) any natural person (or a holding company, investment vehicle or trust for, or owned and operated by or for the primary benefit of one or more natural persons), (ii) any Disqualified Institution, (iii) any Defaulting Lender or (iv) Holdings, the Borrower or any of their Affiliates.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ambient air, indoor air, surface water, groundwater, drinking water, wastewater, stormwater, dredged material, sediment, soil, land surface, subsurface strata, natural resources such as wetlands and flora and fauna. </w:t>
      </w:r>
    </w:p>
    <w:p>
      <w:pPr>
        <w:pStyle w:val="TextBody"/>
        <w:bidi w:val="0"/>
        <w:spacing w:before="240" w:after="0"/>
        <w:jc w:val="left"/>
        <w:rPr/>
      </w:pPr>
      <w:r>
        <w:rPr/>
        <w:t>“</w:t>
      </w:r>
      <w:r>
        <w:rPr>
          <w:rFonts w:ascii="Times New Roman" w:hAnsi="Times New Roman"/>
          <w:sz w:val="20"/>
          <w:u w:val="single"/>
        </w:rPr>
        <w:t>Environmental Claim</w:t>
      </w:r>
      <w:r>
        <w:rPr>
          <w:rFonts w:ascii="Times New Roman" w:hAnsi="Times New Roman"/>
          <w:sz w:val="20"/>
        </w:rPr>
        <w:t xml:space="preserve">”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Environmental Liability, including any investigation, enforcement, cleanup, removal, response, remedial or other actions or damages pursuant to Environmental Law; or (c) in connection with any actual or alleged damage, injury, threat or harm to the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any and all current or future applicable foreign or domestic, federal or state, provincial or territorial (or any subdivision of any of them), statutes, ordinances, orders, rules, regulations, judgments, Governmental Authorizations, or any other applicable and legally binding requirements of Governmental Authorities and the common law relating to pollution or the protection of the Environment or, to the extent relating to exposure to Hazardous Materials, human health.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investigation,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Equipment Sale and Leaseback Transaction</w:t>
      </w:r>
      <w:r>
        <w:rPr>
          <w:rFonts w:ascii="Times New Roman" w:hAnsi="Times New Roman"/>
          <w:sz w:val="20"/>
        </w:rPr>
        <w:t xml:space="preserve">” means any equipment financing or similar arrangement that is not prohibited by </w:t>
      </w:r>
      <w:r>
        <w:rPr>
          <w:rFonts w:ascii="Times New Roman" w:hAnsi="Times New Roman"/>
          <w:sz w:val="20"/>
          <w:u w:val="single"/>
        </w:rPr>
        <w:t>Sections 6.01</w:t>
      </w:r>
      <w:r>
        <w:rPr>
          <w:rFonts w:ascii="Times New Roman" w:hAnsi="Times New Roman"/>
          <w:sz w:val="20"/>
        </w:rPr>
        <w:t xml:space="preserve"> and/or </w:t>
      </w:r>
      <w:r>
        <w:rPr>
          <w:rFonts w:ascii="Times New Roman" w:hAnsi="Times New Roman"/>
          <w:sz w:val="20"/>
          <w:u w:val="single"/>
        </w:rPr>
        <w:t>6.02</w:t>
      </w:r>
      <w:r>
        <w:rPr>
          <w:rFonts w:ascii="Times New Roman" w:hAnsi="Times New Roman"/>
          <w:sz w:val="20"/>
        </w:rPr>
        <w:t xml:space="preserve"> hereof entered into by the Borrower and/or any Subsidiary in the ordinary course of business with any Person that requires the Borrower and/or any Subsidiary to purchase the equipment subject to such financing or similar arrangement, sell such equipment to the relevant financing provider and thereafter rent or lease such equipment from the relevant financing provider.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is under common control with the Borrower or any of its Subsidiaries and is treated as a single employer within the meaning of Section 414 of the Code. </w:t>
      </w:r>
    </w:p>
    <w:p>
      <w:pPr>
        <w:pStyle w:val="TextBody"/>
        <w:bidi w:val="0"/>
        <w:spacing w:before="240" w:after="0"/>
        <w:jc w:val="left"/>
        <w:rPr/>
      </w:pPr>
      <w:r>
        <w:rPr/>
        <w:t>“</w:t>
      </w:r>
      <w:r>
        <w:rPr>
          <w:rFonts w:ascii="Times New Roman" w:hAnsi="Times New Roman"/>
          <w:sz w:val="20"/>
          <w:u w:val="single"/>
        </w:rPr>
        <w:t>ERISA Event</w:t>
      </w:r>
      <w:r>
        <w:rPr>
          <w:rFonts w:ascii="Times New Roman" w:hAnsi="Times New Roman"/>
          <w:sz w:val="20"/>
        </w:rPr>
        <w:t xml:space="preserve">” means (a) a Reportable Event with respect to a Pension Plan; (b) a withdrawal by the Borrower or any of its Subsidiaries or any ERISA Affiliate from a Pension Plan subject to Section 4063 of ERISA during a plan year in which it was a substantial employer (as defined in Section 4001(a)(2) of ERISA) or a cessation of operations at any facility of the Borrower or any of its Subsidiaries or any ERISA Affiliate as described in Section 4062(e) of ERISA, in each case, resulting in liability pursuant to Section 4063 of ERISA; (c) a complete or partial withdrawal by the Borrower or any of its Subsidiaries or any ERISA Affiliate from a Multiemployer Plan resulting in the imposition of Withdrawal Liability on the Borrower or any of its Subsidiaries or any ERISA Affiliate, the receipt by the Borrower or any Subsidiary or any ERISA Affiliate of written notification concerning the imposition of Withdrawal Liability on the Borrower or any Subsidiary or any ERISA Affiliate with respect to any Multiemployer Plan or written notification that a Multiemployer Plan is “insolvent” within the meaning of Section 4245 of ERISA or is in “endangered” or “critical status” within the meaning of Section 432 of the Code or Section 305 of ERISA; (d) the filing of a notice of intent to terminate a Pension Plan under Section 4041(c) of ERISA, the treatment of a Pension Plan amendment as a termination under Section 4041(c) of ERISA or the commencement of proceedings by the PBGC to terminate a Pension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the Borrower or any of its Subsidiaries or any ERISA Affiliate, with respect to the termination of any Pension Plan; or (g) the imposition of a Lien under Section 303(k) of ERISA with respect to any Pension Plan.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assigned to such term in </w:t>
      </w:r>
      <w:r>
        <w:rPr>
          <w:rFonts w:ascii="Times New Roman" w:hAnsi="Times New Roman"/>
          <w:sz w:val="20"/>
          <w:u w:val="single"/>
        </w:rPr>
        <w:t>Section 8.14(a)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Deficiency Assignment</w:t>
      </w:r>
      <w:r>
        <w:rPr>
          <w:rFonts w:ascii="Times New Roman" w:hAnsi="Times New Roman"/>
          <w:sz w:val="20"/>
        </w:rPr>
        <w:t xml:space="preserve">” has the meaning assigned to such term in </w:t>
      </w:r>
      <w:r>
        <w:rPr>
          <w:rFonts w:ascii="Times New Roman" w:hAnsi="Times New Roman"/>
          <w:sz w:val="20"/>
          <w:u w:val="single"/>
        </w:rPr>
        <w:t>Section 8.14(d)(i)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Erroneous Payment Impacted Class</w:t>
      </w:r>
      <w:r>
        <w:rPr>
          <w:rFonts w:ascii="Times New Roman" w:hAnsi="Times New Roman"/>
          <w:sz w:val="20"/>
        </w:rPr>
        <w:t xml:space="preserve">” has the meaning assigned to such term in </w:t>
      </w:r>
      <w:r>
        <w:rPr>
          <w:rFonts w:ascii="Times New Roman" w:hAnsi="Times New Roman"/>
          <w:sz w:val="20"/>
          <w:u w:val="single"/>
        </w:rPr>
        <w:t>Section 8.14(d)(i)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Return Deficiency</w:t>
      </w:r>
      <w:r>
        <w:rPr>
          <w:rFonts w:ascii="Times New Roman" w:hAnsi="Times New Roman"/>
          <w:sz w:val="20"/>
        </w:rPr>
        <w:t xml:space="preserve">” has the meaning assigned to such term in </w:t>
      </w:r>
      <w:r>
        <w:rPr>
          <w:rFonts w:ascii="Times New Roman" w:hAnsi="Times New Roman"/>
          <w:sz w:val="20"/>
          <w:u w:val="single"/>
        </w:rPr>
        <w:t>Section 8.14(d)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has the meaning assigned to such term in </w:t>
      </w:r>
      <w:r>
        <w:rPr>
          <w:rFonts w:ascii="Times New Roman" w:hAnsi="Times New Roman"/>
          <w:sz w:val="20"/>
          <w:u w:val="single"/>
        </w:rPr>
        <w:t>Section 8.14(f)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and the rules and regulations of the SEC promulgated thereunder. </w:t>
      </w:r>
    </w:p>
    <w:p>
      <w:pPr>
        <w:pStyle w:val="TextBody"/>
        <w:bidi w:val="0"/>
        <w:spacing w:before="240" w:after="0"/>
        <w:jc w:val="left"/>
        <w:rPr/>
      </w:pPr>
      <w:r>
        <w:rPr/>
        <w:t>“</w:t>
      </w:r>
      <w:r>
        <w:rPr>
          <w:rFonts w:ascii="Times New Roman" w:hAnsi="Times New Roman"/>
          <w:sz w:val="20"/>
          <w:u w:val="single"/>
        </w:rPr>
        <w:t>Excluded Assets</w:t>
      </w:r>
      <w:r>
        <w:rPr>
          <w:rFonts w:ascii="Times New Roman" w:hAnsi="Times New Roman"/>
          <w:sz w:val="20"/>
        </w:rPr>
        <w:t xml:space="preserve">” means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asset the grant or perfection of a security interest in which would (i) be prohibited by enforceable anti-assignment provisions set forth in any contract that is permitted or otherwise not prohibited by the terms of this Agreement and is binding on such asset at the time of its acquisition and not incurred in contemplation thereof (other than assets subject to Capital Leases and purchase money financings), (ii) violate (after giving effect to applicable anti-assignment provisions of the UCC or other applicable Requirements of Law)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or (iii) trigger termination of any contract relating to such asset that is permitted or otherwise not prohibited by the terms of this Agreement pursuant to any “change of control” or similar provision (to the extent such contract is binding on such asset at the time of its acquisition and not incurred in contemplation thereof); it being understood that the term “Excluded Asset” shall not include proceeds or receivables arising out of any contract described in this </w:t>
      </w:r>
      <w:r>
        <w:rPr>
          <w:rFonts w:ascii="Times New Roman" w:hAnsi="Times New Roman"/>
          <w:sz w:val="20"/>
          <w:u w:val="single"/>
        </w:rPr>
        <w:t>clause (a)</w:t>
      </w:r>
      <w:r>
        <w:rPr>
          <w:rFonts w:ascii="Times New Roman" w:hAnsi="Times New Roman"/>
          <w:sz w:val="20"/>
        </w:rPr>
        <w:t xml:space="preserve"> to the extent that the assignment of such proceeds or receivables is expressly deemed to be effective under the UCC or other applicable Requirements of Law notwithstanding the relevant prohibition, violation or termination right, </w:t>
      </w:r>
    </w:p>
    <w:p>
      <w:pPr>
        <w:pStyle w:val="TextBody"/>
        <w:bidi w:val="0"/>
        <w:spacing w:before="240" w:after="0"/>
        <w:jc w:val="left"/>
        <w:rPr>
          <w:rFonts w:ascii="Times New Roman" w:hAnsi="Times New Roman"/>
          <w:sz w:val="20"/>
        </w:rPr>
      </w:pPr>
      <w:r>
        <w:rPr>
          <w:rFonts w:ascii="Times New Roman" w:hAnsi="Times New Roman"/>
          <w:sz w:val="20"/>
        </w:rPr>
        <w:t xml:space="preserve">(b) the Capital Stock of any (i) Captive Insurance Subsidiary, (ii) any Person that is a not a Wholly-Owned Subsidiary of any Loan Party, (iii) not-for-profit subsidiary, (iv) Immaterial Subsidiary (other than to the extent such Immaterial Subsidiary is or becomes a Loan Party), (v) Receivables Subsidiary and/or (vi) Project Development Subsidiary the pledge of which is not permitted by the terms of any Indebtedness of such Project Development Subsidiary and/or any tax equity structure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(c) any intent-to-use (or similar) Trademark application prior to the filing and acceptance by the U.S. Patent and Trademark Office or other applicable Governmental Authority of a “Statement of Use”, “Declaration of Use”, “Amendment to Allege Use” or similar filing with respect thereto, only to the extent, if any, that, and solely during the period if any, in which, the grant of a security interest therein may impair the validity or enforceability of such intent-to-use (or similar) Trademark application (or any Trademark registration resulting therefrom) under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(d) any asset (including Capital Stock), the grant or perfection of a security interest in which would (i) be prohibited under applicable Requirements of Law (including rules and regulations of any Governmental Authority) or (ii) require any governmental or regulatory consent, approval, license or authorization, to the extent such consent, approval, license or authorization has not been obtained (it being understood and agreed that no Loan Party shall have any obligation to procure any such consent, approval, license or authorization), except to the extent such requirement or prohibition would be rendered ineffective under the UCC or other applicable Requirements of Law notwithstanding such requirement or prohibition; it being understood that the term “Excluded Asset” shall not include proceeds or receivables arising out of any asset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to the extent that the assignment of such proceeds or receivables is effective under the UCC or other applicable Requirements of Law notwithstanding the relevant requirement or prohibition,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 any leasehold Real Estate Asset, (ii) except to the extent a security interest therein can be perfected by the filing of a UCC-1 financing statement (or equivalent), any other leasehold interests, (iii) any owned Real Estate Asset that (A) is not a Material Real Estate Asset or (B) is or becomes located in a Special Flood Hazard Area, </w:t>
      </w:r>
    </w:p>
    <w:p>
      <w:pPr>
        <w:pStyle w:val="TextBody"/>
        <w:bidi w:val="0"/>
        <w:spacing w:before="240" w:after="0"/>
        <w:jc w:val="left"/>
        <w:rPr>
          <w:rFonts w:ascii="Times New Roman" w:hAnsi="Times New Roman"/>
          <w:sz w:val="20"/>
        </w:rPr>
      </w:pPr>
      <w:r>
        <w:rPr>
          <w:rFonts w:ascii="Times New Roman" w:hAnsi="Times New Roman"/>
          <w:sz w:val="20"/>
        </w:rPr>
        <w:t xml:space="preserve">(f) motor vehicles and other assets subject to certificates of title, except to the extent the security interest therein may be perfected by filing of a financing statement under the UCC of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(g) any Margin Stock, </w:t>
      </w:r>
    </w:p>
    <w:p>
      <w:pPr>
        <w:pStyle w:val="TextBody"/>
        <w:bidi w:val="0"/>
        <w:spacing w:before="240" w:after="0"/>
        <w:jc w:val="left"/>
        <w:rPr>
          <w:rFonts w:ascii="Times New Roman" w:hAnsi="Times New Roman"/>
          <w:sz w:val="20"/>
        </w:rPr>
      </w:pPr>
      <w:r>
        <w:rPr>
          <w:rFonts w:ascii="Times New Roman" w:hAnsi="Times New Roman"/>
          <w:sz w:val="20"/>
        </w:rPr>
        <w:t xml:space="preserve">(h) the Capital Stock of any Non-U.S. Subsidiary and any Non-U.S. Subsidiary Holdco (in each case, any Subsidiary thereof), other than 65% of the voting Capital Stock and 100% of the non-voting Capital Stock of any first-tier Non-U.S. Subsidiary and any first-tier Non-U.S. Subsidiary Holdco, </w:t>
      </w:r>
    </w:p>
    <w:p>
      <w:pPr>
        <w:pStyle w:val="TextBody"/>
        <w:bidi w:val="0"/>
        <w:spacing w:before="240" w:after="0"/>
        <w:jc w:val="left"/>
        <w:rPr>
          <w:rFonts w:ascii="Times New Roman" w:hAnsi="Times New Roman"/>
          <w:sz w:val="20"/>
        </w:rPr>
      </w:pPr>
      <w:r>
        <w:rPr>
          <w:rFonts w:ascii="Times New Roman" w:hAnsi="Times New Roman"/>
          <w:sz w:val="20"/>
        </w:rPr>
        <w:t xml:space="preserve">(i) any asset of the kind described in the definition of “Permitted Receivables Facility” that is subject to any Permitted Receivables Facility, </w:t>
      </w:r>
    </w:p>
    <w:p>
      <w:pPr>
        <w:pStyle w:val="TextBody"/>
        <w:bidi w:val="0"/>
        <w:spacing w:before="240" w:after="0"/>
        <w:jc w:val="left"/>
        <w:rPr>
          <w:rFonts w:ascii="Times New Roman" w:hAnsi="Times New Roman"/>
          <w:sz w:val="20"/>
        </w:rPr>
      </w:pPr>
      <w:r>
        <w:rPr>
          <w:rFonts w:ascii="Times New Roman" w:hAnsi="Times New Roman"/>
          <w:sz w:val="20"/>
        </w:rPr>
        <w:t xml:space="preserve">(j) any Commercial Tort Claims with a value (as estimated by the Borrower in good faith) of less than $5,000,000, </w:t>
      </w:r>
    </w:p>
    <w:p>
      <w:pPr>
        <w:pStyle w:val="TextBody"/>
        <w:bidi w:val="0"/>
        <w:spacing w:before="240" w:after="0"/>
        <w:jc w:val="left"/>
        <w:rPr>
          <w:rFonts w:ascii="Times New Roman" w:hAnsi="Times New Roman"/>
          <w:sz w:val="20"/>
        </w:rPr>
      </w:pPr>
      <w:r>
        <w:rPr>
          <w:rFonts w:ascii="Times New Roman" w:hAnsi="Times New Roman"/>
          <w:sz w:val="20"/>
        </w:rPr>
        <w:t xml:space="preserve">(k) for the avoidance of doubt, any Tax and Trust Funds, </w:t>
      </w:r>
    </w:p>
    <w:p>
      <w:pPr>
        <w:pStyle w:val="TextBody"/>
        <w:bidi w:val="0"/>
        <w:spacing w:before="240" w:after="0"/>
        <w:jc w:val="left"/>
        <w:rPr>
          <w:rFonts w:ascii="Times New Roman" w:hAnsi="Times New Roman"/>
          <w:sz w:val="20"/>
        </w:rPr>
      </w:pPr>
      <w:r>
        <w:rPr>
          <w:rFonts w:ascii="Times New Roman" w:hAnsi="Times New Roman"/>
          <w:sz w:val="20"/>
        </w:rPr>
        <w:t xml:space="preserve">(l) any asset subject to a purchase money security interest, Capital Lease obligation or similar arrangement, in each case, that is permitted or otherwise not prohibited by the terms of this Agreement if the grant of a security interest therein would (i) violate or invalidate such lease, license or agreement, (ii) result in a loss or diminishment of rights granted to any Loan Party thereunder with respect to any IP Rights or (iii) create a right of termination in favor of any other party thereto (other than Holdings, the Borrower or any Subsidiary of the Borrower) after giving effect to the applicable anti-assignment provisions of the UCC or other applicable Requirements of Law; it being understood that the term “Excluded Asset” shall not include proceeds or receivables arising out of any asset described in this </w:t>
      </w:r>
      <w:r>
        <w:rPr>
          <w:rFonts w:ascii="Times New Roman" w:hAnsi="Times New Roman"/>
          <w:sz w:val="20"/>
          <w:u w:val="single"/>
        </w:rPr>
        <w:t>clause (l)</w:t>
      </w:r>
      <w:r>
        <w:rPr>
          <w:rFonts w:ascii="Times New Roman" w:hAnsi="Times New Roman"/>
          <w:sz w:val="20"/>
        </w:rPr>
        <w:t xml:space="preserve"> to the extent that the assignment of such proceeds or receivables is expressly deemed to be effective under the UCC or other applicable Requirements of Law notwithstanding the relevant violation or invalidation, </w:t>
      </w:r>
    </w:p>
    <w:p>
      <w:pPr>
        <w:pStyle w:val="TextBody"/>
        <w:bidi w:val="0"/>
        <w:spacing w:before="240" w:after="0"/>
        <w:jc w:val="left"/>
        <w:rPr>
          <w:rFonts w:ascii="Times New Roman" w:hAnsi="Times New Roman"/>
          <w:sz w:val="20"/>
        </w:rPr>
      </w:pPr>
      <w:r>
        <w:rPr>
          <w:rFonts w:ascii="Times New Roman" w:hAnsi="Times New Roman"/>
          <w:sz w:val="20"/>
        </w:rPr>
        <w:t xml:space="preserve">(m) any asset with respect to which the Administrative Agent and the Borrower have reasonably determined that the cost, burden, difficulty or consequence (including (x) any mortgage, stamp, intangibles or other tax or expenses relating to any applicable security interest and (y) any effect on the ability of the Borrower and its Subsidiaries to conduct their operations and business in the ordinary course of business) of obtaining or perfecting a security interest therein outweighs, or is excessive in light of, the practical benefit of a security interest to the relevant Secured Parties afforded thereby; it being understood that the maximum secured amount may be limited to minimize stamp duty, notarization, registration or other applicable fees, taxes and duties where the benefit to the Lenders of increasing the secured amount is disproportionate to the level of such fee, taxes and duties), </w:t>
      </w:r>
    </w:p>
    <w:p>
      <w:pPr>
        <w:pStyle w:val="TextBody"/>
        <w:bidi w:val="0"/>
        <w:spacing w:before="240" w:after="0"/>
        <w:jc w:val="left"/>
        <w:rPr>
          <w:rFonts w:ascii="Times New Roman" w:hAnsi="Times New Roman"/>
          <w:sz w:val="20"/>
        </w:rPr>
      </w:pPr>
      <w:r>
        <w:rPr>
          <w:rFonts w:ascii="Times New Roman" w:hAnsi="Times New Roman"/>
          <w:sz w:val="20"/>
        </w:rPr>
        <w:t xml:space="preserve">(n) any assets to the extent the grant or perfection of a security interest in respect of such assets would be reasonably likely to result in materially adverse tax consequences (other than </w:t>
      </w:r>
      <w:r>
        <w:rPr>
          <w:rFonts w:ascii="Times New Roman" w:hAnsi="Times New Roman"/>
          <w:i/>
          <w:sz w:val="20"/>
        </w:rPr>
        <w:t>de minimis</w:t>
      </w:r>
      <w:r>
        <w:rPr>
          <w:rFonts w:ascii="Times New Roman" w:hAnsi="Times New Roman"/>
          <w:sz w:val="20"/>
        </w:rPr>
        <w:t xml:space="preserve"> tax consequences) as determined by the Borrower in good faith (including as a result of the operation of Section 956 of the Code or any similar Requirements of Law in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(o) any assets of a Subsidiary acquired by any Loan Party that, at the time of the relevant acquisition or similar Investment, is an obligor in respect of assumed Indebtedness permitted by </w:t>
      </w:r>
      <w:r>
        <w:rPr>
          <w:rFonts w:ascii="Times New Roman" w:hAnsi="Times New Roman"/>
          <w:sz w:val="20"/>
          <w:u w:val="single"/>
        </w:rPr>
        <w:t>Section 6.01</w:t>
      </w:r>
      <w:r>
        <w:rPr>
          <w:rFonts w:ascii="Times New Roman" w:hAnsi="Times New Roman"/>
          <w:sz w:val="20"/>
        </w:rPr>
        <w:t xml:space="preserve"> to the extent (and for so long as) the documentation governing the applicable assumed Indebtedness prohibits such Subsidiary from pledging such assets to secure the Secured Obligations (which prohibition was not implemented in contemplation of such Subsidiary becoming a Subsidiary in order to avoid the requirement of pledging such assets as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any Deposit Account, securities account and/or similar account (including any securities entitlement), escrow, fiduciary and/or trust account, payroll and other employee wage and benefit accounts, tax accounts (including, sales tax accounts), any cash collateral account, any Cash and Cash Equivalents and any funds and other property held or maintained in any such accounts (other than, in each case, proceeds of other Collateral as to which perfection may be accomplished by filing a UCC-1 financing statement, automatically in accordance with the UCC), in each case, except to the extent perfected by the filing of a UCC financing statement, </w:t>
      </w:r>
    </w:p>
    <w:p>
      <w:pPr>
        <w:pStyle w:val="TextBody"/>
        <w:bidi w:val="0"/>
        <w:spacing w:before="240" w:after="0"/>
        <w:jc w:val="left"/>
        <w:rPr>
          <w:rFonts w:ascii="Times New Roman" w:hAnsi="Times New Roman"/>
          <w:sz w:val="20"/>
        </w:rPr>
      </w:pPr>
      <w:r>
        <w:rPr>
          <w:rFonts w:ascii="Times New Roman" w:hAnsi="Times New Roman"/>
          <w:sz w:val="20"/>
        </w:rPr>
        <w:t xml:space="preserve">(q) any governmental license or state or local franchise, charter and/or authorization, to the extent the grant of a security interest in such license, franchise, charter and/or authorization is prohibited or restricted thereby after giving effect to the applicable anti-assignment provisions of the UCC, other than any proceeds or receivable thereof the assignment of which is expressly deemed effective under the UCC, </w:t>
      </w:r>
    </w:p>
    <w:p>
      <w:pPr>
        <w:pStyle w:val="TextBody"/>
        <w:bidi w:val="0"/>
        <w:spacing w:before="240" w:after="0"/>
        <w:jc w:val="left"/>
        <w:rPr>
          <w:rFonts w:ascii="Times New Roman" w:hAnsi="Times New Roman"/>
          <w:sz w:val="20"/>
        </w:rPr>
      </w:pPr>
      <w:r>
        <w:rPr>
          <w:rFonts w:ascii="Times New Roman" w:hAnsi="Times New Roman"/>
          <w:sz w:val="20"/>
        </w:rPr>
        <w:t xml:space="preserve">(r) any Letter-of-Credit Right that does not constitute a Supporting Obligation, except to the extent the security interest therein may be perfected by filing of a financing statement under the UCC of any applicable jurisdiction or equivalent under applicable Requirement of Law with a value of less than $5,000,000, and/or </w:t>
      </w:r>
    </w:p>
    <w:p>
      <w:pPr>
        <w:pStyle w:val="TextBody"/>
        <w:bidi w:val="0"/>
        <w:spacing w:before="240" w:after="0"/>
        <w:jc w:val="left"/>
        <w:rPr>
          <w:rFonts w:ascii="Times New Roman" w:hAnsi="Times New Roman"/>
          <w:sz w:val="20"/>
        </w:rPr>
      </w:pPr>
      <w:r>
        <w:rPr>
          <w:rFonts w:ascii="Times New Roman" w:hAnsi="Times New Roman"/>
          <w:sz w:val="20"/>
        </w:rPr>
        <w:t xml:space="preserve">(s) aircraft, airframes, aircraft engines, helicopters and equipment and/or other assets that are affixed to, or otherwise constitute, such aircraft, airframes, aircraft engines and/or helicopters.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Subsidiary that is not a direct or indirect Wholly-Owned Subsidiary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any Immaterial Subsidiary, </w:t>
      </w:r>
    </w:p>
    <w:p>
      <w:pPr>
        <w:pStyle w:val="TextBody"/>
        <w:bidi w:val="0"/>
        <w:spacing w:before="240" w:after="0"/>
        <w:jc w:val="left"/>
        <w:rPr>
          <w:rFonts w:ascii="Times New Roman" w:hAnsi="Times New Roman"/>
          <w:sz w:val="20"/>
        </w:rPr>
      </w:pPr>
      <w:r>
        <w:rPr>
          <w:rFonts w:ascii="Times New Roman" w:hAnsi="Times New Roman"/>
          <w:sz w:val="20"/>
        </w:rPr>
        <w:t xml:space="preserve">(c) any Subsidiary (i) that is prohibited or restricted from providing a Loan Guaranty by (A) any Requirement of Law or (B) any Contractual Obligation that exists on the Closing Date or at the time such Subsidiary becomes a Subsidiary (which Contractual Obligation was not entered into in contemplation of such Subsidiary becoming a Subsidiary (including pursuant to assumed Indebtedness)), (ii) that would require a governmental (including regulatory) or third party consent, approval, license or authorization (including any regulatory consent, approval, license or authorization) to provide a Loan Guaranty (in each case, at the time such Subsidiary became a Subsidiary) or (iii) with respect to which the provision of a Loan Guaranty would reasonably be expected to result in material adverse tax consequences to Holdings, the Borrower, any direct or indirect owner of the Borrower and/or any of its direct or indirect Subsidiaries, in each case, as reasonably determined by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any not-for-profit subsidiary, </w:t>
      </w:r>
    </w:p>
    <w:p>
      <w:pPr>
        <w:pStyle w:val="TextBody"/>
        <w:bidi w:val="0"/>
        <w:spacing w:before="240" w:after="0"/>
        <w:jc w:val="left"/>
        <w:rPr>
          <w:rFonts w:ascii="Times New Roman" w:hAnsi="Times New Roman"/>
          <w:sz w:val="20"/>
        </w:rPr>
      </w:pPr>
      <w:r>
        <w:rPr>
          <w:rFonts w:ascii="Times New Roman" w:hAnsi="Times New Roman"/>
          <w:sz w:val="20"/>
        </w:rPr>
        <w:t xml:space="preserve">(e) any Captive Insurance Subsidiary, </w:t>
      </w:r>
    </w:p>
    <w:p>
      <w:pPr>
        <w:pStyle w:val="TextBody"/>
        <w:bidi w:val="0"/>
        <w:spacing w:before="240" w:after="0"/>
        <w:jc w:val="left"/>
        <w:rPr>
          <w:rFonts w:ascii="Times New Roman" w:hAnsi="Times New Roman"/>
          <w:sz w:val="20"/>
        </w:rPr>
      </w:pPr>
      <w:r>
        <w:rPr>
          <w:rFonts w:ascii="Times New Roman" w:hAnsi="Times New Roman"/>
          <w:sz w:val="20"/>
        </w:rPr>
        <w:t xml:space="preserve">(f) any special purpose entity used for any permitted securitization or any Receivables Subsidiary, </w:t>
      </w:r>
    </w:p>
    <w:p>
      <w:pPr>
        <w:pStyle w:val="TextBody"/>
        <w:bidi w:val="0"/>
        <w:spacing w:before="240" w:after="0"/>
        <w:jc w:val="left"/>
        <w:rPr>
          <w:rFonts w:ascii="Times New Roman" w:hAnsi="Times New Roman"/>
          <w:sz w:val="20"/>
        </w:rPr>
      </w:pPr>
      <w:r>
        <w:rPr>
          <w:rFonts w:ascii="Times New Roman" w:hAnsi="Times New Roman"/>
          <w:sz w:val="20"/>
        </w:rPr>
        <w:t xml:space="preserve">(g) any Non-U.S. Subsidiary or Subsidiary thereof, </w:t>
      </w:r>
    </w:p>
    <w:p>
      <w:pPr>
        <w:pStyle w:val="TextBody"/>
        <w:bidi w:val="0"/>
        <w:spacing w:before="240" w:after="0"/>
        <w:jc w:val="left"/>
        <w:rPr>
          <w:rFonts w:ascii="Times New Roman" w:hAnsi="Times New Roman"/>
          <w:sz w:val="20"/>
        </w:rPr>
      </w:pPr>
      <w:r>
        <w:rPr>
          <w:rFonts w:ascii="Times New Roman" w:hAnsi="Times New Roman"/>
          <w:sz w:val="20"/>
        </w:rPr>
        <w:t xml:space="preserve">(h) any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(i) (i) any Non-U.S. Subsidiary Holdco and/or (ii) any U.S. Subsidiary that is a direct or indirect subsidiary of any Non-U.S. Subsidiary that is a Non-U.S. Subsidiary Holdco, </w:t>
      </w:r>
    </w:p>
    <w:p>
      <w:pPr>
        <w:pStyle w:val="TextBody"/>
        <w:bidi w:val="0"/>
        <w:spacing w:before="240" w:after="0"/>
        <w:jc w:val="left"/>
        <w:rPr>
          <w:rFonts w:ascii="Times New Roman" w:hAnsi="Times New Roman"/>
          <w:sz w:val="20"/>
        </w:rPr>
      </w:pPr>
      <w:r>
        <w:rPr>
          <w:rFonts w:ascii="Times New Roman" w:hAnsi="Times New Roman"/>
          <w:sz w:val="20"/>
        </w:rPr>
        <w:t xml:space="preserve">(j) any Subsidiary acquired by the Borrower and/or any Subsidiary thereof that, at the time of the relevant acquisition, is an obligor in respect of assumed Indebtedness permitted by </w:t>
      </w:r>
      <w:r>
        <w:rPr>
          <w:rFonts w:ascii="Times New Roman" w:hAnsi="Times New Roman"/>
          <w:sz w:val="20"/>
          <w:u w:val="single"/>
        </w:rPr>
        <w:t>Section 6.01</w:t>
      </w:r>
      <w:r>
        <w:rPr>
          <w:rFonts w:ascii="Times New Roman" w:hAnsi="Times New Roman"/>
          <w:sz w:val="20"/>
        </w:rPr>
        <w:t xml:space="preserve"> to the extent (and for so long as) the documentation governing the applicable assumed Indebtedness prohibits such Subsidiary from providing a Loan Guaranty (which prohibition was not implemented in contemplation of such Subsidiary becoming a Subsidiary in order to avoid the requirement of providing a Loan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any other Subsidiary with respect to which, in the reasonable judgment of the Administrative Agent and the Borrower, the burden or cost of providing a Loan Guaranty outweighs, or would be excessive in light of, the practical benefits afforded thereby, </w:t>
      </w:r>
    </w:p>
    <w:p>
      <w:pPr>
        <w:pStyle w:val="TextBody"/>
        <w:bidi w:val="0"/>
        <w:spacing w:before="240" w:after="0"/>
        <w:jc w:val="left"/>
        <w:rPr>
          <w:rFonts w:ascii="Times New Roman" w:hAnsi="Times New Roman"/>
          <w:sz w:val="20"/>
        </w:rPr>
      </w:pPr>
      <w:r>
        <w:rPr>
          <w:rFonts w:ascii="Times New Roman" w:hAnsi="Times New Roman"/>
          <w:sz w:val="20"/>
        </w:rPr>
        <w:t xml:space="preserve">(l) solely in the case of any obligation under any Secured Hedging Obligations that constitutes a “swap” within the meaning of Section 1(a)(47) of the Commodity Exchange Act, any Subsidiary that is not an “Eligible Contract Participant” (as defined under the Commodity Exchange Act), and/or </w:t>
      </w:r>
    </w:p>
    <w:p>
      <w:pPr>
        <w:pStyle w:val="TextBody"/>
        <w:bidi w:val="0"/>
        <w:spacing w:before="240" w:after="0"/>
        <w:jc w:val="left"/>
        <w:rPr>
          <w:rFonts w:ascii="Times New Roman" w:hAnsi="Times New Roman"/>
          <w:sz w:val="20"/>
        </w:rPr>
      </w:pPr>
      <w:r>
        <w:rPr>
          <w:rFonts w:ascii="Times New Roman" w:hAnsi="Times New Roman"/>
          <w:sz w:val="20"/>
        </w:rPr>
        <w:t xml:space="preserve">(m) any Project Development Subsidiary (i) that is prohibited or restricted from providing a Loan Guaranty by (A) any Requirement of Law or (B) any Contractual Obligation, including the terms of the documentation governing the Indebtedness of such Project Development Subsidiary and/or (ii) that would require a governmental (including regulatory) or third party consent, approval, license or authorization (including any regulatory consent, approval, license or authorization to provide a Loan Guaranty.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Loan Guarantor, any Swap Obligation if, 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(a) by virtue of such Loan Guarantor’s failure for any reason to constitute an “eligible contract participant” as defined in the Commodity Exchange Act and the regulations thereunder (determined after giving effect to Section 3.20 of the Loan Guaranty and any other “keepwell”, support or other agreement for the benefit of such Loan Guarantor) at the time the Loan Guaranty of such Loan Guarantor or the grant of such security interest becomes effective with respect to such Swap Obligation or (b) in the case of any Swap Obligation that is subject to a clearing requirement pursuant to section 2(h) of the Commodity Exchange Act, because such Loan Guarantor is a “financial entity,” as defined in section 2(h)(7)(C) of the Commodity Exchange Act, at the time the guarantee provided by (or grant of such security interest by, as applicable) such Loan Guarantor becomes or would become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or required to be withheld or deducted from a payment to, the Administrative Agent, any Lender, or any other recipient of any payment to be made by or on account of any obligation of any Loan Party under any Loan Document, (a) any Taxes imposed on (or measured by) such recipient’s net or overall gross income or franchise Taxes, (i) imposed as a result of such recipient being organized or having its principal office located in or, in the case of any Lender, having its applicable Lending Office located in, the applicable taxing jurisdiction or (ii) that are Other Connection Taxes, (b) any branch profits Taxes imposed under Section 884(a) of the Code, or any similar Tax, in each case, imposed by any jurisdiction described in </w:t>
      </w:r>
      <w:r>
        <w:rPr>
          <w:rFonts w:ascii="Times New Roman" w:hAnsi="Times New Roman"/>
          <w:sz w:val="20"/>
          <w:u w:val="single"/>
        </w:rPr>
        <w:t>clause (a)</w:t>
      </w:r>
      <w:r>
        <w:rPr>
          <w:rFonts w:ascii="Times New Roman" w:hAnsi="Times New Roman"/>
          <w:sz w:val="20"/>
        </w:rPr>
        <w:t xml:space="preserve"> or that are Other Connection Taxes, (c) any U.S. federal withholding Tax that is imposed on amounts payable to or for the account of such Lender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(other than a Lender that became a Lender pursuant to an assignment under </w:t>
      </w:r>
      <w:r>
        <w:rPr>
          <w:rFonts w:ascii="Times New Roman" w:hAnsi="Times New Roman"/>
          <w:sz w:val="20"/>
          <w:u w:val="single"/>
        </w:rPr>
        <w:t>Section 2.19(b)</w:t>
      </w:r>
      <w:r>
        <w:rPr>
          <w:rFonts w:ascii="Times New Roman" w:hAnsi="Times New Roman"/>
          <w:sz w:val="20"/>
        </w:rPr>
        <w:t xml:space="preserve">) or (ii) designates a new Lending Office, except in each case, to the extent that, pursuant to </w:t>
      </w:r>
      <w:r>
        <w:rPr>
          <w:rFonts w:ascii="Times New Roman" w:hAnsi="Times New Roman"/>
          <w:sz w:val="20"/>
          <w:u w:val="single"/>
        </w:rPr>
        <w:t>Section 2.17</w:t>
      </w:r>
      <w:r>
        <w:rPr>
          <w:rFonts w:ascii="Times New Roman" w:hAnsi="Times New Roman"/>
          <w:sz w:val="20"/>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the Administrative Agent to comply with </w:t>
      </w:r>
      <w:r>
        <w:rPr>
          <w:rFonts w:ascii="Times New Roman" w:hAnsi="Times New Roman"/>
          <w:sz w:val="20"/>
          <w:u w:val="single"/>
        </w:rPr>
        <w:t>Section 2.17(i)</w:t>
      </w:r>
      <w:r>
        <w:rPr>
          <w:rFonts w:ascii="Times New Roman" w:hAnsi="Times New Roman"/>
          <w:sz w:val="20"/>
        </w:rPr>
        <w:t xml:space="preserve"> or, such Lender or any Issuing Bank or the Swingline Lender or such other recipient to provide the forms as contemplated by </w:t>
      </w:r>
      <w:r>
        <w:rPr>
          <w:rFonts w:ascii="Times New Roman" w:hAnsi="Times New Roman"/>
          <w:sz w:val="20"/>
          <w:u w:val="single"/>
        </w:rPr>
        <w:t>Section 2.17(f)</w:t>
      </w:r>
      <w:r>
        <w:rPr>
          <w:rFonts w:ascii="Times New Roman" w:hAnsi="Times New Roman"/>
          <w:sz w:val="20"/>
        </w:rPr>
        <w:t xml:space="preserve"> (including, for the avoidance of doubt, failure resulting from inability to do so) and (e) any withholding Tax imposed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Existing Credit Agreements</w:t>
      </w:r>
      <w:r>
        <w:rPr>
          <w:rFonts w:ascii="Times New Roman" w:hAnsi="Times New Roman"/>
          <w:sz w:val="20"/>
        </w:rPr>
        <w:t xml:space="preserve">” means, collectively, (a) that certain Amended and Restated Credit Agreement, dated as of October 7, 2024 (as amended, restated, amended and restated, supplemented or otherwise modified from time to time prior to the date of this Agreement), by and among, </w:t>
      </w:r>
      <w:r>
        <w:rPr>
          <w:rFonts w:ascii="Times New Roman" w:hAnsi="Times New Roman"/>
          <w:i/>
          <w:sz w:val="20"/>
        </w:rPr>
        <w:t>inter alios</w:t>
      </w:r>
      <w:r>
        <w:rPr>
          <w:rFonts w:ascii="Times New Roman" w:hAnsi="Times New Roman"/>
          <w:sz w:val="20"/>
        </w:rPr>
        <w:t xml:space="preserve">, the Borrower, as borrower, the financial institutions party thereto from time to time and Wilmington Trust, National Association, as administrative agent, and (b) that certain Amended and Restated Credit Agreement, dated as of October 7, 2024 (as amended, restated, amended and restated, supplemented or otherwise modified from time to time prior to the date of this Agreement), by and among, </w:t>
      </w:r>
      <w:r>
        <w:rPr>
          <w:rFonts w:ascii="Times New Roman" w:hAnsi="Times New Roman"/>
          <w:i/>
          <w:sz w:val="20"/>
        </w:rPr>
        <w:t>inter alios</w:t>
      </w:r>
      <w:r>
        <w:rPr>
          <w:rFonts w:ascii="Times New Roman" w:hAnsi="Times New Roman"/>
          <w:sz w:val="20"/>
        </w:rPr>
        <w:t xml:space="preserve">, SOLV Energy Acquisition LLC, a Delaware limited liability company, as borrower, SOLV Energy Parent LLC, a Delaware limited liability company, SOLV Energy Intermediate Holdings LLC, a Delaware limited liability company, the financial institutions party thereto from time to time and KeyBank, as administrative agent.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means the letters of credit set forth on </w:t>
      </w:r>
      <w:r>
        <w:rPr>
          <w:rFonts w:ascii="Times New Roman" w:hAnsi="Times New Roman"/>
          <w:sz w:val="20"/>
          <w:u w:val="single"/>
        </w:rPr>
        <w:t>Schedule 1.01(d)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Existing Revolving Class</w:t>
      </w:r>
      <w:r>
        <w:rPr>
          <w:rFonts w:ascii="Times New Roman" w:hAnsi="Times New Roman"/>
          <w:sz w:val="20"/>
        </w:rPr>
        <w:t xml:space="preserve">” has the meaning assigned to such term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Expected Cost Savings</w:t>
      </w:r>
      <w:r>
        <w:rPr>
          <w:rFonts w:ascii="Times New Roman" w:hAnsi="Times New Roman"/>
          <w:sz w:val="20"/>
        </w:rPr>
        <w:t xml:space="preserve">” has the meaning assigned to such term in the definition of “Consolidated Adjusted EBITDA”. </w:t>
      </w:r>
    </w:p>
    <w:p>
      <w:pPr>
        <w:pStyle w:val="TextBody"/>
        <w:bidi w:val="0"/>
        <w:spacing w:before="240" w:after="0"/>
        <w:jc w:val="left"/>
        <w:rPr/>
      </w:pPr>
      <w:r>
        <w:rPr/>
        <w:t>“</w:t>
      </w:r>
      <w:r>
        <w:rPr>
          <w:rFonts w:ascii="Times New Roman" w:hAnsi="Times New Roman"/>
          <w:sz w:val="20"/>
          <w:u w:val="single"/>
        </w:rPr>
        <w:t>Extended Revolving Commitments</w:t>
      </w:r>
      <w:r>
        <w:rPr>
          <w:rFonts w:ascii="Times New Roman" w:hAnsi="Times New Roman"/>
          <w:sz w:val="20"/>
        </w:rPr>
        <w:t xml:space="preserve">” has the meaning assigned to such term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Extending Revolving Lender</w:t>
      </w:r>
      <w:r>
        <w:rPr>
          <w:rFonts w:ascii="Times New Roman" w:hAnsi="Times New Roman"/>
          <w:sz w:val="20"/>
        </w:rPr>
        <w:t xml:space="preserve">” has the meaning assigned to such term in </w:t>
      </w:r>
      <w:r>
        <w:rPr>
          <w:rFonts w:ascii="Times New Roman" w:hAnsi="Times New Roman"/>
          <w:sz w:val="20"/>
          <w:u w:val="single"/>
        </w:rPr>
        <w:t>Section 2.23(b)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w:t>
      </w:r>
      <w:r>
        <w:rPr>
          <w:rFonts w:ascii="Times New Roman" w:hAnsi="Times New Roman"/>
          <w:sz w:val="20"/>
        </w:rPr>
        <w:t xml:space="preserve">” means the establishment of a Revolving Extension Series by amending a Revolving Loan pursuant to </w:t>
      </w:r>
      <w:r>
        <w:rPr>
          <w:rFonts w:ascii="Times New Roman" w:hAnsi="Times New Roman"/>
          <w:sz w:val="20"/>
          <w:u w:val="single"/>
        </w:rPr>
        <w:t>Section 2.23</w:t>
      </w:r>
      <w:r>
        <w:rPr>
          <w:rFonts w:ascii="Times New Roman" w:hAnsi="Times New Roman"/>
          <w:sz w:val="20"/>
        </w:rPr>
        <w:t xml:space="preserve"> and the applicable Extension Amendment. </w:t>
      </w:r>
    </w:p>
    <w:p>
      <w:pPr>
        <w:pStyle w:val="TextBody"/>
        <w:bidi w:val="0"/>
        <w:spacing w:before="240" w:after="0"/>
        <w:jc w:val="left"/>
        <w:rPr/>
      </w:pPr>
      <w:r>
        <w:rPr/>
        <w:t>“</w:t>
      </w:r>
      <w:r>
        <w:rPr>
          <w:rFonts w:ascii="Times New Roman" w:hAnsi="Times New Roman"/>
          <w:sz w:val="20"/>
          <w:u w:val="single"/>
        </w:rPr>
        <w:t>Extension Amendment</w:t>
      </w:r>
      <w:r>
        <w:rPr>
          <w:rFonts w:ascii="Times New Roman" w:hAnsi="Times New Roman"/>
          <w:sz w:val="20"/>
        </w:rPr>
        <w:t xml:space="preserve">” has the meaning assigned to such term in </w:t>
      </w:r>
      <w:r>
        <w:rPr>
          <w:rFonts w:ascii="Times New Roman" w:hAnsi="Times New Roman"/>
          <w:sz w:val="20"/>
          <w:u w:val="single"/>
        </w:rPr>
        <w:t>Section 2.23(c)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 Election</w:t>
      </w:r>
      <w:r>
        <w:rPr>
          <w:rFonts w:ascii="Times New Roman" w:hAnsi="Times New Roman"/>
          <w:sz w:val="20"/>
        </w:rPr>
        <w:t xml:space="preserve">” has the meaning assigned to such term in </w:t>
      </w:r>
      <w:r>
        <w:rPr>
          <w:rFonts w:ascii="Times New Roman" w:hAnsi="Times New Roman"/>
          <w:sz w:val="20"/>
          <w:u w:val="single"/>
        </w:rPr>
        <w:t>Section 2.23(b)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Extension Minimum Condition</w:t>
      </w:r>
      <w:r>
        <w:rPr>
          <w:rFonts w:ascii="Times New Roman" w:hAnsi="Times New Roman"/>
          <w:sz w:val="20"/>
        </w:rPr>
        <w:t xml:space="preserve">” means a condition to consummating any Extension that a minimum amount (to be determined and specified in the relevant Extension Request, in the Borrower’s sole discretion) of any or all applicable Classes be submitted for Extension. </w:t>
      </w:r>
    </w:p>
    <w:p>
      <w:pPr>
        <w:pStyle w:val="TextBody"/>
        <w:bidi w:val="0"/>
        <w:spacing w:before="240" w:after="0"/>
        <w:jc w:val="left"/>
        <w:rPr/>
      </w:pPr>
      <w:r>
        <w:rPr/>
        <w:t>“</w:t>
      </w:r>
      <w:r>
        <w:rPr>
          <w:rFonts w:ascii="Times New Roman" w:hAnsi="Times New Roman"/>
          <w:sz w:val="20"/>
          <w:u w:val="single"/>
        </w:rPr>
        <w:t>Extension Request</w:t>
      </w:r>
      <w:r>
        <w:rPr>
          <w:rFonts w:ascii="Times New Roman" w:hAnsi="Times New Roman"/>
          <w:sz w:val="20"/>
        </w:rPr>
        <w:t xml:space="preserve">” has the meaning assigned to such term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w:t>
      </w:r>
      <w:r>
        <w:rPr>
          <w:rFonts w:ascii="Times New Roman" w:hAnsi="Times New Roman"/>
          <w:sz w:val="20"/>
        </w:rPr>
        <w:t xml:space="preserve">” means any real property (including all buildings, fixtures or other improvements located thereon) now, hereafter or, except with respect to </w:t>
      </w:r>
      <w:r>
        <w:rPr>
          <w:rFonts w:ascii="Times New Roman" w:hAnsi="Times New Roman"/>
          <w:sz w:val="20"/>
          <w:u w:val="single"/>
        </w:rPr>
        <w:t>Articles 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owned, leased, operated or used by the Borrower or any of its Subsidiaries or any of their respective predecessors or Affiliates.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amended from time to time (and any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implementing any of the foregoing. </w:t>
      </w:r>
    </w:p>
    <w:p>
      <w:pPr>
        <w:pStyle w:val="TextBody"/>
        <w:bidi w:val="0"/>
        <w:spacing w:before="240" w:after="0"/>
        <w:jc w:val="left"/>
        <w:rPr/>
      </w:pPr>
      <w:r>
        <w:rPr/>
        <w:t>“</w:t>
      </w:r>
      <w:r>
        <w:rPr>
          <w:rFonts w:ascii="Times New Roman" w:hAnsi="Times New Roman"/>
          <w:sz w:val="20"/>
          <w:u w:val="single"/>
        </w:rPr>
        <w:t>FCPA</w:t>
      </w:r>
      <w:r>
        <w:rPr>
          <w:rFonts w:ascii="Times New Roman" w:hAnsi="Times New Roman"/>
          <w:sz w:val="20"/>
        </w:rPr>
        <w:t xml:space="preserve">” has the meaning assigned to such term in </w:t>
      </w:r>
      <w:r>
        <w:rPr>
          <w:rFonts w:ascii="Times New Roman" w:hAnsi="Times New Roman"/>
          <w:sz w:val="20"/>
          <w:u w:val="single"/>
        </w:rPr>
        <w:t>Section 3.17(c)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rate per annum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0.00%; provided if such day is not a Business Day, the Federal Funds Effective Rate for such day shall be such rate on such transactions on the next preceding Business Day as so published. </w:t>
      </w:r>
    </w:p>
    <w:p>
      <w:pPr>
        <w:pStyle w:val="TextBody"/>
        <w:bidi w:val="0"/>
        <w:spacing w:before="240" w:after="0"/>
        <w:jc w:val="left"/>
        <w:rPr/>
      </w:pPr>
      <w:r>
        <w:rPr/>
        <w:t>“</w:t>
      </w:r>
      <w:r>
        <w:rPr>
          <w:rFonts w:ascii="Times New Roman" w:hAnsi="Times New Roman"/>
          <w:sz w:val="20"/>
          <w:u w:val="single"/>
        </w:rPr>
        <w:t>Fee Letters</w:t>
      </w:r>
      <w:r>
        <w:rPr>
          <w:rFonts w:ascii="Times New Roman" w:hAnsi="Times New Roman"/>
          <w:sz w:val="20"/>
        </w:rPr>
        <w:t xml:space="preserve">” means, collectively, the Agent Fee Letter and the Lender Fee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First Lien Debt</w:t>
      </w:r>
      <w:r>
        <w:rPr>
          <w:rFonts w:ascii="Times New Roman" w:hAnsi="Times New Roman"/>
          <w:sz w:val="20"/>
        </w:rPr>
        <w:t xml:space="preserve">” means (a) the Initial Revolving Loans and (b) any other Indebtedness that is </w:t>
      </w:r>
      <w:r>
        <w:rPr>
          <w:rFonts w:ascii="Times New Roman" w:hAnsi="Times New Roman"/>
          <w:i/>
          <w:sz w:val="20"/>
        </w:rPr>
        <w:t>pari passu</w:t>
      </w:r>
      <w:r>
        <w:rPr>
          <w:rFonts w:ascii="Times New Roman" w:hAnsi="Times New Roman"/>
          <w:sz w:val="20"/>
        </w:rPr>
        <w:t xml:space="preserve"> with the Initial Revolving Facility in right of payment and secured by a Lien on the Collateral that is </w:t>
      </w:r>
      <w:r>
        <w:rPr>
          <w:rFonts w:ascii="Times New Roman" w:hAnsi="Times New Roman"/>
          <w:i/>
          <w:sz w:val="20"/>
        </w:rPr>
        <w:t>pari passu</w:t>
      </w:r>
      <w:r>
        <w:rPr>
          <w:rFonts w:ascii="Times New Roman" w:hAnsi="Times New Roman"/>
          <w:sz w:val="20"/>
        </w:rPr>
        <w:t xml:space="preserve"> with the Lien securing the Initial Revolving Facility. </w:t>
      </w:r>
    </w:p>
    <w:p>
      <w:pPr>
        <w:pStyle w:val="TextBody"/>
        <w:bidi w:val="0"/>
        <w:spacing w:before="240" w:after="0"/>
        <w:jc w:val="left"/>
        <w:rPr/>
      </w:pPr>
      <w:r>
        <w:rPr/>
        <w:t>“</w:t>
      </w:r>
      <w:r>
        <w:rPr>
          <w:rFonts w:ascii="Times New Roman" w:hAnsi="Times New Roman"/>
          <w:sz w:val="20"/>
          <w:u w:val="single"/>
        </w:rPr>
        <w:t>First Lien Intercreditor Agreement</w:t>
      </w:r>
      <w:r>
        <w:rPr>
          <w:rFonts w:ascii="Times New Roman" w:hAnsi="Times New Roman"/>
          <w:sz w:val="20"/>
        </w:rPr>
        <w:t xml:space="preserve">” means an intercreditor agreement substantially in the form of </w:t>
      </w:r>
      <w:r>
        <w:rPr>
          <w:rFonts w:ascii="Times New Roman" w:hAnsi="Times New Roman"/>
          <w:sz w:val="20"/>
          <w:u w:val="single"/>
        </w:rPr>
        <w:t>Exhibit F-1</w:t>
      </w:r>
      <w:r>
        <w:rPr>
          <w:rFonts w:ascii="Times New Roman" w:hAnsi="Times New Roman"/>
          <w:sz w:val="20"/>
        </w:rPr>
        <w:t xml:space="preserve"> hereto, with any material or immaterial modification thereto as the Borrower and the Administrative Agent may agree in their respective reasonable discretion. </w:t>
      </w:r>
    </w:p>
    <w:p>
      <w:pPr>
        <w:pStyle w:val="TextBody"/>
        <w:bidi w:val="0"/>
        <w:spacing w:before="240" w:after="0"/>
        <w:jc w:val="left"/>
        <w:rPr/>
      </w:pPr>
      <w:r>
        <w:rPr/>
        <w:t>“</w:t>
      </w:r>
      <w:r>
        <w:rPr>
          <w:rFonts w:ascii="Times New Roman" w:hAnsi="Times New Roman"/>
          <w:sz w:val="20"/>
          <w:u w:val="single"/>
        </w:rPr>
        <w:t>First Lien Leverage Ratio</w:t>
      </w:r>
      <w:r>
        <w:rPr>
          <w:rFonts w:ascii="Times New Roman" w:hAnsi="Times New Roman"/>
          <w:sz w:val="20"/>
        </w:rPr>
        <w:t xml:space="preserve">” means the ratio, as of any date of determination, of (a) Consolidated First Lien Debt as of the last day of the most recently ended Test Period to (b) Consolidated Adjusted EBITDA for the Test Period then most recently ended, in each case, of the Borrower and its Subsidiaries on a consolidated basis. </w:t>
      </w:r>
    </w:p>
    <w:p>
      <w:pPr>
        <w:pStyle w:val="TextBody"/>
        <w:bidi w:val="0"/>
        <w:spacing w:before="240" w:after="0"/>
        <w:jc w:val="left"/>
        <w:rPr/>
      </w:pPr>
      <w:r>
        <w:rPr/>
        <w:t>“</w:t>
      </w:r>
      <w:r>
        <w:rPr>
          <w:rFonts w:ascii="Times New Roman" w:hAnsi="Times New Roman"/>
          <w:sz w:val="20"/>
          <w:u w:val="single"/>
        </w:rPr>
        <w:t>First Priority</w:t>
      </w:r>
      <w:r>
        <w:rPr>
          <w:rFonts w:ascii="Times New Roman" w:hAnsi="Times New Roman"/>
          <w:sz w:val="20"/>
        </w:rPr>
        <w:t>” means, with respect to any Lien purported to be created in any Collateral pursuant to any Collateral Document (an “</w:t>
      </w:r>
      <w:r>
        <w:rPr>
          <w:rFonts w:ascii="Times New Roman" w:hAnsi="Times New Roman"/>
          <w:sz w:val="20"/>
          <w:u w:val="single"/>
        </w:rPr>
        <w:t>OpCo Lien</w:t>
      </w:r>
      <w:r>
        <w:rPr>
          <w:rFonts w:ascii="Times New Roman" w:hAnsi="Times New Roman"/>
          <w:sz w:val="20"/>
        </w:rPr>
        <w:t xml:space="preserve">”), that, subject to any applicable Intercreditor Agreement, such OpCo Lien is senior in priority to any other Lien to which such Collateral is subject, other than any Permitted Lien (including, for the avoidance of doubt, any Lien securing any Surety Bond Indebtedness, but excluding any other Permitted Lien that is, by definition or by the terms of documents creating such Permitted Lien or otherwise pursuant to the terms of this Agreement, subordinated to such OpCo Lien). </w:t>
      </w:r>
    </w:p>
    <w:p>
      <w:pPr>
        <w:pStyle w:val="TextBody"/>
        <w:bidi w:val="0"/>
        <w:spacing w:before="240" w:after="0"/>
        <w:jc w:val="left"/>
        <w:rPr/>
      </w:pPr>
      <w:r>
        <w:rPr/>
        <w:t>“</w:t>
      </w:r>
      <w:r>
        <w:rPr>
          <w:rFonts w:ascii="Times New Roman" w:hAnsi="Times New Roman"/>
          <w:sz w:val="20"/>
          <w:u w:val="single"/>
        </w:rPr>
        <w:t>Fiscal Quarter</w:t>
      </w:r>
      <w:r>
        <w:rPr>
          <w:rFonts w:ascii="Times New Roman" w:hAnsi="Times New Roman"/>
          <w:sz w:val="20"/>
        </w:rPr>
        <w:t xml:space="preserve">” means a fiscal quarter of any Fiscal Year. </w:t>
      </w:r>
    </w:p>
    <w:p>
      <w:pPr>
        <w:pStyle w:val="TextBody"/>
        <w:bidi w:val="0"/>
        <w:spacing w:before="240" w:after="0"/>
        <w:jc w:val="left"/>
        <w:rPr/>
      </w:pPr>
      <w:r>
        <w:rPr/>
        <w:t>“</w:t>
      </w:r>
      <w:r>
        <w:rPr>
          <w:rFonts w:ascii="Times New Roman" w:hAnsi="Times New Roman"/>
          <w:sz w:val="20"/>
          <w:u w:val="single"/>
        </w:rPr>
        <w:t>Fiscal Year</w:t>
      </w:r>
      <w:r>
        <w:rPr>
          <w:rFonts w:ascii="Times New Roman" w:hAnsi="Times New Roman"/>
          <w:sz w:val="20"/>
        </w:rPr>
        <w:t xml:space="preserve">” means the fiscal year of the Borrower ending on or about December 31 of each calendar year. </w:t>
      </w:r>
    </w:p>
    <w:p>
      <w:pPr>
        <w:pStyle w:val="TextBody"/>
        <w:bidi w:val="0"/>
        <w:spacing w:before="240" w:after="0"/>
        <w:jc w:val="left"/>
        <w:rPr/>
      </w:pPr>
      <w:r>
        <w:rPr/>
        <w:t>“</w:t>
      </w:r>
      <w:r>
        <w:rPr>
          <w:rFonts w:ascii="Times New Roman" w:hAnsi="Times New Roman"/>
          <w:sz w:val="20"/>
          <w:u w:val="single"/>
        </w:rPr>
        <w:t>Fixed Amount</w:t>
      </w:r>
      <w:r>
        <w:rPr>
          <w:rFonts w:ascii="Times New Roman" w:hAnsi="Times New Roman"/>
          <w:sz w:val="20"/>
        </w:rPr>
        <w:t xml:space="preserve">” has the meaning assigned to such term in </w:t>
      </w:r>
      <w:r>
        <w:rPr>
          <w:rFonts w:ascii="Times New Roman" w:hAnsi="Times New Roman"/>
          <w:sz w:val="20"/>
          <w:u w:val="single"/>
        </w:rPr>
        <w:t>Section 1.10(c)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Fixed Incremental Amount</w:t>
      </w:r>
      <w:r>
        <w:rPr>
          <w:rFonts w:ascii="Times New Roman" w:hAnsi="Times New Roman"/>
          <w:sz w:val="20"/>
        </w:rPr>
        <w:t xml:space="preserve">” means (a) the greater of (i) $175,000,000 and (ii) 50% of Consolidated Adjusted EBITDA as of the last day of the most recently ended Test Period </w:t>
      </w:r>
      <w:r>
        <w:rPr>
          <w:rFonts w:ascii="Times New Roman" w:hAnsi="Times New Roman"/>
          <w:sz w:val="20"/>
          <w:u w:val="single"/>
        </w:rPr>
        <w:t>minus</w:t>
      </w:r>
      <w:r>
        <w:rPr>
          <w:rFonts w:ascii="Times New Roman" w:hAnsi="Times New Roman"/>
          <w:sz w:val="20"/>
        </w:rPr>
        <w:t xml:space="preserve"> (b) the aggregate outstanding principal amount of all Incremental Facilities, Incremental Equivalent Debt and/or Ratio Debt incurred or issued in reliance on the Fixed Incremental Amount, in each case, after giving effect to any reclassification contemplated by the definition of “Incremental Cap” and/or </w:t>
      </w:r>
      <w:r>
        <w:rPr>
          <w:rFonts w:ascii="Times New Roman" w:hAnsi="Times New Roman"/>
          <w:sz w:val="20"/>
          <w:u w:val="single"/>
        </w:rPr>
        <w:t>Section 1.03</w:t>
      </w:r>
      <w:r>
        <w:rPr>
          <w:rFonts w:ascii="Times New Roman" w:hAnsi="Times New Roman"/>
          <w:sz w:val="20"/>
        </w:rPr>
        <w:t xml:space="preserve">, as applicable. </w:t>
      </w:r>
    </w:p>
    <w:p>
      <w:pPr>
        <w:pStyle w:val="TextBody"/>
        <w:bidi w:val="0"/>
        <w:spacing w:before="240" w:after="0"/>
        <w:jc w:val="left"/>
        <w:rPr/>
      </w:pPr>
      <w:r>
        <w:rPr/>
        <w:t>“</w:t>
      </w:r>
      <w:r>
        <w:rPr>
          <w:rFonts w:ascii="Times New Roman" w:hAnsi="Times New Roman"/>
          <w:sz w:val="20"/>
          <w:u w:val="single"/>
        </w:rPr>
        <w:t>Flood Certificate</w:t>
      </w:r>
      <w:r>
        <w:rPr>
          <w:rFonts w:ascii="Times New Roman" w:hAnsi="Times New Roman"/>
          <w:sz w:val="20"/>
        </w:rPr>
        <w:t xml:space="preserve">” means a “Life-of-Loan” “Standard Flood Hazard Determination Form” of the Federal Emergency Management Agency and any successor Governmental Authority performing a similar function.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0.00% per annum.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any Lender that is not a U.S. Lender. </w:t>
      </w:r>
    </w:p>
    <w:p>
      <w:pPr>
        <w:pStyle w:val="TextBody"/>
        <w:bidi w:val="0"/>
        <w:spacing w:before="240" w:after="0"/>
        <w:jc w:val="left"/>
        <w:rPr/>
      </w:pPr>
      <w:r>
        <w:rPr/>
        <w:t>“</w:t>
      </w:r>
      <w:r>
        <w:rPr>
          <w:rFonts w:ascii="Times New Roman" w:hAnsi="Times New Roman"/>
          <w:sz w:val="20"/>
          <w:u w:val="single"/>
        </w:rPr>
        <w:t>FRB</w:t>
      </w:r>
      <w:r>
        <w:rPr>
          <w:rFonts w:ascii="Times New Roman" w:hAnsi="Times New Roman"/>
          <w:sz w:val="20"/>
        </w:rPr>
        <w:t xml:space="preserve">” means the Board of Governors of the Federal Reserve System of the U.S.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U.S. in effect and applicable to the accounting period in respect of which reference to GAAP is made.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provincial, territorial,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supra-national bodies such as the European Union or the European Central Bank), in each case, whether associated with the U.S., a foreign government or any political subdivision thereof. </w:t>
      </w:r>
    </w:p>
    <w:p>
      <w:pPr>
        <w:pStyle w:val="TextBody"/>
        <w:bidi w:val="0"/>
        <w:spacing w:before="240" w:after="0"/>
        <w:jc w:val="left"/>
        <w:rPr/>
      </w:pPr>
      <w:r>
        <w:rPr/>
        <w:t>“</w:t>
      </w:r>
      <w:r>
        <w:rPr>
          <w:rFonts w:ascii="Times New Roman" w:hAnsi="Times New Roman"/>
          <w:sz w:val="20"/>
          <w:u w:val="single"/>
        </w:rPr>
        <w:t>Governmental Authorization</w:t>
      </w:r>
      <w:r>
        <w:rPr>
          <w:rFonts w:ascii="Times New Roman" w:hAnsi="Times New Roman"/>
          <w:sz w:val="20"/>
        </w:rPr>
        <w:t xml:space="preserve">” means any permit, license, authorization, approval, plan, directive, variance, consent order or consent decree of or from any Governmental Authority. </w:t>
      </w:r>
    </w:p>
    <w:p>
      <w:pPr>
        <w:pStyle w:val="TextBody"/>
        <w:bidi w:val="0"/>
        <w:spacing w:before="240" w:after="0"/>
        <w:jc w:val="left"/>
        <w:rPr/>
      </w:pPr>
      <w:r>
        <w:rPr/>
        <w:t>“</w:t>
      </w:r>
      <w:r>
        <w:rPr>
          <w:rFonts w:ascii="Times New Roman" w:hAnsi="Times New Roman"/>
          <w:sz w:val="20"/>
          <w:u w:val="single"/>
        </w:rPr>
        <w:t>Granting Lender</w:t>
      </w:r>
      <w:r>
        <w:rPr>
          <w:rFonts w:ascii="Times New Roman" w:hAnsi="Times New Roman"/>
          <w:sz w:val="20"/>
        </w:rPr>
        <w:t xml:space="preserve">” has the meaning assigned to such term in </w:t>
      </w:r>
      <w:r>
        <w:rPr>
          <w:rFonts w:ascii="Times New Roman" w:hAnsi="Times New Roman"/>
          <w:sz w:val="20"/>
          <w:u w:val="single"/>
        </w:rPr>
        <w:t>Section 9.05(e)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monetary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solid waste, non-hazardous soil, dredged material, per- and polyfluoroalkyl substances, and pharmaceutical waste. </w:t>
      </w:r>
    </w:p>
    <w:p>
      <w:pPr>
        <w:pStyle w:val="TextBody"/>
        <w:bidi w:val="0"/>
        <w:spacing w:before="240" w:after="0"/>
        <w:jc w:val="left"/>
        <w:rPr/>
      </w:pPr>
      <w:r>
        <w:rPr/>
        <w:t>“</w:t>
      </w:r>
      <w:r>
        <w:rPr>
          <w:rFonts w:ascii="Times New Roman" w:hAnsi="Times New Roman"/>
          <w:sz w:val="20"/>
          <w:u w:val="single"/>
        </w:rPr>
        <w:t>Hedge Agreement</w:t>
      </w:r>
      <w:r>
        <w:rPr>
          <w:rFonts w:ascii="Times New Roman" w:hAnsi="Times New Roman"/>
          <w:sz w:val="20"/>
        </w:rPr>
        <w:t xml:space="preserve">” means any agreement with respect to any Derivative Transaction between any Loan Party or any Subsidiary and any other Person. </w:t>
      </w:r>
    </w:p>
    <w:p>
      <w:pPr>
        <w:pStyle w:val="TextBody"/>
        <w:bidi w:val="0"/>
        <w:spacing w:before="240" w:after="0"/>
        <w:jc w:val="left"/>
        <w:rPr/>
      </w:pPr>
      <w:r>
        <w:rPr/>
        <w:t>“</w:t>
      </w:r>
      <w:r>
        <w:rPr>
          <w:rFonts w:ascii="Times New Roman" w:hAnsi="Times New Roman"/>
          <w:sz w:val="20"/>
          <w:u w:val="single"/>
        </w:rPr>
        <w:t>Hedge Bank</w:t>
      </w:r>
      <w:r>
        <w:rPr>
          <w:rFonts w:ascii="Times New Roman" w:hAnsi="Times New Roman"/>
          <w:sz w:val="20"/>
        </w:rPr>
        <w:t xml:space="preserve">” means (a) any Person party to a Hedge Agreement that is the Administrative Agent, a Lender, an Arranger or an Affiliate of any of the foregoing on the Closing Date or at the time it enters into such Hedge Agreement, in its capacity as a party thereto, whether or not such Person subsequently ceases to be the Administrative Agent, a Lender, an Arranger or an Affiliate of any of the foregoing or (b) any Person from time to time specifically designated in writing as a “Hedge Bank” by the Borrower to the Administrative Agent; it being understood that each counterparty thereto shall be deemed (A) to appoint the Administrative Agent as its agent under the applicable Loan Documents and (B) to agree to be bound by the provisions of </w:t>
      </w:r>
      <w:r>
        <w:rPr>
          <w:rFonts w:ascii="Times New Roman" w:hAnsi="Times New Roman"/>
          <w:sz w:val="20"/>
          <w:u w:val="single"/>
        </w:rPr>
        <w:t>Article 8</w:t>
      </w:r>
      <w:r>
        <w:rPr>
          <w:rFonts w:ascii="Times New Roman" w:hAnsi="Times New Roman"/>
          <w:sz w:val="20"/>
        </w:rPr>
        <w:t xml:space="preserve">, </w:t>
      </w:r>
      <w:r>
        <w:rPr>
          <w:rFonts w:ascii="Times New Roman" w:hAnsi="Times New Roman"/>
          <w:sz w:val="20"/>
          <w:u w:val="single"/>
        </w:rPr>
        <w:t>Section 9.03</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and each Intercreditor Agreement as if it were a Lender. </w:t>
      </w:r>
    </w:p>
    <w:p>
      <w:pPr>
        <w:pStyle w:val="TextBody"/>
        <w:bidi w:val="0"/>
        <w:spacing w:before="240" w:after="0"/>
        <w:jc w:val="left"/>
        <w:rPr/>
      </w:pPr>
      <w:r>
        <w:rPr/>
        <w:t>“</w:t>
      </w:r>
      <w:r>
        <w:rPr>
          <w:rFonts w:ascii="Times New Roman" w:hAnsi="Times New Roman"/>
          <w:sz w:val="20"/>
          <w:u w:val="single"/>
        </w:rPr>
        <w:t>Hedging Obligations</w:t>
      </w:r>
      <w:r>
        <w:rPr>
          <w:rFonts w:ascii="Times New Roman" w:hAnsi="Times New Roman"/>
          <w:sz w:val="20"/>
        </w:rPr>
        <w:t xml:space="preserve">” means, with respect to any Person, the obligations of such Person under any Hedge Agreement.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has the meaning assigned to such term in the preamble to this Agreement and shall, for the avoidance of doubt, include any Successor Holdings.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means international accounting standards within the meaning of the IAS Regulation 1606/2002, as in effect from time to time (subject to the provisions of </w:t>
      </w:r>
      <w:r>
        <w:rPr>
          <w:rFonts w:ascii="Times New Roman" w:hAnsi="Times New Roman"/>
          <w:sz w:val="20"/>
          <w:u w:val="single"/>
        </w:rPr>
        <w:t>Section 1.04</w:t>
      </w:r>
      <w:r>
        <w:rPr>
          <w:rFonts w:ascii="Times New Roman" w:hAnsi="Times New Roman"/>
          <w:sz w:val="20"/>
        </w:rPr>
        <w:t xml:space="preserve">), to the extent applicable to the relevant financial statements. </w:t>
      </w:r>
    </w:p>
    <w:p>
      <w:pPr>
        <w:pStyle w:val="TextBody"/>
        <w:bidi w:val="0"/>
        <w:spacing w:before="240" w:after="0"/>
        <w:jc w:val="left"/>
        <w:rPr/>
      </w:pPr>
      <w:r>
        <w:rPr/>
        <w:t>“</w:t>
      </w:r>
      <w:r>
        <w:rPr>
          <w:rFonts w:ascii="Times New Roman" w:hAnsi="Times New Roman"/>
          <w:sz w:val="20"/>
          <w:u w:val="single"/>
        </w:rPr>
        <w:t>Illegality Notice</w:t>
      </w:r>
      <w:r>
        <w:rPr>
          <w:rFonts w:ascii="Times New Roman" w:hAnsi="Times New Roman"/>
          <w:sz w:val="20"/>
        </w:rPr>
        <w:t xml:space="preserve">” has the meaning assigned to such term in </w:t>
      </w:r>
      <w:r>
        <w:rPr>
          <w:rFonts w:ascii="Times New Roman" w:hAnsi="Times New Roman"/>
          <w:sz w:val="20"/>
          <w:u w:val="single"/>
        </w:rPr>
        <w:t>Section 2.20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Immaterial Subsidiary</w:t>
      </w:r>
      <w:r>
        <w:rPr>
          <w:rFonts w:ascii="Times New Roman" w:hAnsi="Times New Roman"/>
          <w:sz w:val="20"/>
        </w:rPr>
        <w:t xml:space="preserve">” means, as of any date, any Subsidiary (a) the assets of which, when taken together with the assets of all other Subsidiaries that are Immaterial Subsidiaries, do not exceed 5.00% of Consolidated Total Assets of the Borrower and its Subsidiaries and (b) the contribution to Consolidated Adjusted EBITDA of which, when taken together with the contribution to Consolidated Adjusted EBITDA of all other Immaterial Subsidiaries, does not exceed 5.00% of Consolidated Adjusted EBITDA of the Borrower and its Subsidiaries, in each case, as of the last day of the most recently ended Test Period. </w:t>
      </w:r>
    </w:p>
    <w:p>
      <w:pPr>
        <w:pStyle w:val="TextBody"/>
        <w:bidi w:val="0"/>
        <w:spacing w:before="240" w:after="0"/>
        <w:jc w:val="left"/>
        <w:rPr/>
      </w:pPr>
      <w:r>
        <w:rPr/>
        <w:t>“</w:t>
      </w:r>
      <w:r>
        <w:rPr>
          <w:rFonts w:ascii="Times New Roman" w:hAnsi="Times New Roman"/>
          <w:sz w:val="20"/>
          <w:u w:val="single"/>
        </w:rPr>
        <w:t>Immediate Family Member</w:t>
      </w:r>
      <w:r>
        <w:rPr>
          <w:rFonts w:ascii="Times New Roman" w:hAnsi="Times New Roman"/>
          <w:sz w:val="20"/>
        </w:rPr>
        <w:t xml:space="preserve">” means, with respect to any individual, such individual’s child, stepchild, grandchild or more remote descendant, parent, stepparent, grandparent, spouse, former spouse, domestic partner, former domestic partner, sibling, mother-in-law, father-in-law, son-in-law and/or daughter-in-law and/or (including any adoptive relationship),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 </w:t>
      </w:r>
    </w:p>
    <w:p>
      <w:pPr>
        <w:pStyle w:val="TextBody"/>
        <w:bidi w:val="0"/>
        <w:spacing w:before="240" w:after="0"/>
        <w:jc w:val="left"/>
        <w:rPr/>
      </w:pPr>
      <w:r>
        <w:rPr/>
        <w:t>“</w:t>
      </w:r>
      <w:r>
        <w:rPr>
          <w:rFonts w:ascii="Times New Roman" w:hAnsi="Times New Roman"/>
          <w:sz w:val="20"/>
          <w:u w:val="single"/>
        </w:rPr>
        <w:t>Incremental Cap</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the Fixed Incremental Amount,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any Incremental Facility that effectively extends the Maturity Date with respect to any Class of Loans and/or Commitments hereunder, an amount equal to the portion of the relevant Class of Loans or Commitments that will be replaced by such Incremental Facility,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Incremental Facility that effectively replaces any Revolving Commitment terminated in accordance with </w:t>
      </w:r>
      <w:r>
        <w:rPr>
          <w:rFonts w:ascii="Times New Roman" w:hAnsi="Times New Roman"/>
          <w:sz w:val="20"/>
          <w:u w:val="single"/>
        </w:rPr>
        <w:t>Section 2.19</w:t>
      </w:r>
      <w:r>
        <w:rPr>
          <w:rFonts w:ascii="Times New Roman" w:hAnsi="Times New Roman"/>
          <w:sz w:val="20"/>
        </w:rPr>
        <w:t xml:space="preserve"> hereof, an amount equal to the relevant terminated Revolving Commitment,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(d)</w:t>
      </w:r>
      <w:r>
        <w:rPr>
          <w:rFonts w:ascii="Times New Roman" w:hAnsi="Times New Roman"/>
          <w:sz w:val="20"/>
        </w:rPr>
        <w:t xml:space="preserve"> without duplication of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above, the amount of any optional prepayment, redemption, repurchase (limited to the actual amount of cash paid) or other retirement of any Incremental Term Loans and voluntary prepayments of any Revolving Loans (to the extent accompanied by corresponding permanent commitment reductions thereto), in each case, secured on a </w:t>
      </w:r>
      <w:r>
        <w:rPr>
          <w:rFonts w:ascii="Times New Roman" w:hAnsi="Times New Roman"/>
          <w:i/>
          <w:sz w:val="20"/>
        </w:rPr>
        <w:t>pari passu</w:t>
      </w:r>
      <w:r>
        <w:rPr>
          <w:rFonts w:ascii="Times New Roman" w:hAnsi="Times New Roman"/>
          <w:sz w:val="20"/>
        </w:rPr>
        <w:t xml:space="preserve"> basis with the Initial Revolving Facility and so long as the relevant prepayment was not already included in this clause (d); </w:t>
      </w:r>
      <w:r>
        <w:rPr>
          <w:rFonts w:ascii="Times New Roman" w:hAnsi="Times New Roman"/>
          <w:sz w:val="20"/>
          <w:u w:val="single"/>
        </w:rPr>
        <w:t>provided</w:t>
      </w:r>
      <w:r>
        <w:rPr>
          <w:rFonts w:ascii="Times New Roman" w:hAnsi="Times New Roman"/>
          <w:sz w:val="20"/>
        </w:rPr>
        <w:t xml:space="preserve"> that the relevant prepayment, redemption or repurchase was not funded with the proceeds of any long-term Indebtedness (other than revolving Indebtedness),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 unlimited amount, so long as, in the case of this </w:t>
      </w:r>
      <w:r>
        <w:rPr>
          <w:rFonts w:ascii="Times New Roman" w:hAnsi="Times New Roman"/>
          <w:sz w:val="20"/>
          <w:u w:val="single"/>
        </w:rPr>
        <w:t>clause (e)</w:t>
      </w:r>
      <w:r>
        <w:rPr>
          <w:rFonts w:ascii="Times New Roman" w:hAnsi="Times New Roman"/>
          <w:sz w:val="20"/>
        </w:rPr>
        <w:t xml:space="preserve">, after giving effect to the relevant Incremental Facility or Incremental Equivalent Debt, (i) if such Incremental Facility is secured by a Lien on the Collateral that is </w:t>
      </w:r>
      <w:r>
        <w:rPr>
          <w:rFonts w:ascii="Times New Roman" w:hAnsi="Times New Roman"/>
          <w:i/>
          <w:sz w:val="20"/>
        </w:rPr>
        <w:t>pari passu</w:t>
      </w:r>
      <w:r>
        <w:rPr>
          <w:rFonts w:ascii="Times New Roman" w:hAnsi="Times New Roman"/>
          <w:sz w:val="20"/>
        </w:rPr>
        <w:t xml:space="preserve"> with the Lien on the Collateral securing the Initial Revolving Facility, the First Lien Leverage Ratio does not exceed 2.00:1.00, (ii) if such Incremental Facility is secured by a Lien on the Collateral that is junior to the Lien on the Collateral securing the Initial Revolving Facility, the Secured Leverage Ratio does not exceed 2.00:1.00 or (iii) if such Incremental Facility is unsecured, the Total Net Leverage Ratio does not exceed 3.00:1.00, in each case, described in this </w:t>
      </w:r>
      <w:r>
        <w:rPr>
          <w:rFonts w:ascii="Times New Roman" w:hAnsi="Times New Roman"/>
          <w:sz w:val="20"/>
          <w:u w:val="single"/>
        </w:rPr>
        <w:t>clause (e)</w:t>
      </w:r>
      <w:r>
        <w:rPr>
          <w:rFonts w:ascii="Times New Roman" w:hAnsi="Times New Roman"/>
          <w:sz w:val="20"/>
        </w:rPr>
        <w:t xml:space="preserve">, calculated on a Pro Forma Basis as of the last day of the most recently ended Test Period, including the application of the proceeds thereof (in the case of each of </w:t>
      </w:r>
      <w:r>
        <w:rPr>
          <w:rFonts w:ascii="Times New Roman" w:hAnsi="Times New Roman"/>
          <w:sz w:val="20"/>
          <w:u w:val="single"/>
        </w:rPr>
        <w:t>clauses</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without “netting” the cash proceeds of the applicable Incremental Facility or any other simultaneous incurrence of Indebtedness on the consolidated balance sheet of the Borrower, giving pro forma effect to any related transaction in connection therewith and all customary pro forma events and adjustments) and assuming a full drawing of such Incremental Facility or Incremental Equivalent Debt;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any Incremental Facility and/or Incremental Equivalent Debt may be incurred under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of this definition as selected by the Borrower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any Incremental Facility or Incremental Equivalent Debt is intended to be incurred under </w:t>
      </w:r>
      <w:r>
        <w:rPr>
          <w:rFonts w:ascii="Times New Roman" w:hAnsi="Times New Roman"/>
          <w:sz w:val="20"/>
          <w:u w:val="single"/>
        </w:rPr>
        <w:t>clause (e)</w:t>
      </w:r>
      <w:r>
        <w:rPr>
          <w:rFonts w:ascii="Times New Roman" w:hAnsi="Times New Roman"/>
          <w:sz w:val="20"/>
        </w:rPr>
        <w:t xml:space="preserve"> of this definition and the other clause of this definition in a single transaction or series of related transactions, (A) the incurrence of the portion of such Incremental Facility or Incremental Equivalent Debt to be incurred or implemented under </w:t>
      </w:r>
      <w:r>
        <w:rPr>
          <w:rFonts w:ascii="Times New Roman" w:hAnsi="Times New Roman"/>
          <w:sz w:val="20"/>
          <w:u w:val="single"/>
        </w:rPr>
        <w:t>clause (e)</w:t>
      </w:r>
      <w:r>
        <w:rPr>
          <w:rFonts w:ascii="Times New Roman" w:hAnsi="Times New Roman"/>
          <w:sz w:val="20"/>
        </w:rPr>
        <w:t xml:space="preserve"> of this definition shall first be calculated without giving effect to any Incremental Facilities or Incremental Equivalent Debt to be incurred under any other clause of this definition, but giving full </w:t>
      </w:r>
      <w:r>
        <w:rPr>
          <w:rFonts w:ascii="Times New Roman" w:hAnsi="Times New Roman"/>
          <w:i/>
          <w:sz w:val="20"/>
        </w:rPr>
        <w:t>pro forma</w:t>
      </w:r>
      <w:r>
        <w:rPr>
          <w:rFonts w:ascii="Times New Roman" w:hAnsi="Times New Roman"/>
          <w:sz w:val="20"/>
        </w:rPr>
        <w:t xml:space="preserve"> effect to the use of proceeds of the entire amount of such Incremental Facilities or Incremental Equivalent Debt and the related transactions, and (B) the incurrence of the portion of such Incremental Facility or Incremental Equivalent Debt to be incurred or implemented under the other applicable clauses of this definition shall be calculated thereafter, and </w:t>
      </w:r>
    </w:p>
    <w:p>
      <w:pPr>
        <w:pStyle w:val="TextBody"/>
        <w:bidi w:val="0"/>
        <w:spacing w:before="120" w:after="0"/>
        <w:jc w:val="left"/>
        <w:rPr>
          <w:rFonts w:ascii="Times New Roman" w:hAnsi="Times New Roman"/>
          <w:sz w:val="20"/>
        </w:rPr>
      </w:pPr>
      <w:r>
        <w:rPr>
          <w:rFonts w:ascii="Times New Roman" w:hAnsi="Times New Roman"/>
          <w:sz w:val="20"/>
        </w:rPr>
        <w:t xml:space="preserve">(iii) any portion of any Incremental Facility or Incremental Equivalent Debt that is incurred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of this definition will be, unless the Borrower otherwise elects, automatically reclassified as having been incurred under </w:t>
      </w:r>
      <w:r>
        <w:rPr>
          <w:rFonts w:ascii="Times New Roman" w:hAnsi="Times New Roman"/>
          <w:sz w:val="20"/>
          <w:u w:val="single"/>
        </w:rPr>
        <w:t>clause (e)</w:t>
      </w:r>
      <w:r>
        <w:rPr>
          <w:rFonts w:ascii="Times New Roman" w:hAnsi="Times New Roman"/>
          <w:sz w:val="20"/>
        </w:rPr>
        <w:t xml:space="preserve"> of this definition if, at any time after the incurrence thereof, such portion of such Incremental Facility or Incremental Equivalent Debt would, using the figures reflected in the financial statements most recently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if available earlier, the financial statements that are internally available and have been delivered to the Administrative Agent for the then most recently ended Test Period, be permitted under the First Lien Leverage Ratio test, Secured Leverage Ratio test, Total Net Leverage Ratio test or Interest Coverage Ratio test, as applicable, set forth in </w:t>
      </w:r>
      <w:r>
        <w:rPr>
          <w:rFonts w:ascii="Times New Roman" w:hAnsi="Times New Roman"/>
          <w:sz w:val="20"/>
          <w:u w:val="single"/>
        </w:rPr>
        <w:t>clause (e)</w:t>
      </w:r>
      <w:r>
        <w:rPr>
          <w:rFonts w:ascii="Times New Roman" w:hAnsi="Times New Roman"/>
          <w:sz w:val="20"/>
        </w:rPr>
        <w:t xml:space="preserve"> of this definition. </w:t>
      </w:r>
    </w:p>
    <w:p>
      <w:pPr>
        <w:pStyle w:val="TextBody"/>
        <w:bidi w:val="0"/>
        <w:spacing w:before="240" w:after="0"/>
        <w:jc w:val="left"/>
        <w:rPr/>
      </w:pPr>
      <w:r>
        <w:rPr/>
        <w:t>“</w:t>
      </w:r>
      <w:r>
        <w:rPr>
          <w:rFonts w:ascii="Times New Roman" w:hAnsi="Times New Roman"/>
          <w:sz w:val="20"/>
          <w:u w:val="single"/>
        </w:rPr>
        <w:t>Incremental Commitment</w:t>
      </w:r>
      <w:r>
        <w:rPr>
          <w:rFonts w:ascii="Times New Roman" w:hAnsi="Times New Roman"/>
          <w:sz w:val="20"/>
        </w:rPr>
        <w:t xml:space="preserve">” means any commitment made by a lender to provide all or any portion of any Incremental Facility or Incremental Loan. </w:t>
      </w:r>
    </w:p>
    <w:p>
      <w:pPr>
        <w:pStyle w:val="TextBody"/>
        <w:bidi w:val="0"/>
        <w:spacing w:before="240" w:after="0"/>
        <w:jc w:val="left"/>
        <w:rPr/>
      </w:pPr>
      <w:r>
        <w:rPr/>
        <w:t>“</w:t>
      </w:r>
      <w:r>
        <w:rPr>
          <w:rFonts w:ascii="Times New Roman" w:hAnsi="Times New Roman"/>
          <w:sz w:val="20"/>
          <w:u w:val="single"/>
        </w:rPr>
        <w:t>Incremental Equivalent Debt</w:t>
      </w:r>
      <w:r>
        <w:rPr>
          <w:rFonts w:ascii="Times New Roman" w:hAnsi="Times New Roman"/>
          <w:sz w:val="20"/>
        </w:rPr>
        <w:t xml:space="preserve">” means Indebtedness incurred by the Borrower in the form of </w:t>
      </w:r>
      <w:r>
        <w:rPr>
          <w:rFonts w:ascii="Times New Roman" w:hAnsi="Times New Roman"/>
          <w:i/>
          <w:sz w:val="20"/>
        </w:rPr>
        <w:t>pari passu</w:t>
      </w:r>
      <w:r>
        <w:rPr>
          <w:rFonts w:ascii="Times New Roman" w:hAnsi="Times New Roman"/>
          <w:sz w:val="20"/>
        </w:rPr>
        <w:t xml:space="preserve"> senior secured or unsecured notes or loans and/or commitments or junior secured or unsecured notes or loans and/or commitments in respect of the foregoing, in each case, issued, incurred or implemented in lieu of loans under an Incremental Facility;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outstanding principal amount thereof shall not exceed the Incremental Cap (as in effect at the time of determination, including giving effect to any reclassification on or prior to such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1.10(a)</w:t>
      </w:r>
      <w:r>
        <w:rPr>
          <w:rFonts w:ascii="Times New Roman" w:hAnsi="Times New Roman"/>
          <w:sz w:val="20"/>
        </w:rPr>
        <w:t xml:space="preserve">, except as otherwise agreed by the lenders providing the relevant Incremental Equivalent Debt, no Event of Default shall exist immediately prior to or after giving effect to such Incremental Equivalent Debt; </w:t>
      </w:r>
    </w:p>
    <w:p>
      <w:pPr>
        <w:pStyle w:val="TextBody"/>
        <w:bidi w:val="0"/>
        <w:spacing w:before="240" w:after="0"/>
        <w:jc w:val="left"/>
        <w:rPr>
          <w:rFonts w:ascii="Times New Roman" w:hAnsi="Times New Roman"/>
          <w:sz w:val="20"/>
        </w:rPr>
      </w:pPr>
      <w:r>
        <w:rPr>
          <w:rFonts w:ascii="Times New Roman" w:hAnsi="Times New Roman"/>
          <w:sz w:val="20"/>
        </w:rPr>
        <w:t xml:space="preserve">(c) Incremental Equivalent Debt shall not (i) have a final scheduled maturity date earlier than the Latest Maturity Date then in effect (or earlier than 91 days after the Latest Maturity Date then in effect in the case of any Incremental Equivalent Debt that is unsecured or junior in right of payment or security to the Initial Revolving Facility) or (ii) have a Weighted Average Life to Maturity that is shorter than the remaining Weighted Average Life to Maturity of any Incremental Term Loans outstanding at the time of incurrence thereof, </w:t>
      </w:r>
    </w:p>
    <w:p>
      <w:pPr>
        <w:pStyle w:val="TextBody"/>
        <w:bidi w:val="0"/>
        <w:spacing w:before="240" w:after="0"/>
        <w:jc w:val="left"/>
        <w:rPr>
          <w:rFonts w:ascii="Times New Roman" w:hAnsi="Times New Roman"/>
          <w:sz w:val="20"/>
        </w:rPr>
      </w:pPr>
      <w:r>
        <w:rPr>
          <w:rFonts w:ascii="Times New Roman" w:hAnsi="Times New Roman"/>
          <w:sz w:val="20"/>
        </w:rPr>
        <w:t xml:space="preserve">(d) such Incremental Equivalent Debt will be documented pursuant to separate documentation from the credit agreement governing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(e) if such Indebtedness is (i) secured on a </w:t>
      </w:r>
      <w:r>
        <w:rPr>
          <w:rFonts w:ascii="Times New Roman" w:hAnsi="Times New Roman"/>
          <w:i/>
          <w:sz w:val="20"/>
        </w:rPr>
        <w:t>pari passu</w:t>
      </w:r>
      <w:r>
        <w:rPr>
          <w:rFonts w:ascii="Times New Roman" w:hAnsi="Times New Roman"/>
          <w:sz w:val="20"/>
        </w:rPr>
        <w:t xml:space="preserve"> basis with the Initial Revolving Facility, (ii) secured on a junior basis to the Initial Revolving Facility or (iii) unsecured and subordinated to the Obligations, then in each case, the holders of such Indebtedness shall be party to an Acceptable Intercreditor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(f) no such Indebtedness may be (i) guaranteed by any Person (it being understood that the obligations of any Person with respect to any escrow arrangement into which such Indebtedness proceeds are deposited shall not constitute a guarantee) other than a Loan Guarantor or (ii) secured by any assets other than the Collateral (other than with respect to proceeds of such Indebtedness that are subject to (and only for so long as they are subject to) an escrow or other similar arrangements and any related deposit of Cash or Cash Equivalents to cover interest and premium with respect to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Incremental Facility</w:t>
      </w:r>
      <w:r>
        <w:rPr>
          <w:rFonts w:ascii="Times New Roman" w:hAnsi="Times New Roman"/>
          <w:sz w:val="20"/>
        </w:rPr>
        <w:t xml:space="preserve">” has the meaning assigned to such term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Facility Amendment</w:t>
      </w:r>
      <w:r>
        <w:rPr>
          <w:rFonts w:ascii="Times New Roman" w:hAnsi="Times New Roman"/>
          <w:sz w:val="20"/>
        </w:rPr>
        <w:t xml:space="preserve">” means an amendment to this Agreement that is reasonably satisfactory to the Administrative Agent (solely for purposes of giving effect to </w:t>
      </w:r>
      <w:r>
        <w:rPr>
          <w:rFonts w:ascii="Times New Roman" w:hAnsi="Times New Roman"/>
          <w:sz w:val="20"/>
          <w:u w:val="single"/>
        </w:rPr>
        <w:t>Section 2.22</w:t>
      </w:r>
      <w:r>
        <w:rPr>
          <w:rFonts w:ascii="Times New Roman" w:hAnsi="Times New Roman"/>
          <w:sz w:val="20"/>
        </w:rPr>
        <w:t xml:space="preserve">), the Lenders that agree to provide all or any portion of the Incremental Facility being incurred pursuant thereto and the Borrower executed by each of (a) Holdings and the Borrower, (b) the Administrative Agent and (c) each Lender that agrees to provide all or any portion of the Incremental Facility being incurred pursuant thereto and in accordance with </w:t>
      </w:r>
      <w:r>
        <w:rPr>
          <w:rFonts w:ascii="Times New Roman" w:hAnsi="Times New Roman"/>
          <w:sz w:val="20"/>
          <w:u w:val="single"/>
        </w:rPr>
        <w:t>Section 2.22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Lender</w:t>
      </w:r>
      <w:r>
        <w:rPr>
          <w:rFonts w:ascii="Times New Roman" w:hAnsi="Times New Roman"/>
          <w:sz w:val="20"/>
        </w:rPr>
        <w:t xml:space="preserve">” has the meaning assigned to such term in </w:t>
      </w:r>
      <w:r>
        <w:rPr>
          <w:rFonts w:ascii="Times New Roman" w:hAnsi="Times New Roman"/>
          <w:sz w:val="20"/>
          <w:u w:val="single"/>
        </w:rPr>
        <w:t>Section 2.22(b)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Loans</w:t>
      </w:r>
      <w:r>
        <w:rPr>
          <w:rFonts w:ascii="Times New Roman" w:hAnsi="Times New Roman"/>
          <w:sz w:val="20"/>
        </w:rPr>
        <w:t xml:space="preserve">” has the meaning assigned to such term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Revolving Facility</w:t>
      </w:r>
      <w:r>
        <w:rPr>
          <w:rFonts w:ascii="Times New Roman" w:hAnsi="Times New Roman"/>
          <w:sz w:val="20"/>
        </w:rPr>
        <w:t xml:space="preserve">” has the meaning given to such term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Revolving Lender</w:t>
      </w:r>
      <w:r>
        <w:rPr>
          <w:rFonts w:ascii="Times New Roman" w:hAnsi="Times New Roman"/>
          <w:sz w:val="20"/>
        </w:rPr>
        <w:t xml:space="preserve">” means, with respect to any Incremental Revolving Facility, each Revolving Lender providing any portion of such Incremental Revolving Facility. </w:t>
      </w:r>
    </w:p>
    <w:p>
      <w:pPr>
        <w:pStyle w:val="TextBody"/>
        <w:bidi w:val="0"/>
        <w:spacing w:before="240" w:after="0"/>
        <w:jc w:val="left"/>
        <w:rPr/>
      </w:pPr>
      <w:r>
        <w:rPr/>
        <w:t>“</w:t>
      </w:r>
      <w:r>
        <w:rPr>
          <w:rFonts w:ascii="Times New Roman" w:hAnsi="Times New Roman"/>
          <w:sz w:val="20"/>
          <w:u w:val="single"/>
        </w:rPr>
        <w:t>Incremental Revolving Loan</w:t>
      </w:r>
      <w:r>
        <w:rPr>
          <w:rFonts w:ascii="Times New Roman" w:hAnsi="Times New Roman"/>
          <w:sz w:val="20"/>
        </w:rPr>
        <w:t xml:space="preserve">” has the meaning given to such term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Facility</w:t>
      </w:r>
      <w:r>
        <w:rPr>
          <w:rFonts w:ascii="Times New Roman" w:hAnsi="Times New Roman"/>
          <w:sz w:val="20"/>
        </w:rPr>
        <w:t xml:space="preserve">” has the meaning given to such term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Incremental Term Loan</w:t>
      </w:r>
      <w:r>
        <w:rPr>
          <w:rFonts w:ascii="Times New Roman" w:hAnsi="Times New Roman"/>
          <w:sz w:val="20"/>
        </w:rPr>
        <w:t xml:space="preserve">” has the meaning given to such term in </w:t>
      </w:r>
      <w:r>
        <w:rPr>
          <w:rFonts w:ascii="Times New Roman" w:hAnsi="Times New Roman"/>
          <w:sz w:val="20"/>
          <w:u w:val="single"/>
        </w:rPr>
        <w:t>Section 2.22(a)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Incurrence-Based Amount</w:t>
      </w:r>
      <w:r>
        <w:rPr>
          <w:rFonts w:ascii="Times New Roman" w:hAnsi="Times New Roman"/>
          <w:sz w:val="20"/>
        </w:rPr>
        <w:t xml:space="preserve">” has the meaning assigned to such term in </w:t>
      </w:r>
      <w:r>
        <w:rPr>
          <w:rFonts w:ascii="Times New Roman" w:hAnsi="Times New Roman"/>
          <w:sz w:val="20"/>
          <w:u w:val="single"/>
        </w:rPr>
        <w:t>Section 1.10(c)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as applied to any Person means,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all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(b) that portion of obligations with respect to Capital Leases to the extent recorded as a liability on a balance sheet (excluding the footnotes thereto) of such Person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all obligations of such Person evidenced by bonds, debentures, notes or similar instruments to the extent the same would appear as a liability on a balance sheet (excluding the footnotes thereto) of such Person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any obligation of such Person owed for all or any part of the deferred purchase price of property or services (excluding (i) any earn-out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obligations incurred under ERISA, (iii) accrued expenses and trade accounts payable in the ordinary course of business (including on an inter-company basis) and (iv) liabilities associated with customer prepayments and deposits), which purchase price is (A) due more than six months from the date of incurrence of the obligation in respect thereof or (B) evidenced by a note or similar written instrument); </w:t>
      </w:r>
    </w:p>
    <w:p>
      <w:pPr>
        <w:pStyle w:val="TextBody"/>
        <w:bidi w:val="0"/>
        <w:spacing w:before="240" w:after="0"/>
        <w:jc w:val="left"/>
        <w:rPr>
          <w:rFonts w:ascii="Times New Roman" w:hAnsi="Times New Roman"/>
          <w:sz w:val="20"/>
        </w:rPr>
      </w:pPr>
      <w:r>
        <w:rPr>
          <w:rFonts w:ascii="Times New Roman" w:hAnsi="Times New Roman"/>
          <w:sz w:val="20"/>
        </w:rPr>
        <w:t xml:space="preserve">(e) all Indebtedness of others secured by any Lien on any asset owned or held by such Person regardless of whether the Indebtedness secured thereby have been assumed by such Person or is non-recourse to the credit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(f) the amount of any letter of credit issued for the account of such Person or as to which such Person is otherwise liable for reimbursement of drawings; </w:t>
      </w:r>
    </w:p>
    <w:p>
      <w:pPr>
        <w:pStyle w:val="TextBody"/>
        <w:bidi w:val="0"/>
        <w:spacing w:before="240" w:after="0"/>
        <w:jc w:val="left"/>
        <w:rPr>
          <w:rFonts w:ascii="Times New Roman" w:hAnsi="Times New Roman"/>
          <w:sz w:val="20"/>
        </w:rPr>
      </w:pPr>
      <w:r>
        <w:rPr>
          <w:rFonts w:ascii="Times New Roman" w:hAnsi="Times New Roman"/>
          <w:sz w:val="20"/>
        </w:rPr>
        <w:t xml:space="preserve">(g) the Guarantee by such Person of the Indebtedness of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all obligations of such Person in respect of any Disqualified Capital Stock; and </w:t>
      </w:r>
    </w:p>
    <w:p>
      <w:pPr>
        <w:pStyle w:val="TextBody"/>
        <w:bidi w:val="0"/>
        <w:spacing w:before="240" w:after="0"/>
        <w:jc w:val="left"/>
        <w:rPr>
          <w:rFonts w:ascii="Times New Roman" w:hAnsi="Times New Roman"/>
          <w:sz w:val="20"/>
        </w:rPr>
      </w:pPr>
      <w:r>
        <w:rPr>
          <w:rFonts w:ascii="Times New Roman" w:hAnsi="Times New Roman"/>
          <w:sz w:val="20"/>
        </w:rPr>
        <w:t xml:space="preserve">(i) all net obligations of such Person in respect of any Derivative Transaction, including any Hedge Agreement, whether or not entered into for hedging or speculative purposes;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 in no event shall obligations under any Derivative Transaction be deemed “Indebtedness” for any calculation of the Total Net Leverage Ratio, the First Lien Leverage Ratio, the Secured Leverage Ratio, the Interest Coverage Ratio or any other financial ratio under this Agreement, (ii) the amount of Indebtedness of any Person for purposes of </w:t>
      </w:r>
      <w:r>
        <w:rPr>
          <w:rFonts w:ascii="Times New Roman" w:hAnsi="Times New Roman"/>
          <w:sz w:val="20"/>
          <w:u w:val="single"/>
        </w:rPr>
        <w:t>clause (e)</w:t>
      </w:r>
      <w:r>
        <w:rPr>
          <w:rFonts w:ascii="Times New Roman" w:hAnsi="Times New Roman"/>
          <w:sz w:val="20"/>
        </w:rPr>
        <w:t xml:space="preserve"> shall be deemed to be equal to the lesser of (A) the aggregate unpaid amount of such Indebtedness and (B) the fair market value of the property encumbered thereby as determined by such Person in good faith and (iii) the term “Indebtedness”, as it applies to the Borrower and its Subsidiaries, shall exclude intercompany Indebtedness so long as (A) such intercompany Indebtedness has a term not exceeding 364 days (inclusive of any roll-over or extension of terms) and (B) in the case of any Indebtedness owed by any Loan Party to any other Subsidiary that is not a Loan Party, such Indebtedness is unsecured and subordinated to the Obligations and evidenced by the Intercompany Note.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w:t>
      </w:r>
      <w:r>
        <w:rPr>
          <w:rFonts w:ascii="Times New Roman" w:hAnsi="Times New Roman"/>
          <w:sz w:val="20"/>
          <w:u w:val="single"/>
        </w:rPr>
        <w:t>provided</w:t>
      </w:r>
      <w:r>
        <w:rPr>
          <w:rFonts w:ascii="Times New Roman" w:hAnsi="Times New Roman"/>
          <w:sz w:val="20"/>
        </w:rPr>
        <w:t xml:space="preserve">, that such Person is not liable therefor and (B) only to the extent the relevant Indebtedness is of the type that would be included in the calculation of Consolidated Total Debt; </w:t>
      </w:r>
      <w:r>
        <w:rPr>
          <w:rFonts w:ascii="Times New Roman" w:hAnsi="Times New Roman"/>
          <w:sz w:val="20"/>
          <w:u w:val="single"/>
        </w:rPr>
        <w:t>provided</w:t>
      </w:r>
      <w:r>
        <w:rPr>
          <w:rFonts w:ascii="Times New Roman" w:hAnsi="Times New Roman"/>
          <w:sz w:val="20"/>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 The amount of any Indebtedness that is issued at a discount to its initial principal amount shall be calculated based on the initial stated principal amount thereof without giving effect to such discounts.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all Taxes, other than Excluded Taxes or Other Taxes, imposed on or with respect to any payment made by or on account of any obligation of any Loan Party under any Loan Document.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assigned to such term in </w:t>
      </w:r>
      <w:r>
        <w:rPr>
          <w:rFonts w:ascii="Times New Roman" w:hAnsi="Times New Roman"/>
          <w:sz w:val="20"/>
          <w:u w:val="single"/>
        </w:rPr>
        <w:t>Section 3.11(a)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Lenders</w:t>
      </w:r>
      <w:r>
        <w:rPr>
          <w:rFonts w:ascii="Times New Roman" w:hAnsi="Times New Roman"/>
          <w:sz w:val="20"/>
        </w:rPr>
        <w:t xml:space="preserve">” means, collectively, the Lenders as of the Closing Date. </w:t>
      </w:r>
    </w:p>
    <w:p>
      <w:pPr>
        <w:pStyle w:val="TextBody"/>
        <w:bidi w:val="0"/>
        <w:spacing w:before="240" w:after="0"/>
        <w:jc w:val="left"/>
        <w:rPr/>
      </w:pPr>
      <w:r>
        <w:rPr/>
        <w:t>“</w:t>
      </w:r>
      <w:r>
        <w:rPr>
          <w:rFonts w:ascii="Times New Roman" w:hAnsi="Times New Roman"/>
          <w:sz w:val="20"/>
          <w:u w:val="single"/>
        </w:rPr>
        <w:t>Initial Revolving Credit Commitments</w:t>
      </w:r>
      <w:r>
        <w:rPr>
          <w:rFonts w:ascii="Times New Roman" w:hAnsi="Times New Roman"/>
          <w:sz w:val="20"/>
        </w:rPr>
        <w:t xml:space="preserve">” means, with respect to any Initial Revolving Lender, the amount set forth opposite such Lender’s name on the Commitment Schedule under the caption “Initial Revolving Credit Commitment” on the Closing Date or, if such Lender has entered into one or more Assignment Agreements, the amount set forth for such Lender at such time in the Register maintained by the Administrative Agent pursuant to </w:t>
      </w:r>
      <w:r>
        <w:rPr>
          <w:rFonts w:ascii="Times New Roman" w:hAnsi="Times New Roman"/>
          <w:sz w:val="20"/>
          <w:u w:val="single"/>
        </w:rPr>
        <w:t>Section 9.05(b)(iv)</w:t>
      </w:r>
      <w:r>
        <w:rPr>
          <w:rFonts w:ascii="Times New Roman" w:hAnsi="Times New Roman"/>
          <w:sz w:val="20"/>
        </w:rPr>
        <w:t xml:space="preserve"> as such Lender’s “Initial Revolving Credit Commitment”, as such amount may be reduced or increased at or prior to such time pursuant to the terms hereof. The aggregate amount of Initial Revolving Credit Commitments of all Initial Revolving Lenders shall be $200,000,000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Initial Revolving Credit Exposure</w:t>
      </w:r>
      <w:r>
        <w:rPr>
          <w:rFonts w:ascii="Times New Roman" w:hAnsi="Times New Roman"/>
          <w:sz w:val="20"/>
        </w:rPr>
        <w:t xml:space="preserve">” means, with respect to any Lender at any time, the aggregate Outstanding Amount at such time of all Initial Revolving Loans of such Lender, plus the aggregate amount at such time of such Lender’s LC Exposure and Swingline Exposure, in each case, attributable to its Initial Revolving Credit Commitment. </w:t>
      </w:r>
    </w:p>
    <w:p>
      <w:pPr>
        <w:pStyle w:val="TextBody"/>
        <w:bidi w:val="0"/>
        <w:spacing w:before="240" w:after="0"/>
        <w:jc w:val="left"/>
        <w:rPr/>
      </w:pPr>
      <w:r>
        <w:rPr/>
        <w:t>“</w:t>
      </w:r>
      <w:r>
        <w:rPr>
          <w:rFonts w:ascii="Times New Roman" w:hAnsi="Times New Roman"/>
          <w:sz w:val="20"/>
          <w:u w:val="single"/>
        </w:rPr>
        <w:t>Initial Revolving Credit Maturity Date</w:t>
      </w:r>
      <w:r>
        <w:rPr>
          <w:rFonts w:ascii="Times New Roman" w:hAnsi="Times New Roman"/>
          <w:sz w:val="20"/>
        </w:rPr>
        <w:t xml:space="preserve">” means the date that is five years after the Closing Date. </w:t>
      </w:r>
    </w:p>
    <w:p>
      <w:pPr>
        <w:pStyle w:val="TextBody"/>
        <w:bidi w:val="0"/>
        <w:spacing w:before="240" w:after="0"/>
        <w:jc w:val="left"/>
        <w:rPr/>
      </w:pPr>
      <w:r>
        <w:rPr/>
        <w:t>“</w:t>
      </w:r>
      <w:r>
        <w:rPr>
          <w:rFonts w:ascii="Times New Roman" w:hAnsi="Times New Roman"/>
          <w:sz w:val="20"/>
          <w:u w:val="single"/>
        </w:rPr>
        <w:t>Initial Revolving Facility</w:t>
      </w:r>
      <w:r>
        <w:rPr>
          <w:rFonts w:ascii="Times New Roman" w:hAnsi="Times New Roman"/>
          <w:sz w:val="20"/>
        </w:rPr>
        <w:t xml:space="preserve">” means the Initial Revolving Credit Commitments and the Initial Revolving Loans and other extensions of credit thereunder. </w:t>
      </w:r>
    </w:p>
    <w:p>
      <w:pPr>
        <w:pStyle w:val="TextBody"/>
        <w:bidi w:val="0"/>
        <w:spacing w:before="240" w:after="0"/>
        <w:jc w:val="left"/>
        <w:rPr/>
      </w:pPr>
      <w:r>
        <w:rPr/>
        <w:t>“</w:t>
      </w:r>
      <w:r>
        <w:rPr>
          <w:rFonts w:ascii="Times New Roman" w:hAnsi="Times New Roman"/>
          <w:sz w:val="20"/>
          <w:u w:val="single"/>
        </w:rPr>
        <w:t>Initial Revolving Lender</w:t>
      </w:r>
      <w:r>
        <w:rPr>
          <w:rFonts w:ascii="Times New Roman" w:hAnsi="Times New Roman"/>
          <w:sz w:val="20"/>
        </w:rPr>
        <w:t xml:space="preserve">” means a Lender with an Initial Revolving Credit Commitment or any Initial Revolving Credit Exposure. </w:t>
      </w:r>
    </w:p>
    <w:p>
      <w:pPr>
        <w:pStyle w:val="TextBody"/>
        <w:bidi w:val="0"/>
        <w:spacing w:before="240" w:after="0"/>
        <w:jc w:val="left"/>
        <w:rPr/>
      </w:pPr>
      <w:r>
        <w:rPr/>
        <w:t>“</w:t>
      </w:r>
      <w:r>
        <w:rPr>
          <w:rFonts w:ascii="Times New Roman" w:hAnsi="Times New Roman"/>
          <w:sz w:val="20"/>
          <w:u w:val="single"/>
        </w:rPr>
        <w:t>Initial Revolving Loans</w:t>
      </w:r>
      <w:r>
        <w:rPr>
          <w:rFonts w:ascii="Times New Roman" w:hAnsi="Times New Roman"/>
          <w:sz w:val="20"/>
        </w:rPr>
        <w:t xml:space="preserve">” has the meaning assigned to such term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 Security Agreement</w:t>
      </w:r>
      <w:r>
        <w:rPr>
          <w:rFonts w:ascii="Times New Roman" w:hAnsi="Times New Roman"/>
          <w:sz w:val="20"/>
        </w:rPr>
        <w:t xml:space="preserve">” means any agreement, or a supplement thereto, executed on or after the Closing Date confirming or effecting the grant by the Borrower and/or any of its Subsidiaries of any Lien on IP Rights owned by the Borrower and/or any of its Subsidiaries to the Administrative Agent, for the benefit of the Secured Parties, in accordance with this Agreement and the Security Agreement, including an Intellectual Property Security Agreement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Intercompany Note</w:t>
      </w:r>
      <w:r>
        <w:rPr>
          <w:rFonts w:ascii="Times New Roman" w:hAnsi="Times New Roman"/>
          <w:sz w:val="20"/>
        </w:rPr>
        <w:t xml:space="preserve">” means a promissory note substantially in the form of </w:t>
      </w:r>
      <w:r>
        <w:rPr>
          <w:rFonts w:ascii="Times New Roman" w:hAnsi="Times New Roman"/>
          <w:sz w:val="20"/>
          <w:u w:val="single"/>
        </w:rPr>
        <w:t>Exhibit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Surety Bond Indebtedness, a Surety Bond Intercreditor Agreement; and/or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other Indebtedness, the Junior Intercreditor Agreement, the First Lien Intercreditor Agreement and any other Acceptable Intercreditor Agreement. </w:t>
      </w:r>
    </w:p>
    <w:p>
      <w:pPr>
        <w:pStyle w:val="TextBody"/>
        <w:bidi w:val="0"/>
        <w:spacing w:before="240" w:after="0"/>
        <w:jc w:val="left"/>
        <w:rPr/>
      </w:pPr>
      <w:r>
        <w:rPr/>
        <w:t>“</w:t>
      </w:r>
      <w:r>
        <w:rPr>
          <w:rFonts w:ascii="Times New Roman" w:hAnsi="Times New Roman"/>
          <w:sz w:val="20"/>
          <w:u w:val="single"/>
        </w:rPr>
        <w:t>Interest Coverage Ratio</w:t>
      </w:r>
      <w:r>
        <w:rPr>
          <w:rFonts w:ascii="Times New Roman" w:hAnsi="Times New Roman"/>
          <w:sz w:val="20"/>
        </w:rPr>
        <w:t xml:space="preserve">” means, as of any date of determination, the ratio of (a) Consolidated Adjusted EBITDA for the most recently ended Test Period to (b) Ratio Interest Expense for such Test Period, in each case, of the Borrower and its Subsidiaries on a consolidated basis.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Borrower in the form of </w:t>
      </w:r>
      <w:r>
        <w:rPr>
          <w:rFonts w:ascii="Times New Roman" w:hAnsi="Times New Roman"/>
          <w:sz w:val="20"/>
          <w:u w:val="single"/>
        </w:rPr>
        <w:t>Exhibit G</w:t>
      </w:r>
      <w:r>
        <w:rPr>
          <w:rFonts w:ascii="Times New Roman" w:hAnsi="Times New Roman"/>
          <w:sz w:val="20"/>
        </w:rPr>
        <w:t xml:space="preserve"> or another form reasonably acceptable to the Administrative Agent to convert or continue a Borrowing in accordance with </w:t>
      </w:r>
      <w:r>
        <w:rPr>
          <w:rFonts w:ascii="Times New Roman" w:hAnsi="Times New Roman"/>
          <w:sz w:val="20"/>
          <w:u w:val="single"/>
        </w:rPr>
        <w:t>Section 2.08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the first Business Day of each January, April, July and October (commencing April 1, 2026) and the maturity date applicable to such ABR Loan and (b) with respect to any SOFR Loan, the last day of the Interest Period applicable to the Borrowing of which such Loan is a part and, in the case of a SOFR Loan with an Interest Period of more than three months’ duration, each day that would have been an Interest Payment Date had successive Interest Periods of three months’ duration been applicable to such Borrowing.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as to any SOFR Borrowing, the period commencing on the date of such Loan or Borrowing and ending on the numerically corresponding day in the calendar month that is one (1), three (3) or six (6) months thereafter (in each case, subject to the availability thereof), as specified in the applicable Borrowing Request or Interest Election Request;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w:t>
      </w:r>
      <w:r>
        <w:rPr>
          <w:rFonts w:ascii="Times New Roman" w:hAnsi="Times New Roman"/>
          <w:sz w:val="20"/>
          <w:u w:val="single"/>
        </w:rPr>
        <w:t>Section 2.14(b)</w:t>
      </w:r>
      <w:r>
        <w:rPr>
          <w:rFonts w:ascii="Times New Roman" w:hAnsi="Times New Roman"/>
          <w:sz w:val="20"/>
        </w:rPr>
        <w:t xml:space="preserve"> shall be available for specification in such Borrowing Request or Interest Election Request. For purposes hereof, the date of a Loan or Borrowing initially shall be the date on which such Loan or Borrowing is made and thereafter shall be the effective date of the most recent conversion or continuation of such Loan or Borrowing.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w:t>
      </w:r>
      <w:r>
        <w:rPr>
          <w:rFonts w:ascii="Times New Roman" w:hAnsi="Times New Roman"/>
          <w:sz w:val="20"/>
        </w:rPr>
        <w:t xml:space="preserve">” means (a) any purchase or other acquisition for consideration by the Borrower and/or any of its Subsidiaries of any of the Securities of any other Person, (b) the acquisition by purchase or otherwise (other than any purchase or other acquisition of inventory, materials, supplies and/or equipment in the ordinary course of business) for consideration of all or a substantial portion of the business, property or fixed assets of any other Person constituting a division or line of business or other business unit of any other Person and (c) any loan, advance (other than any advance to any current or former employee, officer, director, member of management, manager, consultant or independent contractor of the Borrower, any Subsidiary or any Parent Company for moving, entertainment and travel expenses, drawing accounts and similar expenditures in the ordinary course of business) or capital contribution by the Borrower or any Subsidiary to any other Person (in each case, excluding any intercompany loan, advance or Indebtedness among the Borrower and its Subsidiaries so long as (i) such loan, advance or Indebtedness has a term not exceeding 364 days (inclusive of any roll-over or extension of terms) and (ii) in the case of any such loan, advance or Indebtedness owed by any Loan Party to any Subsidiary that is not a Loan Party, such loan, advance or Indebtedness is unsecured and subordinated to the Obligations and evidenced by the Intercompany Note).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in the case of any Investment in the form of a loan and any return of capital or return on Investment in the case of any equity Investment (whether as a distribution, dividend, redemption or sale but not in excess of the amount of the relevant initial Investment, but excluding any amounts increasing the Available Amount). It is understood and agreed for the avoidance of doubt that the term “Investment” shall not include any DevCo Acquisition. </w:t>
      </w:r>
    </w:p>
    <w:p>
      <w:pPr>
        <w:pStyle w:val="TextBody"/>
        <w:bidi w:val="0"/>
        <w:spacing w:before="240" w:after="0"/>
        <w:jc w:val="left"/>
        <w:rPr/>
      </w:pPr>
      <w:r>
        <w:rPr/>
        <w:t>“</w:t>
      </w:r>
      <w:r>
        <w:rPr>
          <w:rFonts w:ascii="Times New Roman" w:hAnsi="Times New Roman"/>
          <w:sz w:val="20"/>
          <w:u w:val="single"/>
        </w:rPr>
        <w:t>Investors</w:t>
      </w:r>
      <w:r>
        <w:rPr>
          <w:rFonts w:ascii="Times New Roman" w:hAnsi="Times New Roman"/>
          <w:sz w:val="20"/>
        </w:rPr>
        <w:t xml:space="preserve">” means (a) the Sponsor, (b) the Management Investors and (c) other investors that, directly or indirectly, beneficially own Capital Stock in Holdings on the Closing Date. </w:t>
      </w:r>
    </w:p>
    <w:p>
      <w:pPr>
        <w:pStyle w:val="TextBody"/>
        <w:bidi w:val="0"/>
        <w:spacing w:before="240" w:after="0"/>
        <w:jc w:val="left"/>
        <w:rPr/>
      </w:pPr>
      <w:r>
        <w:rPr/>
        <w:t>“</w:t>
      </w:r>
      <w:r>
        <w:rPr>
          <w:rFonts w:ascii="Times New Roman" w:hAnsi="Times New Roman"/>
          <w:sz w:val="20"/>
          <w:u w:val="single"/>
        </w:rPr>
        <w:t>IP Rights</w:t>
      </w:r>
      <w:r>
        <w:rPr>
          <w:rFonts w:ascii="Times New Roman" w:hAnsi="Times New Roman"/>
          <w:sz w:val="20"/>
        </w:rPr>
        <w:t xml:space="preserve">” has the meaning assigned to such term in </w:t>
      </w:r>
      <w:r>
        <w:rPr>
          <w:rFonts w:ascii="Times New Roman" w:hAnsi="Times New Roman"/>
          <w:sz w:val="20"/>
          <w:u w:val="single"/>
        </w:rPr>
        <w:t>Section 3.05(c)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IP Separation Transaction</w:t>
      </w:r>
      <w:r>
        <w:rPr>
          <w:rFonts w:ascii="Times New Roman" w:hAnsi="Times New Roman"/>
          <w:sz w:val="20"/>
        </w:rPr>
        <w:t xml:space="preserve">” means any transfer (including any Investment, asset sale or other Disposition or Restricted Payment) or any exclusive license by any Loan Party of any Material Intellectual Property to any Subsidiary of the Borrower that is not a Loan Party. </w:t>
      </w:r>
    </w:p>
    <w:p>
      <w:pPr>
        <w:pStyle w:val="TextBody"/>
        <w:bidi w:val="0"/>
        <w:spacing w:before="240" w:after="0"/>
        <w:jc w:val="left"/>
        <w:rPr/>
      </w:pPr>
      <w:r>
        <w:rPr/>
        <w:t>“</w:t>
      </w:r>
      <w:r>
        <w:rPr>
          <w:rFonts w:ascii="Times New Roman" w:hAnsi="Times New Roman"/>
          <w:sz w:val="20"/>
          <w:u w:val="single"/>
        </w:rPr>
        <w:t>IPO</w:t>
      </w:r>
      <w:r>
        <w:rPr>
          <w:rFonts w:ascii="Times New Roman" w:hAnsi="Times New Roman"/>
          <w:sz w:val="20"/>
        </w:rPr>
        <w:t xml:space="preserve">” means the initial public offering of the Capital Stock of Public Parent which is consummated substantially concurrently with the occurrence of the Closing Date.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ISDA Definitions</w:t>
      </w:r>
      <w:r>
        <w:rPr>
          <w:rFonts w:ascii="Times New Roman" w:hAnsi="Times New Roman"/>
          <w:sz w:val="20"/>
        </w:rPr>
        <w:t xml:space="preserve">”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xml:space="preserve">” means, as the context may require, (a) KeyBank and JPM, (b) one or more Lenders that (x) are reasonably acceptable to the Borrower and (y) agree in writing to such designation and (c) any successor issuer of Letters of Credit hereunder.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 </w:t>
      </w:r>
    </w:p>
    <w:p>
      <w:pPr>
        <w:pStyle w:val="TextBody"/>
        <w:bidi w:val="0"/>
        <w:spacing w:before="240" w:after="0"/>
        <w:jc w:val="left"/>
        <w:rPr/>
      </w:pPr>
      <w:r>
        <w:rPr/>
        <w:t>“</w:t>
      </w:r>
      <w:r>
        <w:rPr>
          <w:rFonts w:ascii="Times New Roman" w:hAnsi="Times New Roman"/>
          <w:sz w:val="20"/>
          <w:u w:val="single"/>
        </w:rPr>
        <w:t>Joinder Agreement</w:t>
      </w:r>
      <w:r>
        <w:rPr>
          <w:rFonts w:ascii="Times New Roman" w:hAnsi="Times New Roman"/>
          <w:sz w:val="20"/>
        </w:rPr>
        <w:t xml:space="preserve">” means a Joinder Agreement substantially in the form of </w:t>
      </w:r>
      <w:r>
        <w:rPr>
          <w:rFonts w:ascii="Times New Roman" w:hAnsi="Times New Roman"/>
          <w:sz w:val="20"/>
          <w:u w:val="single"/>
        </w:rPr>
        <w:t>Exhibit J</w:t>
      </w:r>
      <w:r>
        <w:rPr>
          <w:rFonts w:ascii="Times New Roman" w:hAnsi="Times New Roman"/>
          <w:sz w:val="20"/>
        </w:rPr>
        <w:t xml:space="preserve"> or such other form that is reasonably satisfactory to the Administrative Agent and the Borrower. </w:t>
      </w:r>
    </w:p>
    <w:p>
      <w:pPr>
        <w:pStyle w:val="TextBody"/>
        <w:bidi w:val="0"/>
        <w:spacing w:before="240" w:after="0"/>
        <w:jc w:val="left"/>
        <w:rPr/>
      </w:pPr>
      <w:r>
        <w:rPr/>
        <w:t>“</w:t>
      </w:r>
      <w:r>
        <w:rPr>
          <w:rFonts w:ascii="Times New Roman" w:hAnsi="Times New Roman"/>
          <w:sz w:val="20"/>
          <w:u w:val="single"/>
        </w:rPr>
        <w:t>JPM</w:t>
      </w:r>
      <w:r>
        <w:rPr>
          <w:rFonts w:ascii="Times New Roman" w:hAnsi="Times New Roman"/>
          <w:sz w:val="20"/>
        </w:rPr>
        <w:t xml:space="preserve">” means JPMorgan Chase Bank,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Judgment Currency</w:t>
      </w:r>
      <w:r>
        <w:rPr>
          <w:rFonts w:ascii="Times New Roman" w:hAnsi="Times New Roman"/>
          <w:sz w:val="20"/>
        </w:rPr>
        <w:t xml:space="preserve">” has the meaning assigned to such term in </w:t>
      </w:r>
      <w:r>
        <w:rPr>
          <w:rFonts w:ascii="Times New Roman" w:hAnsi="Times New Roman"/>
          <w:sz w:val="20"/>
          <w:u w:val="single"/>
        </w:rPr>
        <w:t>Section 9.26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Junior Indebtedness</w:t>
      </w:r>
      <w:r>
        <w:rPr>
          <w:rFonts w:ascii="Times New Roman" w:hAnsi="Times New Roman"/>
          <w:sz w:val="20"/>
        </w:rPr>
        <w:t xml:space="preserve">” means any Indebtedness (other than Indebtedness among Holdings, the Borrower and/or any of its Subsidiaries) of any Loan Party that is expressly subordinated in right of payment to the Obligations. </w:t>
      </w:r>
    </w:p>
    <w:p>
      <w:pPr>
        <w:pStyle w:val="TextBody"/>
        <w:bidi w:val="0"/>
        <w:spacing w:before="240" w:after="0"/>
        <w:jc w:val="left"/>
        <w:rPr/>
      </w:pPr>
      <w:r>
        <w:rPr/>
        <w:t>“</w:t>
      </w:r>
      <w:r>
        <w:rPr>
          <w:rFonts w:ascii="Times New Roman" w:hAnsi="Times New Roman"/>
          <w:sz w:val="20"/>
          <w:u w:val="single"/>
        </w:rPr>
        <w:t>Junior Intercreditor Agreement</w:t>
      </w:r>
      <w:r>
        <w:rPr>
          <w:rFonts w:ascii="Times New Roman" w:hAnsi="Times New Roman"/>
          <w:sz w:val="20"/>
        </w:rPr>
        <w:t xml:space="preserve">” means an intercreditor agreement substantially in the form of </w:t>
      </w:r>
      <w:r>
        <w:rPr>
          <w:rFonts w:ascii="Times New Roman" w:hAnsi="Times New Roman"/>
          <w:sz w:val="20"/>
          <w:u w:val="single"/>
        </w:rPr>
        <w:t>Exhibit F-2</w:t>
      </w:r>
      <w:r>
        <w:rPr>
          <w:rFonts w:ascii="Times New Roman" w:hAnsi="Times New Roman"/>
          <w:sz w:val="20"/>
        </w:rPr>
        <w:t xml:space="preserve"> hereto, with any material or immaterial modification thereto as the Borrower and the Administrative Agent may agree in their respective reasonable discretion. </w:t>
      </w:r>
    </w:p>
    <w:p>
      <w:pPr>
        <w:pStyle w:val="TextBody"/>
        <w:bidi w:val="0"/>
        <w:spacing w:before="240" w:after="0"/>
        <w:jc w:val="left"/>
        <w:rPr/>
      </w:pPr>
      <w:r>
        <w:rPr/>
        <w:t>“</w:t>
      </w:r>
      <w:r>
        <w:rPr>
          <w:rFonts w:ascii="Times New Roman" w:hAnsi="Times New Roman"/>
          <w:sz w:val="20"/>
          <w:u w:val="single"/>
        </w:rPr>
        <w:t>Junior Lien Debt</w:t>
      </w:r>
      <w:r>
        <w:rPr>
          <w:rFonts w:ascii="Times New Roman" w:hAnsi="Times New Roman"/>
          <w:sz w:val="20"/>
        </w:rPr>
        <w:t xml:space="preserve">” means any Indebtedness that is secured by a Lien on the Collateral that is junior to the Lien securing First Lien Debt. </w:t>
      </w:r>
    </w:p>
    <w:p>
      <w:pPr>
        <w:pStyle w:val="TextBody"/>
        <w:bidi w:val="0"/>
        <w:spacing w:before="240" w:after="0"/>
        <w:jc w:val="left"/>
        <w:rPr/>
      </w:pPr>
      <w:r>
        <w:rPr/>
        <w:t>“</w:t>
      </w:r>
      <w:r>
        <w:rPr>
          <w:rFonts w:ascii="Times New Roman" w:hAnsi="Times New Roman"/>
          <w:sz w:val="20"/>
          <w:u w:val="single"/>
        </w:rPr>
        <w:t>KeyBank</w:t>
      </w:r>
      <w:r>
        <w:rPr>
          <w:rFonts w:ascii="Times New Roman" w:hAnsi="Times New Roman"/>
          <w:sz w:val="20"/>
        </w:rPr>
        <w:t xml:space="preserve">” has the meaning assigned to such term in the preamble to this Agreement. </w:t>
      </w:r>
    </w:p>
    <w:p>
      <w:pPr>
        <w:pStyle w:val="TextBody"/>
        <w:bidi w:val="0"/>
        <w:spacing w:before="240" w:after="0"/>
        <w:jc w:val="left"/>
        <w:rPr/>
      </w:pPr>
      <w:r>
        <w:rPr/>
        <w:t>“</w:t>
      </w:r>
      <w:r>
        <w:rPr>
          <w:rFonts w:ascii="Times New Roman" w:hAnsi="Times New Roman"/>
          <w:sz w:val="20"/>
          <w:u w:val="single"/>
        </w:rPr>
        <w:t>Latest Maturity Date</w:t>
      </w:r>
      <w:r>
        <w:rPr>
          <w:rFonts w:ascii="Times New Roman" w:hAnsi="Times New Roman"/>
          <w:sz w:val="20"/>
        </w:rPr>
        <w:t xml:space="preserve">” means, as of any date of determination, the latest maturity or expiration date applicable to any Loan or Commitment hereunder at such time, including the latest maturity or expiration date of any Revolving Loan or Revolving Commitment. </w:t>
      </w:r>
    </w:p>
    <w:p>
      <w:pPr>
        <w:pStyle w:val="TextBody"/>
        <w:bidi w:val="0"/>
        <w:spacing w:before="240" w:after="0"/>
        <w:jc w:val="left"/>
        <w:rPr/>
      </w:pPr>
      <w:r>
        <w:rPr/>
        <w:t>“</w:t>
      </w:r>
      <w:r>
        <w:rPr>
          <w:rFonts w:ascii="Times New Roman" w:hAnsi="Times New Roman"/>
          <w:sz w:val="20"/>
          <w:u w:val="single"/>
        </w:rPr>
        <w:t>LC Collateral Account</w:t>
      </w:r>
      <w:r>
        <w:rPr>
          <w:rFonts w:ascii="Times New Roman" w:hAnsi="Times New Roman"/>
          <w:sz w:val="20"/>
        </w:rPr>
        <w:t xml:space="preserve">” has the meaning assigned to such term in </w:t>
      </w:r>
      <w:r>
        <w:rPr>
          <w:rFonts w:ascii="Times New Roman" w:hAnsi="Times New Roman"/>
          <w:sz w:val="20"/>
          <w:u w:val="single"/>
        </w:rPr>
        <w:t>Section 2.05(j)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 payment or disbursement made by an Issuing Bank pursuant to a Letter of Credit.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 </w:t>
      </w:r>
    </w:p>
    <w:p>
      <w:pPr>
        <w:pStyle w:val="TextBody"/>
        <w:bidi w:val="0"/>
        <w:spacing w:before="240" w:after="0"/>
        <w:jc w:val="left"/>
        <w:rPr/>
      </w:pPr>
      <w:r>
        <w:rPr/>
        <w:t>“</w:t>
      </w:r>
      <w:r>
        <w:rPr>
          <w:rFonts w:ascii="Times New Roman" w:hAnsi="Times New Roman"/>
          <w:sz w:val="20"/>
          <w:u w:val="single"/>
        </w:rPr>
        <w:t>Legal Reservations</w:t>
      </w:r>
      <w:r>
        <w:rPr>
          <w:rFonts w:ascii="Times New Roman" w:hAnsi="Times New Roman"/>
          <w:sz w:val="20"/>
        </w:rPr>
        <w:t xml:space="preserve">” means the application of relevant Debtor Relief Laws, general principles of equity and/or principles of good faith and fair dealing. </w:t>
      </w:r>
    </w:p>
    <w:p>
      <w:pPr>
        <w:pStyle w:val="TextBody"/>
        <w:bidi w:val="0"/>
        <w:spacing w:before="240" w:after="0"/>
        <w:jc w:val="left"/>
        <w:rPr/>
      </w:pPr>
      <w:r>
        <w:rPr/>
        <w:t>“</w:t>
      </w:r>
      <w:r>
        <w:rPr>
          <w:rFonts w:ascii="Times New Roman" w:hAnsi="Times New Roman"/>
          <w:sz w:val="20"/>
          <w:u w:val="single"/>
        </w:rPr>
        <w:t>Lender Fee Letter</w:t>
      </w:r>
      <w:r>
        <w:rPr>
          <w:rFonts w:ascii="Times New Roman" w:hAnsi="Times New Roman"/>
          <w:sz w:val="20"/>
        </w:rPr>
        <w:t xml:space="preserve">” means that certain Amended and Restated Fee Letter, dated February 12, 2026, by and among Borrower, KeyBank and JPM.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the Lenders, any Issuing Bank, any Swingline Lender, any lender with an Additional Commitment or an outstanding Additional Loan and any other Person that becomes a party hereto pursuant to an Assignment Agreement, other than any such Person that ceases to be a party hereto pursuant to an Assignment Agreement.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standby letter of credit, other than, for the avoidance of doubt, any letter of credit issued for the purpose of providing the primary payment mechanism in connection with the purchase of any materials, goods or services by a Person in the ordinary course of business of such Person, issued pursuant to this Agreement, including for the avoidance of doubt, any Existing Letters of Credit. </w:t>
      </w:r>
    </w:p>
    <w:p>
      <w:pPr>
        <w:pStyle w:val="TextBody"/>
        <w:bidi w:val="0"/>
        <w:spacing w:before="240" w:after="0"/>
        <w:jc w:val="left"/>
        <w:rPr/>
      </w:pPr>
      <w:r>
        <w:rPr/>
        <w:t>“</w:t>
      </w:r>
      <w:r>
        <w:rPr>
          <w:rFonts w:ascii="Times New Roman" w:hAnsi="Times New Roman"/>
          <w:sz w:val="20"/>
          <w:u w:val="single"/>
        </w:rPr>
        <w:t>Letter of Credit Commitment</w:t>
      </w:r>
      <w:r>
        <w:rPr>
          <w:rFonts w:ascii="Times New Roman" w:hAnsi="Times New Roman"/>
          <w:sz w:val="20"/>
        </w:rPr>
        <w:t xml:space="preserve">” means the commitment of any Lender to issue Letters of Credit, as set forth on </w:t>
      </w:r>
      <w:r>
        <w:rPr>
          <w:rFonts w:ascii="Times New Roman" w:hAnsi="Times New Roman"/>
          <w:sz w:val="20"/>
          <w:u w:val="single"/>
        </w:rPr>
        <w:t>Schedule 1.01(b)</w:t>
      </w:r>
      <w:r>
        <w:rPr>
          <w:rFonts w:ascii="Times New Roman" w:hAnsi="Times New Roman"/>
          <w:sz w:val="20"/>
        </w:rPr>
        <w:t xml:space="preserve"> (as such Schedule may be amended with the consent of the relevant Issuing Bank and the Borrower) and/or in the agreement pursuant to which any relevant Lender becomes an Issuing Bank. </w:t>
      </w:r>
    </w:p>
    <w:p>
      <w:pPr>
        <w:pStyle w:val="TextBody"/>
        <w:bidi w:val="0"/>
        <w:spacing w:before="240" w:after="0"/>
        <w:jc w:val="left"/>
        <w:rPr/>
      </w:pPr>
      <w:r>
        <w:rPr/>
        <w:t>“</w:t>
      </w:r>
      <w:r>
        <w:rPr>
          <w:rFonts w:ascii="Times New Roman" w:hAnsi="Times New Roman"/>
          <w:sz w:val="20"/>
          <w:u w:val="single"/>
        </w:rPr>
        <w:t>Letter of Credit Reimbursement Loan</w:t>
      </w:r>
      <w:r>
        <w:rPr>
          <w:rFonts w:ascii="Times New Roman" w:hAnsi="Times New Roman"/>
          <w:sz w:val="20"/>
        </w:rPr>
        <w:t xml:space="preserve">” has the meaning assigned to such term in </w:t>
      </w:r>
      <w:r>
        <w:rPr>
          <w:rFonts w:ascii="Times New Roman" w:hAnsi="Times New Roman"/>
          <w:sz w:val="20"/>
          <w:u w:val="single"/>
        </w:rPr>
        <w:t>Section 2.05(e)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Letter-of-Credit Right</w:t>
      </w:r>
      <w:r>
        <w:rPr>
          <w:rFonts w:ascii="Times New Roman" w:hAnsi="Times New Roman"/>
          <w:sz w:val="20"/>
        </w:rPr>
        <w:t xml:space="preserve">” has the meaning set forth in Article 9 of the UCC. </w:t>
      </w:r>
    </w:p>
    <w:p>
      <w:pPr>
        <w:pStyle w:val="TextBody"/>
        <w:bidi w:val="0"/>
        <w:spacing w:before="240" w:after="0"/>
        <w:jc w:val="left"/>
        <w:rPr/>
      </w:pPr>
      <w:r>
        <w:rPr/>
        <w:t>“</w:t>
      </w:r>
      <w:r>
        <w:rPr>
          <w:rFonts w:ascii="Times New Roman" w:hAnsi="Times New Roman"/>
          <w:sz w:val="20"/>
          <w:u w:val="single"/>
        </w:rPr>
        <w:t>Letter of Credit Request</w:t>
      </w:r>
      <w:r>
        <w:rPr>
          <w:rFonts w:ascii="Times New Roman" w:hAnsi="Times New Roman"/>
          <w:sz w:val="20"/>
        </w:rPr>
        <w:t xml:space="preserve">” means a request by the Borrower for a new Letter of Credit or an amendment to any existing Letter of Credit in accordance with </w:t>
      </w:r>
      <w:r>
        <w:rPr>
          <w:rFonts w:ascii="Times New Roman" w:hAnsi="Times New Roman"/>
          <w:sz w:val="20"/>
          <w:u w:val="single"/>
        </w:rPr>
        <w:t>Section 2.05</w:t>
      </w:r>
      <w:r>
        <w:rPr>
          <w:rFonts w:ascii="Times New Roman" w:hAnsi="Times New Roman"/>
          <w:sz w:val="20"/>
        </w:rPr>
        <w:t xml:space="preserve"> and substantially in the form of </w:t>
      </w:r>
      <w:r>
        <w:rPr>
          <w:rFonts w:ascii="Times New Roman" w:hAnsi="Times New Roman"/>
          <w:sz w:val="20"/>
          <w:u w:val="single"/>
        </w:rPr>
        <w:t>Exhibit M</w:t>
      </w:r>
      <w:r>
        <w:rPr>
          <w:rFonts w:ascii="Times New Roman" w:hAnsi="Times New Roman"/>
          <w:sz w:val="20"/>
        </w:rPr>
        <w:t xml:space="preserve"> hereto or such other form that is reasonably satisfactory to the relevant Issuing Bank and the Borrower. </w:t>
      </w:r>
    </w:p>
    <w:p>
      <w:pPr>
        <w:pStyle w:val="TextBody"/>
        <w:bidi w:val="0"/>
        <w:spacing w:before="240" w:after="0"/>
        <w:jc w:val="left"/>
        <w:rPr/>
      </w:pPr>
      <w:r>
        <w:rPr/>
        <w:t>“</w:t>
      </w:r>
      <w:r>
        <w:rPr>
          <w:rFonts w:ascii="Times New Roman" w:hAnsi="Times New Roman"/>
          <w:sz w:val="20"/>
          <w:u w:val="single"/>
        </w:rPr>
        <w:t>Letter of Credit Sublimit</w:t>
      </w:r>
      <w:r>
        <w:rPr>
          <w:rFonts w:ascii="Times New Roman" w:hAnsi="Times New Roman"/>
          <w:sz w:val="20"/>
        </w:rPr>
        <w:t xml:space="preserve">” means $100,000,000, subject to (a) increase in accordance with </w:t>
      </w:r>
      <w:r>
        <w:rPr>
          <w:rFonts w:ascii="Times New Roman" w:hAnsi="Times New Roman"/>
          <w:sz w:val="20"/>
          <w:u w:val="single"/>
        </w:rPr>
        <w:t>Section 2.22</w:t>
      </w:r>
      <w:r>
        <w:rPr>
          <w:rFonts w:ascii="Times New Roman" w:hAnsi="Times New Roman"/>
          <w:sz w:val="20"/>
        </w:rPr>
        <w:t xml:space="preserve"> hereof and (b) decrease in accordance with </w:t>
      </w:r>
      <w:r>
        <w:rPr>
          <w:rFonts w:ascii="Times New Roman" w:hAnsi="Times New Roman"/>
          <w:sz w:val="20"/>
          <w:u w:val="single"/>
        </w:rPr>
        <w:t>Section 2.09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sz w:val="20"/>
          <w:u w:val="single"/>
        </w:rPr>
        <w:t>Letter of Credit Support</w:t>
      </w:r>
      <w:r>
        <w:rPr>
          <w:rFonts w:ascii="Times New Roman" w:hAnsi="Times New Roman"/>
          <w:sz w:val="20"/>
        </w:rPr>
        <w:t xml:space="preserve">” means, with respect to any Letter of Credit, that (a) such Letter of Credit has been Cash collateralized in an amount equal to 101% of the face amount of such Letter of Credit, (b) a separate letter of credit has been issued in favor of the Issuing Bank (or its designee) with respect to such Letter of Credit pursuant to arrangements reasonably satisfactory to such Issuing Bank and in an amount equal to 101% of the face amount of the applicable Letter of Credit issued hereunder, (c) such Letter of Credit has been deemed reissued under another agreement in a manner reasonably acceptable to the applicable Issuing Bank or (d) other arrangements reasonably acceptable to the relevant Issuing Bank with respect to such Letter of Credit.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 hypothec,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Times New Roman" w:hAnsi="Times New Roman"/>
          <w:sz w:val="20"/>
          <w:u w:val="single"/>
        </w:rPr>
        <w:t>provided</w:t>
      </w:r>
      <w:r>
        <w:rPr>
          <w:rFonts w:ascii="Times New Roman" w:hAnsi="Times New Roman"/>
          <w:sz w:val="20"/>
        </w:rPr>
        <w:t xml:space="preserve">, that in no event shall an operating lease in and of itself be deemed to constitute a Lien. </w:t>
      </w:r>
    </w:p>
    <w:p>
      <w:pPr>
        <w:pStyle w:val="TextBody"/>
        <w:bidi w:val="0"/>
        <w:spacing w:before="240" w:after="0"/>
        <w:jc w:val="left"/>
        <w:rPr/>
      </w:pPr>
      <w:r>
        <w:rPr/>
        <w:t>“</w:t>
      </w:r>
      <w:r>
        <w:rPr>
          <w:rFonts w:ascii="Times New Roman" w:hAnsi="Times New Roman"/>
          <w:sz w:val="20"/>
          <w:u w:val="single"/>
        </w:rPr>
        <w:t>Limited Condition Acquisition</w:t>
      </w:r>
      <w:r>
        <w:rPr>
          <w:rFonts w:ascii="Times New Roman" w:hAnsi="Times New Roman"/>
          <w:sz w:val="20"/>
        </w:rPr>
        <w:t xml:space="preserve">” means any acquisition or other similar Investment, including by way of merger, by the Borrower or one or more of its Subsidiaries permitted pursuant to the Loan Documents whose consummation is not conditioned upon the availability of, or on obtaining, third party financings.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means (a) any Limited Condition Acquisition, (b) any irrevocable Restricted Debt Payment and (c) any irrevocable Restricted Payment.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any Promissory Note, the Collateral Documents, any Acceptable Intercreditor Agreement to which the Borrower is a party, each Incremental Facility Amendment, each Extension Amendment, the Fee Letters and any other document or instrument designated by the Borrower and the Administrative Agent as a “Loan Document.” Any reference in this Agreement or any other Loan Document to any Loan Document shall include all appendices, exhibits or schedules thereto. </w:t>
      </w:r>
    </w:p>
    <w:p>
      <w:pPr>
        <w:pStyle w:val="TextBody"/>
        <w:bidi w:val="0"/>
        <w:spacing w:before="240" w:after="0"/>
        <w:jc w:val="left"/>
        <w:rPr/>
      </w:pPr>
      <w:r>
        <w:rPr/>
        <w:t>“</w:t>
      </w:r>
      <w:r>
        <w:rPr>
          <w:rFonts w:ascii="Times New Roman" w:hAnsi="Times New Roman"/>
          <w:sz w:val="20"/>
          <w:u w:val="single"/>
        </w:rPr>
        <w:t>Loan Guarantor</w:t>
      </w:r>
      <w:r>
        <w:rPr>
          <w:rFonts w:ascii="Times New Roman" w:hAnsi="Times New Roman"/>
          <w:sz w:val="20"/>
        </w:rPr>
        <w:t xml:space="preserve">” means (a) each Subsidiary Guarantor and (b) the Borrower (but only with respect to the Obligations in connection with Secured Hedging Obligations and Banking Services Obligations) and (c) Holdings. </w:t>
      </w:r>
    </w:p>
    <w:p>
      <w:pPr>
        <w:pStyle w:val="TextBody"/>
        <w:bidi w:val="0"/>
        <w:spacing w:before="240" w:after="0"/>
        <w:jc w:val="left"/>
        <w:rPr/>
      </w:pPr>
      <w:r>
        <w:rPr/>
        <w:t>“</w:t>
      </w:r>
      <w:r>
        <w:rPr>
          <w:rFonts w:ascii="Times New Roman" w:hAnsi="Times New Roman"/>
          <w:sz w:val="20"/>
          <w:u w:val="single"/>
        </w:rPr>
        <w:t>Loan Guaranty</w:t>
      </w:r>
      <w:r>
        <w:rPr>
          <w:rFonts w:ascii="Times New Roman" w:hAnsi="Times New Roman"/>
          <w:sz w:val="20"/>
        </w:rPr>
        <w:t xml:space="preserve">” means the Guaranty Agreement, substantially in the form of </w:t>
      </w:r>
      <w:r>
        <w:rPr>
          <w:rFonts w:ascii="Times New Roman" w:hAnsi="Times New Roman"/>
          <w:sz w:val="20"/>
          <w:u w:val="single"/>
        </w:rPr>
        <w:t>Exhibit H</w:t>
      </w:r>
      <w:r>
        <w:rPr>
          <w:rFonts w:ascii="Times New Roman" w:hAnsi="Times New Roman"/>
          <w:sz w:val="20"/>
        </w:rPr>
        <w:t xml:space="preserve">, executed by each Loan Guarantor and the Administrative Agent for the benefit of the Secured Parties, as supplemented in accordance with the terms of </w:t>
      </w:r>
      <w:r>
        <w:rPr>
          <w:rFonts w:ascii="Times New Roman" w:hAnsi="Times New Roman"/>
          <w:sz w:val="20"/>
          <w:u w:val="single"/>
        </w:rPr>
        <w:t>Section 5.12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Holdings, the Borrower and each Subsidiary Guarantor.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any Revolving Loan, any Additional Loan, any or any Swingline Loan. </w:t>
      </w:r>
    </w:p>
    <w:p>
      <w:pPr>
        <w:pStyle w:val="TextBody"/>
        <w:bidi w:val="0"/>
        <w:spacing w:before="240" w:after="0"/>
        <w:jc w:val="left"/>
        <w:rPr/>
      </w:pPr>
      <w:r>
        <w:rPr/>
        <w:t>“</w:t>
      </w:r>
      <w:r>
        <w:rPr>
          <w:rFonts w:ascii="Times New Roman" w:hAnsi="Times New Roman"/>
          <w:sz w:val="20"/>
          <w:u w:val="single"/>
        </w:rPr>
        <w:t>Management Investors</w:t>
      </w:r>
      <w:r>
        <w:rPr>
          <w:rFonts w:ascii="Times New Roman" w:hAnsi="Times New Roman"/>
          <w:sz w:val="20"/>
        </w:rPr>
        <w:t xml:space="preserve">” means the officers, directors (or equivalent managers), employees and members of management of the Borrower, any Parent Company and/or any Subsidiary. </w:t>
      </w:r>
    </w:p>
    <w:p>
      <w:pPr>
        <w:pStyle w:val="TextBody"/>
        <w:bidi w:val="0"/>
        <w:spacing w:before="240" w:after="0"/>
        <w:jc w:val="left"/>
        <w:rPr/>
      </w:pPr>
      <w:r>
        <w:rPr/>
        <w:t>“</w:t>
      </w:r>
      <w:r>
        <w:rPr>
          <w:rFonts w:ascii="Times New Roman" w:hAnsi="Times New Roman"/>
          <w:sz w:val="20"/>
          <w:u w:val="single"/>
        </w:rPr>
        <w:t>Margin Stock</w:t>
      </w:r>
      <w:r>
        <w:rPr>
          <w:rFonts w:ascii="Times New Roman" w:hAnsi="Times New Roman"/>
          <w:sz w:val="20"/>
        </w:rPr>
        <w:t xml:space="preserve">” has the meaning assigned to such term in Regulation 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Market Capitalization</w:t>
      </w:r>
      <w:r>
        <w:rPr>
          <w:rFonts w:ascii="Times New Roman" w:hAnsi="Times New Roman"/>
          <w:sz w:val="20"/>
        </w:rPr>
        <w:t xml:space="preserve">” means an amount, determined by the Borrower in good faith, equal to (a) the total number of issued and outstanding shares of common Capital Stock of the Borrower or the applicable Parent Company, as applicable, on the date of the declaration of a Restricted Payment permitted pursuant to </w:t>
      </w:r>
      <w:r>
        <w:rPr>
          <w:rFonts w:ascii="Times New Roman" w:hAnsi="Times New Roman"/>
          <w:sz w:val="20"/>
          <w:u w:val="single"/>
        </w:rPr>
        <w:t>Section 6.04(a)(vii)</w:t>
      </w:r>
      <w:r>
        <w:rPr>
          <w:rFonts w:ascii="Times New Roman" w:hAnsi="Times New Roman"/>
          <w:sz w:val="20"/>
        </w:rPr>
        <w:t xml:space="preserve"> </w:t>
      </w:r>
      <w:r>
        <w:rPr>
          <w:rFonts w:ascii="Times New Roman" w:hAnsi="Times New Roman"/>
          <w:sz w:val="20"/>
          <w:u w:val="single"/>
        </w:rPr>
        <w:t>multiplied by</w:t>
      </w:r>
      <w:r>
        <w:rPr>
          <w:rFonts w:ascii="Times New Roman" w:hAnsi="Times New Roman"/>
          <w:sz w:val="20"/>
        </w:rPr>
        <w:t xml:space="preserve"> (b) the arithmetic mean of the closing prices per share of such common Capital Stock on the principal securities exchange on which such common Capital Stock are traded for the 30 consecutive trading days immediately preceding the date of declaration of such Restricted Payment. </w:t>
      </w:r>
    </w:p>
    <w:p>
      <w:pPr>
        <w:pStyle w:val="TextBody"/>
        <w:bidi w:val="0"/>
        <w:spacing w:before="240" w:after="0"/>
        <w:jc w:val="left"/>
        <w:rPr/>
      </w:pPr>
      <w:r>
        <w:rPr/>
        <w:t>“</w:t>
      </w:r>
      <w:r>
        <w:rPr>
          <w:rFonts w:ascii="Times New Roman" w:hAnsi="Times New Roman"/>
          <w:sz w:val="20"/>
          <w:u w:val="single"/>
        </w:rPr>
        <w:t>Material Acquisition</w:t>
      </w:r>
      <w:r>
        <w:rPr>
          <w:rFonts w:ascii="Times New Roman" w:hAnsi="Times New Roman"/>
          <w:sz w:val="20"/>
        </w:rPr>
        <w:t xml:space="preserve">” means an acquisition or similar Investment by the Borrower or any of its Subsidiaries with total consideration, including earn-out payments and other contingent payment obligations, in an amount not less than $175,000,000.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rights and remedies (taken as a whole) of the Administrative Agent under the applicable Loan Documents, (b) the ability of the Loan Parties (taken as a whole) to perform their payment obligations under the applicable Loan Documents or (c) the business, assets, financial condition or results of operations, in each case, of Holdings and its Subsidiaries taken as a whole. </w:t>
      </w:r>
    </w:p>
    <w:p>
      <w:pPr>
        <w:pStyle w:val="TextBody"/>
        <w:bidi w:val="0"/>
        <w:spacing w:before="240" w:after="0"/>
        <w:jc w:val="left"/>
        <w:rPr/>
      </w:pPr>
      <w:r>
        <w:rPr/>
        <w:t>“</w:t>
      </w:r>
      <w:r>
        <w:rPr>
          <w:rFonts w:ascii="Times New Roman" w:hAnsi="Times New Roman"/>
          <w:sz w:val="20"/>
          <w:u w:val="single"/>
        </w:rPr>
        <w:t>Material Debt Instrument</w:t>
      </w:r>
      <w:r>
        <w:rPr>
          <w:rFonts w:ascii="Times New Roman" w:hAnsi="Times New Roman"/>
          <w:sz w:val="20"/>
        </w:rPr>
        <w:t xml:space="preserve">” means any physical instrument evidencing any Indebtedness for borrowed money which is required to be pledged and delivered to the Administrative Agent (or its bailee) pursuant to the Security Agreement. </w:t>
      </w:r>
    </w:p>
    <w:p>
      <w:pPr>
        <w:pStyle w:val="TextBody"/>
        <w:bidi w:val="0"/>
        <w:spacing w:before="240" w:after="0"/>
        <w:jc w:val="left"/>
        <w:rPr/>
      </w:pPr>
      <w:r>
        <w:rPr/>
        <w:t>“</w:t>
      </w:r>
      <w:r>
        <w:rPr>
          <w:rFonts w:ascii="Times New Roman" w:hAnsi="Times New Roman"/>
          <w:sz w:val="20"/>
          <w:u w:val="single"/>
        </w:rPr>
        <w:t>Material Intellectual Property</w:t>
      </w:r>
      <w:r>
        <w:rPr>
          <w:rFonts w:ascii="Times New Roman" w:hAnsi="Times New Roman"/>
          <w:sz w:val="20"/>
        </w:rPr>
        <w:t xml:space="preserve">” means any IP Rights owned by any Loan Party or any Subsidiary that is material to the operation of the business of the Borrower and its Subsidiaries, taken as a whole. </w:t>
      </w:r>
    </w:p>
    <w:p>
      <w:pPr>
        <w:pStyle w:val="TextBody"/>
        <w:bidi w:val="0"/>
        <w:spacing w:before="240" w:after="0"/>
        <w:jc w:val="left"/>
        <w:rPr/>
      </w:pPr>
      <w:r>
        <w:rPr/>
        <w:t>“</w:t>
      </w:r>
      <w:r>
        <w:rPr>
          <w:rFonts w:ascii="Times New Roman" w:hAnsi="Times New Roman"/>
          <w:sz w:val="20"/>
          <w:u w:val="single"/>
        </w:rPr>
        <w:t>Material Real Estate Asset</w:t>
      </w:r>
      <w:r>
        <w:rPr>
          <w:rFonts w:ascii="Times New Roman" w:hAnsi="Times New Roman"/>
          <w:sz w:val="20"/>
        </w:rPr>
        <w:t xml:space="preserve">” means (a) on the Closing Date, each Real Estate Asset listed on </w:t>
      </w:r>
      <w:r>
        <w:rPr>
          <w:rFonts w:ascii="Times New Roman" w:hAnsi="Times New Roman"/>
          <w:sz w:val="20"/>
          <w:u w:val="single"/>
        </w:rPr>
        <w:t>Schedule 1.01(c)</w:t>
      </w:r>
      <w:r>
        <w:rPr>
          <w:rFonts w:ascii="Times New Roman" w:hAnsi="Times New Roman"/>
          <w:sz w:val="20"/>
        </w:rPr>
        <w:t xml:space="preserve"> and (b) any “fee-owned” Real Estate Asset acquired by any Loan Party after the Closing Date having a fair market value (as reasonably determined by the Borrower after taking into account any liabilities with respect thereto that impact such fair market value) in excess of $20,000,000 as of the date of acquisition thereof.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(a) with respect to the Initial Revolving Credit Commitments and the Swingline Loans, the Initial Revolving Credit Maturity Date, (b) with respect to any Replacement Revolving Facility, the final maturity date for such Replacement Revolving Facility as set forth in the applicable Refinancing Amendment, and (c) with respect to Revolving Loans under any Extended Revolving Commitments, the final maturity date set forth in the applicable Extension Amendment.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to such term in </w:t>
      </w:r>
      <w:r>
        <w:rPr>
          <w:rFonts w:ascii="Times New Roman" w:hAnsi="Times New Roman"/>
          <w:sz w:val="20"/>
          <w:u w:val="single"/>
        </w:rPr>
        <w:t>Section 9.19</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sz w:val="20"/>
          <w:u w:val="single"/>
        </w:rPr>
        <w:t>Mortgage</w:t>
      </w:r>
      <w:r>
        <w:rPr>
          <w:rFonts w:ascii="Times New Roman" w:hAnsi="Times New Roman"/>
          <w:sz w:val="20"/>
        </w:rPr>
        <w:t xml:space="preserve">” means any mortgage, deed of trust, debenture, hypothec or other agreement which conveys or evidences a Lien in favor of the Administrative Agent, for the benefit of the Administrative Agent and the relevant Secured Parties, on any Material Real Estate Asset constituting Collateral, which shall contain such terms as may be necessary under applicable local Requirements of Law to perfect a Lien on the applicable Material Real Estate Asset.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employee benefit plan which is a “multiemployer plan” as defined in Section 4001(a)(3) or Section 3(37) of ERISA that is subject to the provisions of Title IV of ERISA, and in respect of which the Borrower or any of its Subsidiaries, or any of their respective ERISA Affiliates, makes or is obligated to make contributions or with respect to which any of them has any ongoing obligation or liability, contingent or otherwise, or during the preceding five plan years, has made or been obligated to make contributions. </w:t>
      </w:r>
    </w:p>
    <w:p>
      <w:pPr>
        <w:pStyle w:val="TextBody"/>
        <w:bidi w:val="0"/>
        <w:spacing w:before="240" w:after="0"/>
        <w:jc w:val="left"/>
        <w:rPr/>
      </w:pPr>
      <w:r>
        <w:rPr/>
        <w:t>“</w:t>
      </w:r>
      <w:r>
        <w:rPr>
          <w:rFonts w:ascii="Times New Roman" w:hAnsi="Times New Roman"/>
          <w:sz w:val="20"/>
          <w:u w:val="single"/>
        </w:rPr>
        <w:t>Narrative Report</w:t>
      </w:r>
      <w:r>
        <w:rPr>
          <w:rFonts w:ascii="Times New Roman" w:hAnsi="Times New Roman"/>
          <w:sz w:val="20"/>
        </w:rPr>
        <w:t xml:space="preserve">” means, with respect to the financial statements for which such Narrative Report is required, a management discussion and analysis report of the Borrower, describing the operations and financial condition of the Borrower and its Subsidiaries for the applicable Fiscal Quarter or Fiscal Year and for the period from the beginning of the then current Fiscal Year to the end of such period to which such financial statements relate.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Proceeds</w:t>
      </w:r>
      <w:r>
        <w:rPr>
          <w:rFonts w:ascii="Times New Roman" w:hAnsi="Times New Roman"/>
          <w:sz w:val="20"/>
        </w:rPr>
        <w:t xml:space="preserve">” means, with respect to any issuance of Capital Stock or capital contribution, the Cash proceeds thereof, net of all Taxes and customary fees, commissions, costs, underwriting discounts and other fees and expenses incurred in connection therewith. </w:t>
      </w:r>
    </w:p>
    <w:p>
      <w:pPr>
        <w:pStyle w:val="TextBody"/>
        <w:bidi w:val="0"/>
        <w:spacing w:before="240" w:after="0"/>
        <w:jc w:val="left"/>
        <w:rPr/>
      </w:pPr>
      <w:r>
        <w:rPr/>
        <w:t>“</w:t>
      </w:r>
      <w:r>
        <w:rPr>
          <w:rFonts w:ascii="Times New Roman" w:hAnsi="Times New Roman"/>
          <w:sz w:val="20"/>
          <w:u w:val="single"/>
        </w:rPr>
        <w:t>Non-Defaulting Revolving Lenders</w:t>
      </w:r>
      <w:r>
        <w:rPr>
          <w:rFonts w:ascii="Times New Roman" w:hAnsi="Times New Roman"/>
          <w:sz w:val="20"/>
        </w:rPr>
        <w:t xml:space="preserve">” has the meaning assigned to such term in </w:t>
      </w:r>
      <w:r>
        <w:rPr>
          <w:rFonts w:ascii="Times New Roman" w:hAnsi="Times New Roman"/>
          <w:sz w:val="20"/>
          <w:u w:val="single"/>
        </w:rPr>
        <w:t>Section 2.21(d)(i)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Non-U.S. Subsidiary</w:t>
      </w:r>
      <w:r>
        <w:rPr>
          <w:rFonts w:ascii="Times New Roman" w:hAnsi="Times New Roman"/>
          <w:sz w:val="20"/>
        </w:rPr>
        <w:t xml:space="preserve">” means any Subsidiary that is not a U.S. Subsidiary. </w:t>
      </w:r>
    </w:p>
    <w:p>
      <w:pPr>
        <w:pStyle w:val="TextBody"/>
        <w:bidi w:val="0"/>
        <w:spacing w:before="240" w:after="0"/>
        <w:jc w:val="left"/>
        <w:rPr/>
      </w:pPr>
      <w:r>
        <w:rPr/>
        <w:t>“</w:t>
      </w:r>
      <w:r>
        <w:rPr>
          <w:rFonts w:ascii="Times New Roman" w:hAnsi="Times New Roman"/>
          <w:sz w:val="20"/>
          <w:u w:val="single"/>
        </w:rPr>
        <w:t>Non-U.S. Subsidiary Holdco</w:t>
      </w:r>
      <w:r>
        <w:rPr>
          <w:rFonts w:ascii="Times New Roman" w:hAnsi="Times New Roman"/>
          <w:sz w:val="20"/>
        </w:rPr>
        <w:t xml:space="preserve">” means any U.S. Subsidiary that (a) has no material assets other than the Capital Stock or Indebtedness of one or more Non-U.S. Subsidiaries, or (b) has no material assets other than the Capital Stock or Indebtedness of one or more other Non-U.S. Subsidiary Holdcos or one or more Non-U.S. Subsidiaries.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premium and all expenses (including fees, premium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any Issuing Bank, the Administrative Agent or any indemnified party arising under the Loan Documents in respect of any Loan or Letter of Credit, whether direct or indirect (including those acquired by assumption), absolute, contingent, due or to become due, now existing or hereafter arising. </w:t>
      </w:r>
    </w:p>
    <w:p>
      <w:pPr>
        <w:pStyle w:val="TextBody"/>
        <w:bidi w:val="0"/>
        <w:spacing w:before="240" w:after="0"/>
        <w:jc w:val="left"/>
        <w:rPr/>
      </w:pPr>
      <w:r>
        <w:rPr/>
        <w:t>“</w:t>
      </w:r>
      <w:r>
        <w:rPr>
          <w:rFonts w:ascii="Times New Roman" w:hAnsi="Times New Roman"/>
          <w:sz w:val="20"/>
          <w:u w:val="single"/>
        </w:rPr>
        <w:t>Obligations Derivative Instrument</w:t>
      </w:r>
      <w:r>
        <w:rPr>
          <w:rFonts w:ascii="Times New Roman" w:hAnsi="Times New Roman"/>
          <w:sz w:val="20"/>
        </w:rPr>
        <w:t xml:space="preserve">” has the meaning assigned to such term in </w:t>
      </w:r>
      <w:r>
        <w:rPr>
          <w:rFonts w:ascii="Times New Roman" w:hAnsi="Times New Roman"/>
          <w:sz w:val="20"/>
          <w:u w:val="single"/>
        </w:rPr>
        <w:t>Section 9.05(d)(ii)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has the meaning assigned to such term in </w:t>
      </w:r>
      <w:r>
        <w:rPr>
          <w:rFonts w:ascii="Times New Roman" w:hAnsi="Times New Roman"/>
          <w:sz w:val="20"/>
          <w:u w:val="single"/>
        </w:rPr>
        <w:t>Section 3.17(a)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OpCo Lien</w:t>
      </w:r>
      <w:r>
        <w:rPr>
          <w:rFonts w:ascii="Times New Roman" w:hAnsi="Times New Roman"/>
          <w:sz w:val="20"/>
        </w:rPr>
        <w:t xml:space="preserve">” has the meaning assigned to such term in the definition of “First Priority”.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(a) with respect to any corporation, its certificate or articles of incorporation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the Administrative Agent, any Issuing Bank, any Lender or any other recipient of a payment to be made by or on account of any obligation under any Loan Document,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arising from any payment made under any Loan Document or from the execution, delivery or enforcement of, or otherwise with respect to, any Loan Document, but excluding (a) any Excluded Taxes, and (b) any such Taxes that are Other Connection Taxes imposed with respect to an assignment or participation (other than an assignment made pursuant to </w:t>
      </w:r>
      <w:r>
        <w:rPr>
          <w:rFonts w:ascii="Times New Roman" w:hAnsi="Times New Roman"/>
          <w:sz w:val="20"/>
          <w:u w:val="single"/>
        </w:rPr>
        <w:t>Section 2.19)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Outstanding Amount</w:t>
      </w:r>
      <w:r>
        <w:rPr>
          <w:rFonts w:ascii="Times New Roman" w:hAnsi="Times New Roman"/>
          <w:sz w:val="20"/>
        </w:rPr>
        <w:t xml:space="preserve">” means (a) with respect to any Loan on any date, the amount of the aggregate outstanding principal amount thereof after giving effect to any borrowings and prepayments or repayments of such Loan, as the case may be, occurring on such date, (b) with respect to any Letter of Credit,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amount of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means SOLV Energy Holdings LLC, a Delaware limited liability and a Parent Company. </w:t>
      </w:r>
    </w:p>
    <w:p>
      <w:pPr>
        <w:pStyle w:val="TextBody"/>
        <w:bidi w:val="0"/>
        <w:spacing w:before="240" w:after="0"/>
        <w:jc w:val="left"/>
        <w:rPr/>
      </w:pPr>
      <w:r>
        <w:rPr/>
        <w:t>“</w:t>
      </w:r>
      <w:r>
        <w:rPr>
          <w:rFonts w:ascii="Times New Roman" w:hAnsi="Times New Roman"/>
          <w:sz w:val="20"/>
          <w:u w:val="single"/>
        </w:rPr>
        <w:t>Parent Company</w:t>
      </w:r>
      <w:r>
        <w:rPr>
          <w:rFonts w:ascii="Times New Roman" w:hAnsi="Times New Roman"/>
          <w:sz w:val="20"/>
        </w:rPr>
        <w:t xml:space="preserve">” means (a) Parent, (b) Public Parent, and (c) any Person of which the Borrower is a direct or an indirect Wholly-Owned Subsidiary.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assigned to such term in </w:t>
      </w:r>
      <w:r>
        <w:rPr>
          <w:rFonts w:ascii="Times New Roman" w:hAnsi="Times New Roman"/>
          <w:sz w:val="20"/>
          <w:u w:val="single"/>
        </w:rPr>
        <w:t>Section 9.05(c)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to such term in </w:t>
      </w:r>
      <w:r>
        <w:rPr>
          <w:rFonts w:ascii="Times New Roman" w:hAnsi="Times New Roman"/>
          <w:sz w:val="20"/>
          <w:u w:val="single"/>
        </w:rPr>
        <w:t>Section 9.05(c)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Patent</w:t>
      </w:r>
      <w:r>
        <w:rPr>
          <w:rFonts w:ascii="Times New Roman" w:hAnsi="Times New Roman"/>
          <w:sz w:val="20"/>
        </w:rPr>
        <w:t xml:space="preserve">” means the following: (a) any and all patents, patent applications, industrial designs and industrial design applications; (b) all inventions described and claimed therein; (c) all reissues, divisions, continuations, renewals, extensions and continuations in part thereof; and (d) all rights corresponding to any of the foregoing. </w:t>
      </w:r>
    </w:p>
    <w:p>
      <w:pPr>
        <w:pStyle w:val="TextBody"/>
        <w:bidi w:val="0"/>
        <w:spacing w:before="240" w:after="0"/>
        <w:jc w:val="left"/>
        <w:rPr/>
      </w:pPr>
      <w:r>
        <w:rPr/>
        <w:t>“</w:t>
      </w:r>
      <w:r>
        <w:rPr>
          <w:rFonts w:ascii="Times New Roman" w:hAnsi="Times New Roman"/>
          <w:sz w:val="20"/>
          <w:u w:val="single"/>
        </w:rPr>
        <w:t>Payment Notice</w:t>
      </w:r>
      <w:r>
        <w:rPr>
          <w:rFonts w:ascii="Times New Roman" w:hAnsi="Times New Roman"/>
          <w:sz w:val="20"/>
        </w:rPr>
        <w:t xml:space="preserve">” has the meaning assigned to it in </w:t>
      </w:r>
      <w:r>
        <w:rPr>
          <w:rFonts w:ascii="Times New Roman" w:hAnsi="Times New Roman"/>
          <w:sz w:val="20"/>
          <w:u w:val="single"/>
        </w:rPr>
        <w:t>Section 8.14(a)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Recipient</w:t>
      </w:r>
      <w:r>
        <w:rPr>
          <w:rFonts w:ascii="Times New Roman" w:hAnsi="Times New Roman"/>
          <w:sz w:val="20"/>
        </w:rPr>
        <w:t xml:space="preserve">” has the meaning assigned to it in </w:t>
      </w:r>
      <w:r>
        <w:rPr>
          <w:rFonts w:ascii="Times New Roman" w:hAnsi="Times New Roman"/>
          <w:sz w:val="20"/>
          <w:u w:val="single"/>
        </w:rPr>
        <w:t>Section 8.14(a)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any “employee pension benefit plan”, as defined in Section 3(2) of ERISA (including a “multiple employer plan” described in Section 4064 of ERISA but other than a Multiemployer Plan), that is subject to the provisions of Title IV of ERISA or Section 412 of the Code or Section 302 of ERISA, which the Borrower and/or any of its Subsidiaries, or any of their respective ERISA Affiliates, maintains or contributes to or has an obligation to contribute to. </w:t>
      </w:r>
    </w:p>
    <w:p>
      <w:pPr>
        <w:pStyle w:val="TextBody"/>
        <w:bidi w:val="0"/>
        <w:spacing w:before="240" w:after="0"/>
        <w:jc w:val="left"/>
        <w:rPr/>
      </w:pPr>
      <w:r>
        <w:rPr/>
        <w:t>“</w:t>
      </w:r>
      <w:r>
        <w:rPr>
          <w:rFonts w:ascii="Times New Roman" w:hAnsi="Times New Roman"/>
          <w:sz w:val="20"/>
          <w:u w:val="single"/>
        </w:rPr>
        <w:t>Perfection Certificate</w:t>
      </w:r>
      <w:r>
        <w:rPr>
          <w:rFonts w:ascii="Times New Roman" w:hAnsi="Times New Roman"/>
          <w:sz w:val="20"/>
        </w:rPr>
        <w:t xml:space="preserve">” means a certificate substantially in the form of </w:t>
      </w:r>
      <w:r>
        <w:rPr>
          <w:rFonts w:ascii="Times New Roman" w:hAnsi="Times New Roman"/>
          <w:sz w:val="20"/>
          <w:u w:val="single"/>
        </w:rPr>
        <w:t>Exhibit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Perfection Requirements</w:t>
      </w:r>
      <w:r>
        <w:rPr>
          <w:rFonts w:ascii="Times New Roman" w:hAnsi="Times New Roman"/>
          <w:sz w:val="20"/>
        </w:rPr>
        <w:t xml:space="preserve">” means the filing of appropriate financing statements with the office of the Secretary of State or other appropriate office of the location (as determined by Section 9-307 of the UCC) of each Loan Party, the filing of Intellectual Property Security Agreements or other appropriate instruments or notices with the U.S. Patent and Trademark Office and the U.S. Copyright Office, the proper recording or filing, as applicable, of Mortgages and fixture filings with respect to any Material Real Estate Asset constituting Collateral, in each case, in favor of the Administrative Agent for the benefit of the Secured Parties and the delivery to the Administrative Agent of any stock certificate, instrument, tangible chattel paper or promissory note, together with instruments of transfer executed in blank, in each case, to the extent required by the applicable Loan Documents and the corresponding required actions in any jurisdiction located outside the United States, in each case, to the extent required by the applicable Loan Documents.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xml:space="preserve">” has the meaning specified in the definition of “Term SOFR”.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any acquisition made by the Borrower and/or any of its Subsidiaries, whether by purchase, merger or otherwise, of all or substantially all of the assets of, or any business line, unit or division or product line (including research and development and related assets in respect of any product) of, any Person or of a majority of the outstanding Capital Stock of any Person who is engaged in a Similar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any event, including any Investment in (a) any Subsidiary the effect of which is to increase the Borrower’s or any Subsidiary’s equity ownership in such Subsidiary or (b) any joint venture for the purpose of increasing the Borrower’s or its relevant Subsidiary’s ownership interest in such joint venture) if (i) such Person becomes a Subsidiary or (ii) such Person, in one transaction or a series of related transactions, is amalgamated, merged or consolidated with or into, or transfers or conveys substantially all of its assets (or such division, business unit or product line) to, or is liquidated into, the Borrower and/or any Subsidiary as a result of such Investment. </w:t>
      </w:r>
    </w:p>
    <w:p>
      <w:pPr>
        <w:pStyle w:val="TextBody"/>
        <w:bidi w:val="0"/>
        <w:spacing w:before="240" w:after="0"/>
        <w:jc w:val="left"/>
        <w:rPr/>
      </w:pPr>
      <w:r>
        <w:rPr/>
        <w:t>“</w:t>
      </w:r>
      <w:r>
        <w:rPr>
          <w:rFonts w:ascii="Times New Roman" w:hAnsi="Times New Roman"/>
          <w:sz w:val="20"/>
          <w:u w:val="single"/>
        </w:rPr>
        <w:t>Permitted Asset Swap</w:t>
      </w:r>
      <w:r>
        <w:rPr>
          <w:rFonts w:ascii="Times New Roman" w:hAnsi="Times New Roman"/>
          <w:sz w:val="20"/>
        </w:rPr>
        <w:t xml:space="preserve">” means the concurrent purchase and sale or exchange of Related Business Assets or any combination of Related Business Assets between the Borrower and/or any Subsidiary, on the one hand, and any other Person, on the other hand.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(a) the Investors and (b) any Person with which one or more Investors form a “group” (within the meaning of Section 14(d) of the Exchange Act) so long as, in the case of this </w:t>
      </w:r>
      <w:r>
        <w:rPr>
          <w:rFonts w:ascii="Times New Roman" w:hAnsi="Times New Roman"/>
          <w:sz w:val="20"/>
          <w:u w:val="single"/>
        </w:rPr>
        <w:t>clause (b)</w:t>
      </w:r>
      <w:r>
        <w:rPr>
          <w:rFonts w:ascii="Times New Roman" w:hAnsi="Times New Roman"/>
          <w:sz w:val="20"/>
        </w:rPr>
        <w:t xml:space="preserve">, the relevant Investors beneficially own more than 50% of the relevant voting stock beneficially owned by the group.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Liens permitted or not restricted pursuant to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Receivables Facility</w:t>
      </w:r>
      <w:r>
        <w:rPr>
          <w:rFonts w:ascii="Times New Roman" w:hAnsi="Times New Roman"/>
          <w:sz w:val="20"/>
        </w:rPr>
        <w:t xml:space="preserve">” means any receivables, factoring and/or securitization facility, arrangement or program that is non-recourse to the Borrower and/or any Subsidiary that is not a Receivables Subsidiary (except for customary (in the good faith determination of the Borrower) representations, warranties, covenants, performance undertakings, indemnities, guarantees and liens) pursuant to which the Borrower and/or any of its Subsidiaries (a) sells or grants a security interest in receivables, payables or securitization assets (including royalty and other revenue streams or other rights to payment and the proceeds thereof) and/or similar and/or related assets to a Person that is not a Subsidiary (including any Subsidiary of the Borrower) or (b) sells, contributes, transfers or grants a security interest in receivables, payables or securitization assets (including royalty and other revenue streams or other rights to payment and the proceeds thereof) and/or similar and/or related assets directly or indirectly to a Receivables Subsidiary that, in turn, pledges, sells or otherwise transfers its accounts receivable, payables or securitization assets and/or similar or related assets to a Person that is not a Subsidiary (including any Subsidiary of the Borrower).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any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benefit plan” (as such term is defined in Section 3(3) of ERISA) established, sponsored, maintained or contributed to by the Borrower and/or any of its Subsidiaries or, with respect to any such plan that is subject to Section 412 or 430 of the Code, Section 302 or Section 303 of ERISA or Title IV of ERISA, any of its ERISA Affiliates, other than any Multiemployer Plan.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assigned to such term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Previously Absent Financial Maintenance Covenant</w:t>
      </w:r>
      <w:r>
        <w:rPr>
          <w:rFonts w:ascii="Times New Roman" w:hAnsi="Times New Roman"/>
          <w:sz w:val="20"/>
        </w:rPr>
        <w:t xml:space="preserve">” means, at any time, (a) any financial maintenance covenant that is not contained in this Agreement at such time and (b) any financial maintenance covenant, a corresponding version of which is already contained in this Agreement at such time but with covenant levels and component definitions (to the extent relating to such corresponding version) that are less restrictive as to the Borrower and the Subsidiaries than those in the applicable Extension Amendment. </w:t>
      </w:r>
    </w:p>
    <w:p>
      <w:pPr>
        <w:pStyle w:val="TextBody"/>
        <w:bidi w:val="0"/>
        <w:spacing w:before="240" w:after="0"/>
        <w:jc w:val="left"/>
        <w:rPr/>
      </w:pPr>
      <w:r>
        <w:rPr/>
        <w:t>“</w:t>
      </w:r>
      <w:r>
        <w:rPr>
          <w:rFonts w:ascii="Times New Roman" w:hAnsi="Times New Roman"/>
          <w:sz w:val="20"/>
          <w:u w:val="single"/>
        </w:rPr>
        <w:t>Primary Obligor</w:t>
      </w:r>
      <w:r>
        <w:rPr>
          <w:rFonts w:ascii="Times New Roman" w:hAnsi="Times New Roman"/>
          <w:sz w:val="20"/>
        </w:rPr>
        <w:t xml:space="preserve">” has the meaning assigned to such term in the definition of “Guarantee”.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per annum publicly announced from time to time by the Person acting as the Administrative Agent as its prime rate in effect at its principal office. The Prime Rate is a reference rate and does not necessarily represent the lowest or best rate actually charged to any customer. The Administrative Agent or any Lender may make commercial loans or other loans at rates of interest at, above or below the Prime Rate. Any change in the Prime Rate shall take effect at the opening of business on the day specified in the public announcement of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Forma Basis</w:t>
      </w:r>
      <w:r>
        <w:rPr>
          <w:rFonts w:ascii="Times New Roman" w:hAnsi="Times New Roman"/>
          <w:sz w:val="20"/>
        </w:rPr>
        <w:t>” or “</w:t>
      </w:r>
      <w:r>
        <w:rPr>
          <w:rFonts w:ascii="Times New Roman" w:hAnsi="Times New Roman"/>
          <w:sz w:val="20"/>
          <w:u w:val="single"/>
        </w:rPr>
        <w:t>pro forma effect</w:t>
      </w:r>
      <w:r>
        <w:rPr>
          <w:rFonts w:ascii="Times New Roman" w:hAnsi="Times New Roman"/>
          <w:sz w:val="20"/>
        </w:rPr>
        <w:t xml:space="preserve">” means, with respect to any determination of the Total Net Leverage Ratio, the First Lien Leverage Ratio, the Secured Leverage Ratio, the Interest Coverage Ratio, Consolidated Adjusted EBITDA or Consolidated Total Assets (including component definitions thereof), that: </w:t>
      </w:r>
    </w:p>
    <w:p>
      <w:pPr>
        <w:pStyle w:val="TextBody"/>
        <w:bidi w:val="0"/>
        <w:spacing w:before="120" w:after="0"/>
        <w:jc w:val="left"/>
        <w:rPr>
          <w:rFonts w:ascii="Times New Roman" w:hAnsi="Times New Roman"/>
          <w:sz w:val="20"/>
        </w:rPr>
      </w:pPr>
      <w:r>
        <w:rPr>
          <w:rFonts w:ascii="Times New Roman" w:hAnsi="Times New Roman"/>
          <w:sz w:val="20"/>
        </w:rPr>
        <w:t xml:space="preserve">(a) (i) in the case of (A) any Disposition of all or substantially all of the Capital Stock of any Subsidiary or any division and/or product line of the Borrower and/or any of its Subsidiaries that constitutes a Subject Transaction or (B) the implementation of any Cost Saving Initiative, income statement items (whether positive or negative and including any Expected Cost Savings)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and/or Investment described in the definition of the term “Subject Transaction”,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 it being understood that any </w:t>
      </w:r>
      <w:r>
        <w:rPr>
          <w:rFonts w:ascii="Times New Roman" w:hAnsi="Times New Roman"/>
          <w:i/>
          <w:sz w:val="20"/>
        </w:rPr>
        <w:t>pro forma</w:t>
      </w:r>
      <w:r>
        <w:rPr>
          <w:rFonts w:ascii="Times New Roman" w:hAnsi="Times New Roman"/>
          <w:sz w:val="20"/>
        </w:rPr>
        <w:t xml:space="preserve"> adjustment pursuant to this </w:t>
      </w:r>
      <w:r>
        <w:rPr>
          <w:rFonts w:ascii="Times New Roman" w:hAnsi="Times New Roman"/>
          <w:sz w:val="20"/>
          <w:u w:val="single"/>
        </w:rPr>
        <w:t>clause (a)</w:t>
      </w:r>
      <w:r>
        <w:rPr>
          <w:rFonts w:ascii="Times New Roman" w:hAnsi="Times New Roman"/>
          <w:sz w:val="20"/>
        </w:rPr>
        <w:t xml:space="preserve"> arising as a result of any Expected Cost Savings shall be without duplication of any adjustment pursuant to </w:t>
      </w:r>
      <w:r>
        <w:rPr>
          <w:rFonts w:ascii="Times New Roman" w:hAnsi="Times New Roman"/>
          <w:sz w:val="20"/>
          <w:u w:val="single"/>
        </w:rPr>
        <w:t>clause (e)</w:t>
      </w:r>
      <w:r>
        <w:rPr>
          <w:rFonts w:ascii="Times New Roman" w:hAnsi="Times New Roman"/>
          <w:sz w:val="20"/>
        </w:rPr>
        <w:t xml:space="preserve"> of the definition of “Consolidated Adjusted EBITDA” and shall be subject to any applicable caps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(b) any retirement or repayment of Indebtedness shall be deemed to have occurred as of the last day (or, in the case of the Interest Coverage Ratio, the first day) of the applicable Test Period with respect to any test or covenant for which the relevant determination is being made, </w:t>
      </w:r>
    </w:p>
    <w:p>
      <w:pPr>
        <w:pStyle w:val="TextBody"/>
        <w:bidi w:val="0"/>
        <w:spacing w:before="240" w:after="0"/>
        <w:jc w:val="left"/>
        <w:rPr>
          <w:rFonts w:ascii="Times New Roman" w:hAnsi="Times New Roman"/>
          <w:sz w:val="20"/>
        </w:rPr>
      </w:pPr>
      <w:r>
        <w:rPr>
          <w:rFonts w:ascii="Times New Roman" w:hAnsi="Times New Roman"/>
          <w:sz w:val="20"/>
        </w:rPr>
        <w:t xml:space="preserve">(c) any Indebtedness incurred by the Borrower and/or any of its Subsidiaries in connection therewith shall be deemed to have occurred as of the last day (or, in the case of the Interest Coverage Ratio, first day) of the applicable Test Period with respect to any test or covenant for which the relevant determination is being made; </w:t>
      </w:r>
      <w:r>
        <w:rPr>
          <w:rFonts w:ascii="Times New Roman" w:hAnsi="Times New Roman"/>
          <w:sz w:val="20"/>
          <w:u w:val="single"/>
        </w:rPr>
        <w:t>provided</w:t>
      </w:r>
      <w:r>
        <w:rPr>
          <w:rFonts w:ascii="Times New Roman" w:hAnsi="Times New Roman"/>
          <w:sz w:val="20"/>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Capital Lease shall be deemed to accrue at an interest rate reasonably determined by a Responsible Officer of the Borrower to be the rate of interest implicit in such obligation in accordance with GAAP and (z) interest on any Indebtedness that may optionally be determined at an interest rate based upon a factor of a prime or similar rate, secured overnight financing rate, or other rate shall be determined to have been based upon the rate actually chosen, or if none, then based upon such optional rate chosen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(d) the acquisition of any asset included in calculating Consolidated Total Assets (other than the amount Cash or Cash Equivalents), whether pursuant to any Subject Transaction or any Person becoming a Subsidiary or merging, amalgamating or consolidating with or into the Borrower or any of its Subsidiaries, or the Disposition of any asset described in the definition of “Subject Transaction” included in calculating Consolidated Total Assets shall be deemed to have occurred as of the last day of the applicable Test Period with respect to any test or covenant for which such calculation is being made, </w:t>
      </w:r>
    </w:p>
    <w:p>
      <w:pPr>
        <w:pStyle w:val="TextBody"/>
        <w:bidi w:val="0"/>
        <w:spacing w:before="24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Section 1.10</w:t>
      </w:r>
      <w:r>
        <w:rPr>
          <w:rFonts w:ascii="Times New Roman" w:hAnsi="Times New Roman"/>
          <w:sz w:val="20"/>
        </w:rPr>
        <w:t xml:space="preserve"> and, for the avoidance of doubt, other than for purposes of </w:t>
      </w:r>
      <w:r>
        <w:rPr>
          <w:rFonts w:ascii="Times New Roman" w:hAnsi="Times New Roman"/>
          <w:sz w:val="20"/>
          <w:u w:val="single"/>
        </w:rPr>
        <w:t>Section 6.15(a)</w:t>
      </w:r>
      <w:r>
        <w:rPr>
          <w:rFonts w:ascii="Times New Roman" w:hAnsi="Times New Roman"/>
          <w:sz w:val="20"/>
        </w:rPr>
        <w:t xml:space="preserve"> hereof, the Unrestricted Cash Amount shall be calculated as of the date of the consummation of such Subject Transaction after giving pro forma effect thereto, including any application of cash proceeds in connection therewith (other than, for the avoidance of doubt, the cash proceeds of any Indebtedness that is the Subject Transaction for which such a calculation is being made); and </w:t>
      </w:r>
    </w:p>
    <w:p>
      <w:pPr>
        <w:pStyle w:val="TextBody"/>
        <w:bidi w:val="0"/>
        <w:spacing w:before="240" w:after="0"/>
        <w:jc w:val="left"/>
        <w:rPr>
          <w:rFonts w:ascii="Times New Roman" w:hAnsi="Times New Roman"/>
          <w:sz w:val="20"/>
        </w:rPr>
      </w:pPr>
      <w:r>
        <w:rPr>
          <w:rFonts w:ascii="Times New Roman" w:hAnsi="Times New Roman"/>
          <w:sz w:val="20"/>
        </w:rPr>
        <w:t xml:space="preserve">(f) each other Subject Transaction shall be deemed to have occurred as of the first day of the applicable Test Period (or, in the case of Consolidated Total Assets, as of the last day of such Test Period) with respect to any test or covenant for which such calculation is being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hereby agreed that for purposes of determining pro forma compliance with </w:t>
      </w:r>
      <w:r>
        <w:rPr>
          <w:rFonts w:ascii="Times New Roman" w:hAnsi="Times New Roman"/>
          <w:sz w:val="20"/>
          <w:u w:val="single"/>
        </w:rPr>
        <w:t>Section 6.15(a)</w:t>
      </w:r>
      <w:r>
        <w:rPr>
          <w:rFonts w:ascii="Times New Roman" w:hAnsi="Times New Roman"/>
          <w:sz w:val="20"/>
        </w:rPr>
        <w:t xml:space="preserve"> and/or </w:t>
      </w:r>
      <w:r>
        <w:rPr>
          <w:rFonts w:ascii="Times New Roman" w:hAnsi="Times New Roman"/>
          <w:sz w:val="20"/>
          <w:u w:val="single"/>
        </w:rPr>
        <w:t>Section 6.15(b)</w:t>
      </w:r>
      <w:r>
        <w:rPr>
          <w:rFonts w:ascii="Times New Roman" w:hAnsi="Times New Roman"/>
          <w:sz w:val="20"/>
        </w:rPr>
        <w:t xml:space="preserve"> prior to the last day of the first full Fiscal Quarter after the Closing Date, the applicable level shall be the first level cited in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Section 6.15(b)</w:t>
      </w:r>
      <w:r>
        <w:rPr>
          <w:rFonts w:ascii="Times New Roman" w:hAnsi="Times New Roman"/>
          <w:sz w:val="20"/>
        </w:rPr>
        <w:t xml:space="preserve">, as applicable. Notwithstanding anything to the contrary set forth in the immediately preceding paragraph, for the avoidance of doubt, when calculating the Total Net Leverage Ratio for purposes of </w:t>
      </w:r>
      <w:r>
        <w:rPr>
          <w:rFonts w:ascii="Times New Roman" w:hAnsi="Times New Roman"/>
          <w:sz w:val="20"/>
          <w:u w:val="single"/>
        </w:rPr>
        <w:t>Section 6.15(a)</w:t>
      </w:r>
      <w:r>
        <w:rPr>
          <w:rFonts w:ascii="Times New Roman" w:hAnsi="Times New Roman"/>
          <w:sz w:val="20"/>
        </w:rPr>
        <w:t xml:space="preserve"> (other than for the purpose of determining (i) pro forma compliance with </w:t>
      </w:r>
      <w:r>
        <w:rPr>
          <w:rFonts w:ascii="Times New Roman" w:hAnsi="Times New Roman"/>
          <w:sz w:val="20"/>
          <w:u w:val="single"/>
        </w:rPr>
        <w:t>Section 6.15(a)</w:t>
      </w:r>
      <w:r>
        <w:rPr>
          <w:rFonts w:ascii="Times New Roman" w:hAnsi="Times New Roman"/>
          <w:sz w:val="20"/>
        </w:rPr>
        <w:t xml:space="preserve"> as a condition to taking any action under this Agreement) and/or the Interest Coverage Ratio for purposes of </w:t>
      </w:r>
      <w:r>
        <w:rPr>
          <w:rFonts w:ascii="Times New Roman" w:hAnsi="Times New Roman"/>
          <w:sz w:val="20"/>
          <w:u w:val="single"/>
        </w:rPr>
        <w:t>Section 6.15(b)</w:t>
      </w:r>
      <w:r>
        <w:rPr>
          <w:rFonts w:ascii="Times New Roman" w:hAnsi="Times New Roman"/>
          <w:sz w:val="20"/>
        </w:rPr>
        <w:t xml:space="preserve"> (other than for the purpose of determining pro forma compliance with </w:t>
      </w:r>
      <w:r>
        <w:rPr>
          <w:rFonts w:ascii="Times New Roman" w:hAnsi="Times New Roman"/>
          <w:sz w:val="20"/>
          <w:u w:val="single"/>
        </w:rPr>
        <w:t>Section 6.15(b)</w:t>
      </w:r>
      <w:r>
        <w:rPr>
          <w:rFonts w:ascii="Times New Roman" w:hAnsi="Times New Roman"/>
          <w:sz w:val="20"/>
        </w:rPr>
        <w:t xml:space="preserve"> as a condition to taking any action under this Agreement), (ii) the “Applicable Rate” and (iii) the “Commitment Fee Rate”, the events described in the immediately preceding paragraph that occurred subsequent to the end of the applicable Test Period shall not be given pro forma effect. </w:t>
      </w:r>
    </w:p>
    <w:p>
      <w:pPr>
        <w:pStyle w:val="TextBody"/>
        <w:bidi w:val="0"/>
        <w:spacing w:before="240" w:after="0"/>
        <w:jc w:val="left"/>
        <w:rPr/>
      </w:pPr>
      <w:r>
        <w:rPr/>
        <w:t>“</w:t>
      </w:r>
      <w:r>
        <w:rPr>
          <w:rFonts w:ascii="Times New Roman" w:hAnsi="Times New Roman"/>
          <w:sz w:val="20"/>
          <w:u w:val="single"/>
        </w:rPr>
        <w:t>Project Development Subsidiary</w:t>
      </w:r>
      <w:r>
        <w:rPr>
          <w:rFonts w:ascii="Times New Roman" w:hAnsi="Times New Roman"/>
          <w:sz w:val="20"/>
        </w:rPr>
        <w:t xml:space="preserve">” means any subsidiary of DevCo formed for the purpose of developing a solar power facility or establishing any solar investment. </w:t>
      </w:r>
    </w:p>
    <w:p>
      <w:pPr>
        <w:pStyle w:val="TextBody"/>
        <w:bidi w:val="0"/>
        <w:spacing w:before="240" w:after="0"/>
        <w:jc w:val="left"/>
        <w:rPr/>
      </w:pPr>
      <w:r>
        <w:rPr/>
        <w:t>“</w:t>
      </w:r>
      <w:r>
        <w:rPr>
          <w:rFonts w:ascii="Times New Roman" w:hAnsi="Times New Roman"/>
          <w:sz w:val="20"/>
          <w:u w:val="single"/>
        </w:rPr>
        <w:t>Projections</w:t>
      </w:r>
      <w:r>
        <w:rPr>
          <w:rFonts w:ascii="Times New Roman" w:hAnsi="Times New Roman"/>
          <w:sz w:val="20"/>
        </w:rPr>
        <w:t xml:space="preserve">” has the meaning assigned to such term in </w:t>
      </w:r>
      <w:r>
        <w:rPr>
          <w:rFonts w:ascii="Times New Roman" w:hAnsi="Times New Roman"/>
          <w:sz w:val="20"/>
          <w:u w:val="single"/>
        </w:rPr>
        <w:t>Section 3.11(a)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Promissory Note</w:t>
      </w:r>
      <w:r>
        <w:rPr>
          <w:rFonts w:ascii="Times New Roman" w:hAnsi="Times New Roman"/>
          <w:sz w:val="20"/>
        </w:rPr>
        <w:t xml:space="preserve">” means a promissory note of the Borrower payable to any Lender or its registered assigns, in substantially the form of </w:t>
      </w:r>
      <w:r>
        <w:rPr>
          <w:rFonts w:ascii="Times New Roman" w:hAnsi="Times New Roman"/>
          <w:sz w:val="20"/>
          <w:u w:val="single"/>
        </w:rPr>
        <w:t>Exhibit K</w:t>
      </w:r>
      <w:r>
        <w:rPr>
          <w:rFonts w:ascii="Times New Roman" w:hAnsi="Times New Roman"/>
          <w:sz w:val="20"/>
        </w:rPr>
        <w:t xml:space="preserve">, evidencing the aggregate outstanding principal amount of Loans of the Borrower to such Lender resulting from the Loans made by such Lender.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Company Costs</w:t>
      </w:r>
      <w:r>
        <w:rPr>
          <w:rFonts w:ascii="Times New Roman" w:hAnsi="Times New Roman"/>
          <w:sz w:val="20"/>
        </w:rPr>
        <w:t xml:space="preserve">”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and other executive costs, legal and other professional fees (including auditors’ and accountants’ fees), listing fees and filing fees associated with being a public company. </w:t>
      </w:r>
    </w:p>
    <w:p>
      <w:pPr>
        <w:pStyle w:val="TextBody"/>
        <w:bidi w:val="0"/>
        <w:spacing w:before="240" w:after="0"/>
        <w:jc w:val="left"/>
        <w:rPr/>
      </w:pPr>
      <w:r>
        <w:rPr/>
        <w:t>“</w:t>
      </w:r>
      <w:r>
        <w:rPr>
          <w:rFonts w:ascii="Times New Roman" w:hAnsi="Times New Roman"/>
          <w:sz w:val="20"/>
          <w:u w:val="single"/>
        </w:rPr>
        <w:t>Public Parent</w:t>
      </w:r>
      <w:r>
        <w:rPr>
          <w:rFonts w:ascii="Times New Roman" w:hAnsi="Times New Roman"/>
          <w:sz w:val="20"/>
        </w:rPr>
        <w:t xml:space="preserve">” means SOLV Energy, Inc., a Delaware corporation.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assigned to such term in </w:t>
      </w:r>
      <w:r>
        <w:rPr>
          <w:rFonts w:ascii="Times New Roman" w:hAnsi="Times New Roman"/>
          <w:sz w:val="20"/>
          <w:u w:val="single"/>
        </w:rPr>
        <w:t>Section 9.01(d)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QFC Credit Support</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Qualified Capital Stock</w:t>
      </w:r>
      <w:r>
        <w:rPr>
          <w:rFonts w:ascii="Times New Roman" w:hAnsi="Times New Roman"/>
          <w:sz w:val="20"/>
        </w:rPr>
        <w:t xml:space="preserve">” of any Person means any Capital Stock of such Person that is not Disqualified Capital Stock. </w:t>
      </w:r>
    </w:p>
    <w:p>
      <w:pPr>
        <w:pStyle w:val="TextBody"/>
        <w:bidi w:val="0"/>
        <w:spacing w:before="240" w:after="0"/>
        <w:jc w:val="left"/>
        <w:rPr/>
      </w:pPr>
      <w:r>
        <w:rPr/>
        <w:t>“</w:t>
      </w:r>
      <w:r>
        <w:rPr>
          <w:rFonts w:ascii="Times New Roman" w:hAnsi="Times New Roman"/>
          <w:sz w:val="20"/>
          <w:u w:val="single"/>
        </w:rPr>
        <w:t>Ratio Debt</w:t>
      </w:r>
      <w:r>
        <w:rPr>
          <w:rFonts w:ascii="Times New Roman" w:hAnsi="Times New Roman"/>
          <w:sz w:val="20"/>
        </w:rPr>
        <w:t xml:space="preserve">” has the meaning assigned to such term in </w:t>
      </w:r>
      <w:r>
        <w:rPr>
          <w:rFonts w:ascii="Times New Roman" w:hAnsi="Times New Roman"/>
          <w:sz w:val="20"/>
          <w:u w:val="single"/>
        </w:rPr>
        <w:t>Section 6.01(w)</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Ratio Interest Expense</w:t>
      </w:r>
      <w:r>
        <w:rPr>
          <w:rFonts w:ascii="Times New Roman" w:hAnsi="Times New Roman"/>
          <w:sz w:val="20"/>
        </w:rPr>
        <w:t xml:space="preserve">” means, with respect to any Person for any period, (a) the sum of (x) consolidated total interest expense of such Person and its Subsidiaries for such period, whether paid or accrued and whether or not capitalized, (i) including (A) the interest component of any payment under any Capital Lease (regardless of whether accounted for as interest expense under GAAP), (B) amortization of original issue discount resulting from the issuance of Indebtedness at less than par, (C) any commission, discount and/or other fee or charge owed with respect to any letter of credit and/or bankers’ acceptance and (D) any net payment arising under any interest rate Hedge Agreement with respect to Indebtedness and (ii) excluding (A) amortization of deferred financing fees, debt issuance costs, discounted liabilities, commissions, fees and expenses, (B) any expense arising from any bridge, commitment and/or other financing fee (including fees and expenses associated with the Transactions and annual agency fees), (C) any expense resulting from the discounting of Indebtedness in connection with the application of recapitalization accounting or, if applicable, acquisition accounting, (D) any fee or expense associated with any Disposition, acquisition, Investment, issuance of Capital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(in each case, whether or not consummated), (E) any cost associated with obtaining, or breakage costs in respect of, any Hedge Agreement or other derivative instrument other than any interest rate Hedge Agreement or interest rate derivative instrument with respect to Indebtedness, (F) any penalty and/or interest relating to Taxes and (G) for the avoidance of doubt, any non-cash interest expense attributable to any movement in the mark-to-market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plus (y) any cash dividend paid or payable in respect of Disqualified Capital Stock during such period (other than for purposes of </w:t>
      </w:r>
      <w:r>
        <w:rPr>
          <w:rFonts w:ascii="Times New Roman" w:hAnsi="Times New Roman"/>
          <w:sz w:val="20"/>
          <w:u w:val="single"/>
        </w:rPr>
        <w:t>Section 6.15(b)</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(b) interest income for such period. For purposes of this definition, interest in respect of any Capital Lease shall be deemed to accrue at an interest rate reasonably determined by such Person to be the rate of interest implicit in such Capital Lease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it is agreed that for the purpose of calculating the Interest Coverage Ratio for any period ending prior to December 31, 2026, (i) for the four Fiscal Quarters ending or about March 31, 2026, Ratio Interest Expense of the Borrower and its Subsidiaries shall be annualized for the period starting with the Closing Date and ending on or about March 31, 2026, on the basis of a 365 day year for the actual days elapsed, (ii) for the four Fiscal Quarters ending on or about June 30, 2026, Ratio Interest Expense of the Borrower and its Subsidiaries shall be annualized for the period starting with the Closing Date and ending on or about June 30, 2026, on the basis of a 365 day year for the actual days elapsed and (iii) for the four Fiscal Quarters ending on or about September 30, 2026, Ratio Interest Expense of the Borrower and its Subsidiaries shall be annualized for the period starting with the Closing Date and ending on or about September 30, 2026, on the basis of a 365 day year for the actual days elapsed. </w:t>
      </w:r>
    </w:p>
    <w:p>
      <w:pPr>
        <w:pStyle w:val="TextBody"/>
        <w:bidi w:val="0"/>
        <w:spacing w:before="240" w:after="0"/>
        <w:jc w:val="left"/>
        <w:rPr/>
      </w:pPr>
      <w:r>
        <w:rPr/>
        <w:t>“</w:t>
      </w:r>
      <w:r>
        <w:rPr>
          <w:rFonts w:ascii="Times New Roman" w:hAnsi="Times New Roman"/>
          <w:sz w:val="20"/>
          <w:u w:val="single"/>
        </w:rPr>
        <w:t>Real Estate Asset</w:t>
      </w:r>
      <w:r>
        <w:rPr>
          <w:rFonts w:ascii="Times New Roman" w:hAnsi="Times New Roman"/>
          <w:sz w:val="20"/>
        </w:rPr>
        <w:t xml:space="preserve">” means, at any time of determination, all right, title and interest (fee, leasehold or otherwise) of any Loan Party in and to real property (including, but not limited to, land, improvements and fixtures thereon). </w:t>
      </w:r>
    </w:p>
    <w:p>
      <w:pPr>
        <w:pStyle w:val="TextBody"/>
        <w:bidi w:val="0"/>
        <w:spacing w:before="240" w:after="0"/>
        <w:jc w:val="left"/>
        <w:rPr/>
      </w:pPr>
      <w:r>
        <w:rPr/>
        <w:t>“</w:t>
      </w:r>
      <w:r>
        <w:rPr>
          <w:rFonts w:ascii="Times New Roman" w:hAnsi="Times New Roman"/>
          <w:sz w:val="20"/>
          <w:u w:val="single"/>
        </w:rPr>
        <w:t>Receivables Subsidiary</w:t>
      </w:r>
      <w:r>
        <w:rPr>
          <w:rFonts w:ascii="Times New Roman" w:hAnsi="Times New Roman"/>
          <w:sz w:val="20"/>
        </w:rPr>
        <w:t xml:space="preserve">” means any Subsidiary of the Borrower formed for the purpose of, or that solely engages in, one or more permitted securitizations, receivables facilities, receivables financings, or Permitted Receivables Facilities or any other receivables arrangement and other activities reasonably related thereto.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(a) the Administrative Agent, (b) any Lender or (c) any Issuing Bank, as applicable. </w:t>
      </w:r>
    </w:p>
    <w:p>
      <w:pPr>
        <w:pStyle w:val="TextBody"/>
        <w:bidi w:val="0"/>
        <w:spacing w:before="240" w:after="0"/>
        <w:jc w:val="left"/>
        <w:rPr/>
      </w:pPr>
      <w:r>
        <w:rPr/>
        <w:t>“</w:t>
      </w:r>
      <w:r>
        <w:rPr>
          <w:rFonts w:ascii="Times New Roman" w:hAnsi="Times New Roman"/>
          <w:sz w:val="20"/>
          <w:u w:val="single"/>
        </w:rPr>
        <w:t>Refinancing Amendment</w:t>
      </w:r>
      <w:r>
        <w:rPr>
          <w:rFonts w:ascii="Times New Roman" w:hAnsi="Times New Roman"/>
          <w:sz w:val="20"/>
        </w:rPr>
        <w:t xml:space="preserve">” means an amendment to this Agreement that is reasonably satisfactory to the Administrative Agent and the Borrower, executed by (a) Holdings and the Borrower, (b) the Administrative Agent and (c) each Lender that agrees to provide all or any portion of the Replacement Revolving Facility being incurred pursuant thereto and in accordance with </w:t>
      </w:r>
      <w:r>
        <w:rPr>
          <w:rFonts w:ascii="Times New Roman" w:hAnsi="Times New Roman"/>
          <w:sz w:val="20"/>
          <w:u w:val="single"/>
        </w:rPr>
        <w:t>Section 9.02(c)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Indebtedness</w:t>
      </w:r>
      <w:r>
        <w:rPr>
          <w:rFonts w:ascii="Times New Roman" w:hAnsi="Times New Roman"/>
          <w:sz w:val="20"/>
        </w:rPr>
        <w:t xml:space="preserve">” has the meaning assigned to such term in </w:t>
      </w:r>
      <w:r>
        <w:rPr>
          <w:rFonts w:ascii="Times New Roman" w:hAnsi="Times New Roman"/>
          <w:sz w:val="20"/>
          <w:u w:val="single"/>
        </w:rPr>
        <w:t>Section 6.01(p)</w:t>
      </w:r>
      <w:r>
        <w:rPr>
          <w:rFonts w:ascii="Times New Roman" w:hAnsi="Times New Roman"/>
          <w:sz w:val="20"/>
        </w:rPr>
        <w:t xml:space="preserve">. Refinancing Indebtedness shall include any Registered Equivalent Notes issued in exchange therefor, which Registered Equivalent Notes shall comply with the requirements of this definition of “Refinancing Indebtedness.” </w:t>
      </w:r>
    </w:p>
    <w:p>
      <w:pPr>
        <w:pStyle w:val="TextBody"/>
        <w:bidi w:val="0"/>
        <w:spacing w:before="240" w:after="0"/>
        <w:jc w:val="left"/>
        <w:rPr/>
      </w:pPr>
      <w:r>
        <w:rPr/>
        <w:t>“</w:t>
      </w:r>
      <w:r>
        <w:rPr>
          <w:rFonts w:ascii="Times New Roman" w:hAnsi="Times New Roman"/>
          <w:sz w:val="20"/>
          <w:u w:val="single"/>
        </w:rPr>
        <w:t>Refunding Capital Stock</w:t>
      </w:r>
      <w:r>
        <w:rPr>
          <w:rFonts w:ascii="Times New Roman" w:hAnsi="Times New Roman"/>
          <w:sz w:val="20"/>
        </w:rPr>
        <w:t xml:space="preserve">” has the meaning assigned to such term in </w:t>
      </w:r>
      <w:r>
        <w:rPr>
          <w:rFonts w:ascii="Times New Roman" w:hAnsi="Times New Roman"/>
          <w:sz w:val="20"/>
          <w:u w:val="single"/>
        </w:rPr>
        <w:t>Section 6.04(a)(viii)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9.05(b)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Registered Equivalent Notes</w:t>
      </w:r>
      <w:r>
        <w:rPr>
          <w:rFonts w:ascii="Times New Roman" w:hAnsi="Times New Roman"/>
          <w:sz w:val="20"/>
        </w:rPr>
        <w:t xml:space="preserve">” means, with respect to any notes originally issued in a Rule 144A or other private placement transaction under the Securities Act, substantially identical notes (having the same guarantees) issued in exchange therefor pursuant to an exchange offer registered with the SEC. </w:t>
      </w:r>
    </w:p>
    <w:p>
      <w:pPr>
        <w:pStyle w:val="TextBody"/>
        <w:bidi w:val="0"/>
        <w:spacing w:before="240" w:after="0"/>
        <w:jc w:val="left"/>
        <w:rPr/>
      </w:pPr>
      <w:r>
        <w:rPr/>
        <w:t>“</w:t>
      </w:r>
      <w:r>
        <w:rPr>
          <w:rFonts w:ascii="Times New Roman" w:hAnsi="Times New Roman"/>
          <w:sz w:val="20"/>
          <w:u w:val="single"/>
        </w:rPr>
        <w:t>Regulated Bank</w:t>
      </w:r>
      <w:r>
        <w:rPr>
          <w:rFonts w:ascii="Times New Roman" w:hAnsi="Times New Roman"/>
          <w:sz w:val="20"/>
        </w:rPr>
        <w:t xml:space="preserve">” means a commercial bank with a consolidated combined capital and surplus of at least $5,000,000,000 that is (a) a U.S. depository institution the deposits of which are insured by the Federal Deposit Insurance Corporation, (b) a corporation organized under section 25A of the U.S. Federal Reserve Act of 1913, (c) a branch, agency or commercial lending company of a foreign bank operating pursuant to approval by and under the supervision of the FRB under 12 CFR part 211, (d) a non-U.S. branch of a foreign bank managed and controlled by a U.S. branch referred to in </w:t>
      </w:r>
      <w:r>
        <w:rPr>
          <w:rFonts w:ascii="Times New Roman" w:hAnsi="Times New Roman"/>
          <w:sz w:val="20"/>
          <w:u w:val="single"/>
        </w:rPr>
        <w:t>clause (c)</w:t>
      </w:r>
      <w:r>
        <w:rPr>
          <w:rFonts w:ascii="Times New Roman" w:hAnsi="Times New Roman"/>
          <w:sz w:val="20"/>
        </w:rPr>
        <w:t xml:space="preserve"> or (e) any other U.S. or non-U.S. depository institution or any branch, agency or similar office thereof supervised by a bank regulatory authority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Regulation D</w:t>
      </w:r>
      <w:r>
        <w:rPr>
          <w:rFonts w:ascii="Times New Roman" w:hAnsi="Times New Roman"/>
          <w:sz w:val="20"/>
        </w:rPr>
        <w:t xml:space="preserve">” means Regulation D of the FRB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FRB as from time to time in effect and all official rulings and interpretations thereunder or thereof. </w:t>
      </w:r>
    </w:p>
    <w:p>
      <w:pPr>
        <w:pStyle w:val="TextBody"/>
        <w:bidi w:val="0"/>
        <w:spacing w:before="240" w:after="0"/>
        <w:jc w:val="left"/>
        <w:rPr/>
      </w:pPr>
      <w:r>
        <w:rPr/>
        <w:t>“</w:t>
      </w:r>
      <w:r>
        <w:rPr>
          <w:rFonts w:ascii="Times New Roman" w:hAnsi="Times New Roman"/>
          <w:sz w:val="20"/>
          <w:u w:val="single"/>
        </w:rPr>
        <w:t>Related Business Assets</w:t>
      </w:r>
      <w:r>
        <w:rPr>
          <w:rFonts w:ascii="Times New Roman" w:hAnsi="Times New Roman"/>
          <w:sz w:val="20"/>
        </w:rPr>
        <w:t xml:space="preserve">” means assets (other than cash or Cash Equivalents) used or useful in a Similar Business; provided, that any asset received by the Borrower or any Subsidiary in exchange for any asset transferred by the Borrower or any Subsidiary shall not be deemed to constitute a Related Business Asset if such asset consists of securities of a Person, unless upon receipt of the securities of such Person, such Person would become a Subsidiary. </w:t>
      </w:r>
    </w:p>
    <w:p>
      <w:pPr>
        <w:pStyle w:val="TextBody"/>
        <w:bidi w:val="0"/>
        <w:spacing w:before="240" w:after="0"/>
        <w:jc w:val="left"/>
        <w:rPr/>
      </w:pPr>
      <w:r>
        <w:rPr/>
        <w:t>“</w:t>
      </w:r>
      <w:r>
        <w:rPr>
          <w:rFonts w:ascii="Times New Roman" w:hAnsi="Times New Roman"/>
          <w:sz w:val="20"/>
          <w:u w:val="single"/>
        </w:rPr>
        <w:t>Related Funds</w:t>
      </w:r>
      <w:r>
        <w:rPr>
          <w:rFonts w:ascii="Times New Roman" w:hAnsi="Times New Roman"/>
          <w:sz w:val="20"/>
        </w:rPr>
        <w:t xml:space="preserve">” means with respect to (a) any Lender that is an Approved Fund, any other Approved Fund that is managed by the same investment advisor as such Lender or by an Affiliate of such investment advisor and (b) any Lender that is an Approved Fund with respect to a Lender, any other Approved Fund with respect to such Lender.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(or equivalent managers), officers, trustees, employees, partners, agents, advisors and other representatives of such Person and such Person’s Affiliates.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sediment or groundwater.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Board of Governors of the Federal Reserve System or the Federal Reserve Bank of New York, or a committee officially endorsed or convened by the Board of Governors of the Federal Reserve System or the Federal Reserve Bank of New York, or any successor thereto.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assigned to such term in </w:t>
      </w:r>
      <w:r>
        <w:rPr>
          <w:rFonts w:ascii="Times New Roman" w:hAnsi="Times New Roman"/>
          <w:sz w:val="20"/>
          <w:u w:val="single"/>
        </w:rPr>
        <w:t>Section 8.07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Replaced Revolving Facility</w:t>
      </w:r>
      <w:r>
        <w:rPr>
          <w:rFonts w:ascii="Times New Roman" w:hAnsi="Times New Roman"/>
          <w:sz w:val="20"/>
        </w:rPr>
        <w:t xml:space="preserve">” has the meaning assigned to such term in </w:t>
      </w:r>
      <w:r>
        <w:rPr>
          <w:rFonts w:ascii="Times New Roman" w:hAnsi="Times New Roman"/>
          <w:sz w:val="20"/>
          <w:u w:val="single"/>
        </w:rPr>
        <w:t>Section 9.02(c)(ii)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Replacement Debt</w:t>
      </w:r>
      <w:r>
        <w:rPr>
          <w:rFonts w:ascii="Times New Roman" w:hAnsi="Times New Roman"/>
          <w:sz w:val="20"/>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 w:hAnsi="Times New Roman"/>
          <w:sz w:val="20"/>
          <w:u w:val="single"/>
        </w:rPr>
        <w:t>Section 6.01(a)</w:t>
      </w:r>
      <w:r>
        <w:rPr>
          <w:rFonts w:ascii="Times New Roman" w:hAnsi="Times New Roman"/>
          <w:sz w:val="20"/>
        </w:rPr>
        <w:t xml:space="preserve"> (and any subsequent refinancing of such Replacement Debt). </w:t>
      </w:r>
    </w:p>
    <w:p>
      <w:pPr>
        <w:pStyle w:val="TextBody"/>
        <w:bidi w:val="0"/>
        <w:spacing w:before="240" w:after="0"/>
        <w:jc w:val="left"/>
        <w:rPr/>
      </w:pPr>
      <w:r>
        <w:rPr/>
        <w:t>“</w:t>
      </w:r>
      <w:r>
        <w:rPr>
          <w:rFonts w:ascii="Times New Roman" w:hAnsi="Times New Roman"/>
          <w:sz w:val="20"/>
          <w:u w:val="single"/>
        </w:rPr>
        <w:t>Replacement Revolving Facility</w:t>
      </w:r>
      <w:r>
        <w:rPr>
          <w:rFonts w:ascii="Times New Roman" w:hAnsi="Times New Roman"/>
          <w:sz w:val="20"/>
        </w:rPr>
        <w:t xml:space="preserve">” has the meaning assigned to such term in </w:t>
      </w:r>
      <w:r>
        <w:rPr>
          <w:rFonts w:ascii="Times New Roman" w:hAnsi="Times New Roman"/>
          <w:sz w:val="20"/>
          <w:u w:val="single"/>
        </w:rPr>
        <w:t>Section 9.02(c)(ii)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Replacement Revolving Loans</w:t>
      </w:r>
      <w:r>
        <w:rPr>
          <w:rFonts w:ascii="Times New Roman" w:hAnsi="Times New Roman"/>
          <w:sz w:val="20"/>
        </w:rPr>
        <w:t xml:space="preserve">” has the meaning assigned to such term in </w:t>
      </w:r>
      <w:r>
        <w:rPr>
          <w:rFonts w:ascii="Times New Roman" w:hAnsi="Times New Roman"/>
          <w:sz w:val="20"/>
          <w:u w:val="single"/>
        </w:rPr>
        <w:t>Section 9.02(c)(ii)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with respect to any Pension Plan, any of the events described in Section 4043(c) of ERISA or the regulations issued thereunder, other than those events as to which the 30-day notice period is waived under PBGC Reg. Section 4043.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has the meaning assigned to such term in </w:t>
      </w:r>
      <w:r>
        <w:rPr>
          <w:rFonts w:ascii="Times New Roman" w:hAnsi="Times New Roman"/>
          <w:sz w:val="20"/>
          <w:u w:val="single"/>
        </w:rPr>
        <w:t>Section 9.13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Lenders</w:t>
      </w:r>
      <w:r>
        <w:rPr>
          <w:rFonts w:ascii="Times New Roman" w:hAnsi="Times New Roman"/>
          <w:sz w:val="20"/>
        </w:rPr>
        <w:t xml:space="preserve">” means, at any time, the Lenders holding outstanding Loans and unutilized Commitments (or, after the termination of the Revolving Commitments, outstanding Revolving Credit Exposure) representing more than 50% of the aggregate at such time of all outstanding Loans and unutilized Commitments (or, after the termination of the Revolving Commitments, the aggregate outstanding Revolving Credit Exposure); </w:t>
      </w:r>
      <w:r>
        <w:rPr>
          <w:rFonts w:ascii="Times New Roman" w:hAnsi="Times New Roman"/>
          <w:sz w:val="20"/>
          <w:u w:val="single"/>
        </w:rPr>
        <w:t>provided</w:t>
      </w:r>
      <w:r>
        <w:rPr>
          <w:rFonts w:ascii="Times New Roman" w:hAnsi="Times New Roman"/>
          <w:sz w:val="20"/>
        </w:rPr>
        <w:t xml:space="preserve">, that the aggregate amount of all outstanding Loans and unutilized Commitments (or, after the termination of the Revolving Commitments, outstanding Revolving Credit Exposure) shall be determined with respect to any Defaulting Lender by disregarding the outstanding Loans and unutilized Commitments of such Defaulting Lender (or, after the termination of the Revolving Commitments, outstanding Revolving Credit Exposure);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Lenders under any Incremental Term Facility consisting of unutilized commitments to make delayed draw term loans shall not be included in the calculation of Required Lenders until such commitments are funded or the delayed draw term loans related thereto are capable of being incurred by the Borrower on the applicable date of determination. </w:t>
      </w:r>
    </w:p>
    <w:p>
      <w:pPr>
        <w:pStyle w:val="TextBody"/>
        <w:bidi w:val="0"/>
        <w:spacing w:before="240" w:after="0"/>
        <w:jc w:val="left"/>
        <w:rPr/>
      </w:pPr>
      <w:r>
        <w:rPr/>
        <w:t>“</w:t>
      </w:r>
      <w:r>
        <w:rPr>
          <w:rFonts w:ascii="Times New Roman" w:hAnsi="Times New Roman"/>
          <w:sz w:val="20"/>
          <w:u w:val="single"/>
        </w:rPr>
        <w:t>Required Revolving Lenders</w:t>
      </w:r>
      <w:r>
        <w:rPr>
          <w:rFonts w:ascii="Times New Roman" w:hAnsi="Times New Roman"/>
          <w:sz w:val="20"/>
        </w:rPr>
        <w:t xml:space="preserve">” means, at any time, the Lenders holding outstanding Revolving Loans and unutilized Revolving Commitments (or, after the termination of the Revolving Commitments, outstanding Revolving Credit Exposure) representing more than 50% of the aggregate at such time of all outstanding Revolving Loans and unutilized Revolving Commitments (or, after the termination of the Revolving Commitments, the aggregate outstanding Revolving Credit Exposure); </w:t>
      </w:r>
      <w:r>
        <w:rPr>
          <w:rFonts w:ascii="Times New Roman" w:hAnsi="Times New Roman"/>
          <w:sz w:val="20"/>
          <w:u w:val="single"/>
        </w:rPr>
        <w:t>provided</w:t>
      </w:r>
      <w:r>
        <w:rPr>
          <w:rFonts w:ascii="Times New Roman" w:hAnsi="Times New Roman"/>
          <w:sz w:val="20"/>
        </w:rPr>
        <w:t xml:space="preserve">, that the aggregate amount of all outstanding Revolving Loans and unutilized Revolving Commitments (or, after the termination of the Revolving Commitments, outstanding Revolving Credit Exposure) shall be determined with respect to any Defaulting Lender by disregarding the outstanding Revolving Loans and unutilized Revolving Commitments (or, after the termination of the Revolving Commitments, outstanding Revolving Credit Exposure) of such Defaulting Lender. </w:t>
      </w:r>
    </w:p>
    <w:p>
      <w:pPr>
        <w:pStyle w:val="TextBody"/>
        <w:bidi w:val="0"/>
        <w:spacing w:before="240" w:after="0"/>
        <w:jc w:val="left"/>
        <w:rPr/>
      </w:pPr>
      <w:r>
        <w:rPr/>
        <w:t>“</w:t>
      </w:r>
      <w:r>
        <w:rPr>
          <w:rFonts w:ascii="Times New Roman" w:hAnsi="Times New Roman"/>
          <w:sz w:val="20"/>
          <w:u w:val="single"/>
        </w:rPr>
        <w:t>Requirements of Law</w:t>
      </w:r>
      <w:r>
        <w:rPr>
          <w:rFonts w:ascii="Times New Roman" w:hAnsi="Times New Roman"/>
          <w:sz w:val="20"/>
        </w:rPr>
        <w:t xml:space="preserve">” means, with respect to any Person, collectively, the common law and all federal, state, provincial, territorial,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assigned to such term in </w:t>
      </w:r>
      <w:r>
        <w:rPr>
          <w:rFonts w:ascii="Times New Roman" w:hAnsi="Times New Roman"/>
          <w:sz w:val="20"/>
          <w:u w:val="single"/>
        </w:rPr>
        <w:t>Section 8.07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(a) with respect to the Administrative Agent, any officer of such Person, including any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in each case, having direct responsibility for the administration of this Agreement and the other Loan Documents to which it is a party and (b) with respect to any Person,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any Loan Party and, solely for purposes of notices given pursuant to </w:t>
      </w:r>
      <w:r>
        <w:rPr>
          <w:rFonts w:ascii="Times New Roman" w:hAnsi="Times New Roman"/>
          <w:sz w:val="20"/>
          <w:u w:val="single"/>
        </w:rPr>
        <w:t>Article 2</w:t>
      </w:r>
      <w:r>
        <w:rPr>
          <w:rFonts w:ascii="Times New Roman" w:hAnsi="Times New Roman"/>
          <w:sz w:val="20"/>
        </w:rPr>
        <w:t xml:space="preserve">, any other officer of any Loan Party so designated in writing by any of the foregoing officers in a notice to the Administrative Agent or any other officer or employee of any Loan Party designated in or pursuant to an agreement between such Loan Party and the Administrative Agent.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Responsible Officer Certification</w:t>
      </w:r>
      <w:r>
        <w:rPr>
          <w:rFonts w:ascii="Times New Roman" w:hAnsi="Times New Roman"/>
          <w:sz w:val="20"/>
        </w:rPr>
        <w:t xml:space="preserve">” 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Borrower as at the dates indicated and its consolidated income and cash flows for the periods indicated, subject to changes resulting from audit and normal year-end adjustments and the absence of footnotes. </w:t>
      </w:r>
    </w:p>
    <w:p>
      <w:pPr>
        <w:pStyle w:val="TextBody"/>
        <w:bidi w:val="0"/>
        <w:spacing w:before="240" w:after="0"/>
        <w:jc w:val="left"/>
        <w:rPr/>
      </w:pPr>
      <w:r>
        <w:rPr/>
        <w:t>“</w:t>
      </w:r>
      <w:r>
        <w:rPr>
          <w:rFonts w:ascii="Times New Roman" w:hAnsi="Times New Roman"/>
          <w:sz w:val="20"/>
          <w:u w:val="single"/>
        </w:rPr>
        <w:t>Restricted Debt</w:t>
      </w:r>
      <w:r>
        <w:rPr>
          <w:rFonts w:ascii="Times New Roman" w:hAnsi="Times New Roman"/>
          <w:sz w:val="20"/>
        </w:rPr>
        <w:t xml:space="preserve">” means any Indebtedness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the definition of “Indebtedness” (other than such Indebtedness among the Borrower and/or any of its Subsidiaries) of the Borrower or any Subsidiary that is (a) Junior Indebtedness, (b) Junior Lien Debt or (c) unsecured, in each case, with an individual outstanding principal amount in excess of the Threshold Amount. It is understood and agreed, for the avoidance of doubt, that Surety Bond Indebtedness does not constitute Restricted Debt. </w:t>
      </w:r>
    </w:p>
    <w:p>
      <w:pPr>
        <w:pStyle w:val="TextBody"/>
        <w:bidi w:val="0"/>
        <w:spacing w:before="240" w:after="0"/>
        <w:jc w:val="left"/>
        <w:rPr/>
      </w:pPr>
      <w:r>
        <w:rPr/>
        <w:t>“</w:t>
      </w:r>
      <w:r>
        <w:rPr>
          <w:rFonts w:ascii="Times New Roman" w:hAnsi="Times New Roman"/>
          <w:sz w:val="20"/>
          <w:u w:val="single"/>
        </w:rPr>
        <w:t>Restricted Debt Payments</w:t>
      </w:r>
      <w:r>
        <w:rPr>
          <w:rFonts w:ascii="Times New Roman" w:hAnsi="Times New Roman"/>
          <w:sz w:val="20"/>
        </w:rPr>
        <w:t xml:space="preserve">” has the meaning set forth in </w:t>
      </w:r>
      <w:r>
        <w:rPr>
          <w:rFonts w:ascii="Times New Roman" w:hAnsi="Times New Roman"/>
          <w:sz w:val="20"/>
          <w:u w:val="single"/>
        </w:rPr>
        <w:t>Section 6.04(b)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means (a) any dividend or other distribution on account of any shares of any class of the Capital Stock of the Borrower, except a dividend payable solely in shares of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such Lender’s Initial Revolving Credit Commitment and Additional Revolving Credit Commitment, as applicable, in effect as of such time. </w:t>
      </w:r>
    </w:p>
    <w:p>
      <w:pPr>
        <w:pStyle w:val="TextBody"/>
        <w:bidi w:val="0"/>
        <w:spacing w:before="240" w:after="0"/>
        <w:jc w:val="left"/>
        <w:rPr/>
      </w:pPr>
      <w:r>
        <w:rPr/>
        <w:t>“</w:t>
      </w:r>
      <w:r>
        <w:rPr>
          <w:rFonts w:ascii="Times New Roman" w:hAnsi="Times New Roman"/>
          <w:sz w:val="20"/>
          <w:u w:val="single"/>
        </w:rPr>
        <w:t>Revolving Credit Exposure</w:t>
      </w:r>
      <w:r>
        <w:rPr>
          <w:rFonts w:ascii="Times New Roman" w:hAnsi="Times New Roman"/>
          <w:sz w:val="20"/>
        </w:rPr>
        <w:t xml:space="preserve">” means, with respect to any Lender at any time, the aggregate Outstanding Amount at such time of such Lender’s Initial Revolving Credit Exposure and Additional Revolving Credit Exposure. </w:t>
      </w:r>
    </w:p>
    <w:p>
      <w:pPr>
        <w:pStyle w:val="TextBody"/>
        <w:bidi w:val="0"/>
        <w:spacing w:before="240" w:after="0"/>
        <w:jc w:val="left"/>
        <w:rPr/>
      </w:pPr>
      <w:r>
        <w:rPr/>
        <w:t>“</w:t>
      </w:r>
      <w:r>
        <w:rPr>
          <w:rFonts w:ascii="Times New Roman" w:hAnsi="Times New Roman"/>
          <w:sz w:val="20"/>
          <w:u w:val="single"/>
        </w:rPr>
        <w:t>Revolving Extension Series</w:t>
      </w:r>
      <w:r>
        <w:rPr>
          <w:rFonts w:ascii="Times New Roman" w:hAnsi="Times New Roman"/>
          <w:sz w:val="20"/>
        </w:rPr>
        <w:t xml:space="preserve">” has the meaning assigned to such term in </w:t>
      </w:r>
      <w:r>
        <w:rPr>
          <w:rFonts w:ascii="Times New Roman" w:hAnsi="Times New Roman"/>
          <w:sz w:val="20"/>
          <w:u w:val="single"/>
        </w:rPr>
        <w:t>Section 2.23(a)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Facility</w:t>
      </w:r>
      <w:r>
        <w:rPr>
          <w:rFonts w:ascii="Times New Roman" w:hAnsi="Times New Roman"/>
          <w:sz w:val="20"/>
        </w:rPr>
        <w:t xml:space="preserve">” means the Initial Revolving Facility, any Incremental Revolving Facility, any Swingline Loans (unless context indicates otherwise), any facility governing Extended Revolving Commitments and any Replacement Revolving Facility. </w:t>
      </w:r>
    </w:p>
    <w:p>
      <w:pPr>
        <w:pStyle w:val="TextBody"/>
        <w:bidi w:val="0"/>
        <w:spacing w:before="240" w:after="0"/>
        <w:jc w:val="left"/>
        <w:rPr/>
      </w:pPr>
      <w:r>
        <w:rPr/>
        <w:t>“</w:t>
      </w:r>
      <w:r>
        <w:rPr>
          <w:rFonts w:ascii="Times New Roman" w:hAnsi="Times New Roman"/>
          <w:sz w:val="20"/>
          <w:u w:val="single"/>
        </w:rPr>
        <w:t>Revolving Lender</w:t>
      </w:r>
      <w:r>
        <w:rPr>
          <w:rFonts w:ascii="Times New Roman" w:hAnsi="Times New Roman"/>
          <w:sz w:val="20"/>
        </w:rPr>
        <w:t xml:space="preserve">” means any Lender with a Revolving Commitment or any Revolving Credit Exposure. </w:t>
      </w:r>
    </w:p>
    <w:p>
      <w:pPr>
        <w:pStyle w:val="TextBody"/>
        <w:bidi w:val="0"/>
        <w:spacing w:before="240" w:after="0"/>
        <w:jc w:val="left"/>
        <w:rPr/>
      </w:pPr>
      <w:r>
        <w:rPr/>
        <w:t>“</w:t>
      </w:r>
      <w:r>
        <w:rPr>
          <w:rFonts w:ascii="Times New Roman" w:hAnsi="Times New Roman"/>
          <w:sz w:val="20"/>
          <w:u w:val="single"/>
        </w:rPr>
        <w:t>Revolving Loans</w:t>
      </w:r>
      <w:r>
        <w:rPr>
          <w:rFonts w:ascii="Times New Roman" w:hAnsi="Times New Roman"/>
          <w:sz w:val="20"/>
        </w:rPr>
        <w:t xml:space="preserve">” means any Initial Revolving Loan or any Additional Revolving Loan.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Financial Services LLC, a subsidiary of the S&amp;P Global, Inc. </w:t>
      </w:r>
    </w:p>
    <w:p>
      <w:pPr>
        <w:pStyle w:val="TextBody"/>
        <w:bidi w:val="0"/>
        <w:spacing w:before="240" w:after="0"/>
        <w:jc w:val="left"/>
        <w:rPr/>
      </w:pPr>
      <w:r>
        <w:rPr/>
        <w:t>“</w:t>
      </w:r>
      <w:r>
        <w:rPr>
          <w:rFonts w:ascii="Times New Roman" w:hAnsi="Times New Roman"/>
          <w:sz w:val="20"/>
          <w:u w:val="single"/>
        </w:rPr>
        <w:t>Sale and Lease-Back Transaction</w:t>
      </w:r>
      <w:r>
        <w:rPr>
          <w:rFonts w:ascii="Times New Roman" w:hAnsi="Times New Roman"/>
          <w:sz w:val="20"/>
        </w:rPr>
        <w:t xml:space="preserve">” means any arrangement providing for the lease by the Borrower and/or any of its Subsidiaries of any real property or tangible property, which property has been or is to be sold or transferred by the Borrower or such Subsidiary in contemplation of such lease arrangement. </w:t>
      </w:r>
    </w:p>
    <w:p>
      <w:pPr>
        <w:pStyle w:val="TextBody"/>
        <w:bidi w:val="0"/>
        <w:spacing w:before="240" w:after="0"/>
        <w:jc w:val="left"/>
        <w:rPr/>
      </w:pPr>
      <w:r>
        <w:rPr/>
        <w:t>“</w:t>
      </w:r>
      <w:r>
        <w:rPr>
          <w:rFonts w:ascii="Times New Roman" w:hAnsi="Times New Roman"/>
          <w:sz w:val="20"/>
          <w:u w:val="single"/>
        </w:rPr>
        <w:t>Same Day Funds</w:t>
      </w:r>
      <w:r>
        <w:rPr>
          <w:rFonts w:ascii="Times New Roman" w:hAnsi="Times New Roman"/>
          <w:sz w:val="20"/>
        </w:rPr>
        <w:t xml:space="preserve">” means, with respect to disbursements and payments in Dollars, immediately available funds.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or all of its functions. </w:t>
      </w:r>
    </w:p>
    <w:p>
      <w:pPr>
        <w:pStyle w:val="TextBody"/>
        <w:bidi w:val="0"/>
        <w:spacing w:before="240" w:after="0"/>
        <w:jc w:val="left"/>
        <w:rPr/>
      </w:pPr>
      <w:r>
        <w:rPr/>
        <w:t>“</w:t>
      </w:r>
      <w:r>
        <w:rPr>
          <w:rFonts w:ascii="Times New Roman" w:hAnsi="Times New Roman"/>
          <w:sz w:val="20"/>
          <w:u w:val="single"/>
        </w:rPr>
        <w:t>Secured Leverage Ratio</w:t>
      </w:r>
      <w:r>
        <w:rPr>
          <w:rFonts w:ascii="Times New Roman" w:hAnsi="Times New Roman"/>
          <w:sz w:val="20"/>
        </w:rPr>
        <w:t xml:space="preserve">” means the ratio, as of any date of determination, of (a) Consolidated Secured Debt as of the last day of the most recently ended Test Period to (b) Consolidated Adjusted EBITDA for the Test Period then most recently ended, in each case, of the Borrower and its Subsidiaries on a consolidated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Secured Hedging Obligations</w:t>
      </w:r>
      <w:r>
        <w:rPr>
          <w:rFonts w:ascii="Times New Roman" w:hAnsi="Times New Roman"/>
          <w:sz w:val="20"/>
        </w:rPr>
        <w:t xml:space="preserve">” means all Hedging Obligations (other than any Excluded Swap Obligations) under each Hedge Agreement between any Loan Party or any Subsidiary of any Loan Party and a counterparty that is a Hedge Bank.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means all Obligations, together with (a) all Banking Services Obligations and (b) all Secured Hedging Obligations.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(a) the Lenders and the Issuing Banks and the Swingline Lender (b) the Administrative Agent, (c) each Hedge Bank, (d) each Cash Management Bank and (e) the beneficiaries of each indemnification obligation undertaken by any Loan Party under any Loan Document.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hAnsi="Times New Roman"/>
          <w:sz w:val="20"/>
          <w:u w:val="single"/>
        </w:rPr>
        <w:t>provided</w:t>
      </w:r>
      <w:r>
        <w:rPr>
          <w:rFonts w:ascii="Times New Roman" w:hAnsi="Times New Roman"/>
          <w:sz w:val="20"/>
        </w:rPr>
        <w:t xml:space="preserve">, that the term “Securities” shall not include any earn-out agreement or obligation or any employee bonus or other incentive compensation plan or agreement.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and the rules and regulations of the SEC promulgated thereunder. </w:t>
      </w:r>
    </w:p>
    <w:p>
      <w:pPr>
        <w:pStyle w:val="TextBody"/>
        <w:bidi w:val="0"/>
        <w:spacing w:before="240" w:after="0"/>
        <w:jc w:val="left"/>
        <w:rPr/>
      </w:pPr>
      <w:r>
        <w:rPr/>
        <w:t>“</w:t>
      </w:r>
      <w:r>
        <w:rPr>
          <w:rFonts w:ascii="Times New Roman" w:hAnsi="Times New Roman"/>
          <w:sz w:val="20"/>
          <w:u w:val="single"/>
        </w:rPr>
        <w:t>Security Agreement</w:t>
      </w:r>
      <w:r>
        <w:rPr>
          <w:rFonts w:ascii="Times New Roman" w:hAnsi="Times New Roman"/>
          <w:sz w:val="20"/>
        </w:rPr>
        <w:t xml:space="preserve">” means the Pledge and Security Agreement, substantially in the form of </w:t>
      </w:r>
      <w:r>
        <w:rPr>
          <w:rFonts w:ascii="Times New Roman" w:hAnsi="Times New Roman"/>
          <w:sz w:val="20"/>
          <w:u w:val="single"/>
        </w:rPr>
        <w:t>Exhibit L</w:t>
      </w:r>
      <w:r>
        <w:rPr>
          <w:rFonts w:ascii="Times New Roman" w:hAnsi="Times New Roman"/>
          <w:sz w:val="20"/>
        </w:rPr>
        <w:t xml:space="preserve">, by and between the Borrower and the Administrative Agent for the benefit of the Secured Parties. </w:t>
      </w:r>
    </w:p>
    <w:p>
      <w:pPr>
        <w:pStyle w:val="TextBody"/>
        <w:bidi w:val="0"/>
        <w:spacing w:before="240" w:after="0"/>
        <w:jc w:val="left"/>
        <w:rPr/>
      </w:pPr>
      <w:r>
        <w:rPr/>
        <w:t>“</w:t>
      </w:r>
      <w:r>
        <w:rPr>
          <w:rFonts w:ascii="Times New Roman" w:hAnsi="Times New Roman"/>
          <w:sz w:val="20"/>
          <w:u w:val="single"/>
        </w:rPr>
        <w:t>Similar Business</w:t>
      </w:r>
      <w:r>
        <w:rPr>
          <w:rFonts w:ascii="Times New Roman" w:hAnsi="Times New Roman"/>
          <w:sz w:val="20"/>
        </w:rPr>
        <w:t xml:space="preserve">” means any Person the majority of the revenues of which are derived from a business that would be permitted by </w:t>
      </w:r>
      <w:r>
        <w:rPr>
          <w:rFonts w:ascii="Times New Roman" w:hAnsi="Times New Roman"/>
          <w:sz w:val="20"/>
          <w:u w:val="single"/>
        </w:rPr>
        <w:t>Section 5.19</w:t>
      </w:r>
      <w:r>
        <w:rPr>
          <w:rFonts w:ascii="Times New Roman" w:hAnsi="Times New Roman"/>
          <w:sz w:val="20"/>
        </w:rPr>
        <w:t xml:space="preserve"> if the references to “Subsidiaries” in </w:t>
      </w:r>
      <w:r>
        <w:rPr>
          <w:rFonts w:ascii="Times New Roman" w:hAnsi="Times New Roman"/>
          <w:sz w:val="20"/>
          <w:u w:val="single"/>
        </w:rPr>
        <w:t>Section 5.19</w:t>
      </w:r>
      <w:r>
        <w:rPr>
          <w:rFonts w:ascii="Times New Roman" w:hAnsi="Times New Roman"/>
          <w:sz w:val="20"/>
        </w:rPr>
        <w:t xml:space="preserve"> were read to refer to such Person.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Borrowing</w:t>
      </w:r>
      <w:r>
        <w:rPr>
          <w:rFonts w:ascii="Times New Roman" w:hAnsi="Times New Roman"/>
          <w:sz w:val="20"/>
        </w:rPr>
        <w:t xml:space="preserve">” means, as to any Borrowing, the SOFR Loans comprising such Borrowing. </w:t>
      </w:r>
    </w:p>
    <w:p>
      <w:pPr>
        <w:pStyle w:val="TextBody"/>
        <w:bidi w:val="0"/>
        <w:spacing w:before="240" w:after="0"/>
        <w:jc w:val="left"/>
        <w:rPr/>
      </w:pPr>
      <w:r>
        <w:rPr/>
        <w:t>“</w:t>
      </w:r>
      <w:r>
        <w:rPr>
          <w:rFonts w:ascii="Times New Roman" w:hAnsi="Times New Roman"/>
          <w:sz w:val="20"/>
          <w:u w:val="single"/>
        </w:rPr>
        <w:t>SOFR Loan</w:t>
      </w:r>
      <w:r>
        <w:rPr>
          <w:rFonts w:ascii="Times New Roman" w:hAnsi="Times New Roman"/>
          <w:sz w:val="20"/>
        </w:rPr>
        <w:t xml:space="preserve">” means a Loan that bears interest at a rate based on Term SOFR, other than pursuant to clause (c) of the definition of “Alternate Base Rate”. </w:t>
      </w:r>
    </w:p>
    <w:p>
      <w:pPr>
        <w:pStyle w:val="TextBody"/>
        <w:bidi w:val="0"/>
        <w:spacing w:before="240" w:after="0"/>
        <w:jc w:val="left"/>
        <w:rPr/>
      </w:pPr>
      <w:r>
        <w:rPr/>
        <w:t>“</w:t>
      </w:r>
      <w:r>
        <w:rPr>
          <w:rFonts w:ascii="Times New Roman" w:hAnsi="Times New Roman"/>
          <w:sz w:val="20"/>
          <w:u w:val="single"/>
        </w:rPr>
        <w:t>SPC</w:t>
      </w:r>
      <w:r>
        <w:rPr>
          <w:rFonts w:ascii="Times New Roman" w:hAnsi="Times New Roman"/>
          <w:sz w:val="20"/>
        </w:rPr>
        <w:t xml:space="preserve">” has the meaning assigned to such term in </w:t>
      </w:r>
      <w:r>
        <w:rPr>
          <w:rFonts w:ascii="Times New Roman" w:hAnsi="Times New Roman"/>
          <w:sz w:val="20"/>
          <w:u w:val="single"/>
        </w:rPr>
        <w:t>Section 9.05(e)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Flood Hazard Area</w:t>
      </w:r>
      <w:r>
        <w:rPr>
          <w:rFonts w:ascii="Times New Roman" w:hAnsi="Times New Roman"/>
          <w:sz w:val="20"/>
        </w:rPr>
        <w:t xml:space="preserve">” means an area that the Federal Emergency Management Agency has designated as an area subject to special flood or mud slide hazards. </w:t>
      </w:r>
    </w:p>
    <w:p>
      <w:pPr>
        <w:pStyle w:val="TextBody"/>
        <w:bidi w:val="0"/>
        <w:spacing w:before="240" w:after="0"/>
        <w:jc w:val="left"/>
        <w:rPr/>
      </w:pPr>
      <w:r>
        <w:rPr/>
        <w:t>“</w:t>
      </w:r>
      <w:r>
        <w:rPr>
          <w:rFonts w:ascii="Times New Roman" w:hAnsi="Times New Roman"/>
          <w:sz w:val="20"/>
          <w:u w:val="single"/>
        </w:rPr>
        <w:t>Specified Commitment</w:t>
      </w:r>
      <w:r>
        <w:rPr>
          <w:rFonts w:ascii="Times New Roman" w:hAnsi="Times New Roman"/>
          <w:sz w:val="20"/>
        </w:rPr>
        <w:t xml:space="preserve">” has the meaning assigned to such term in </w:t>
      </w:r>
      <w:r>
        <w:rPr>
          <w:rFonts w:ascii="Times New Roman" w:hAnsi="Times New Roman"/>
          <w:sz w:val="20"/>
          <w:u w:val="single"/>
        </w:rPr>
        <w:t>Section 1.10(g)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Commitment Notice</w:t>
      </w:r>
      <w:r>
        <w:rPr>
          <w:rFonts w:ascii="Times New Roman" w:hAnsi="Times New Roman"/>
          <w:sz w:val="20"/>
        </w:rPr>
        <w:t xml:space="preserve">” has the meaning assigned to such term in </w:t>
      </w:r>
      <w:r>
        <w:rPr>
          <w:rFonts w:ascii="Times New Roman" w:hAnsi="Times New Roman"/>
          <w:sz w:val="20"/>
          <w:u w:val="single"/>
        </w:rPr>
        <w:t>Section 1.10(g)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Sponsor</w:t>
      </w:r>
      <w:r>
        <w:rPr>
          <w:rFonts w:ascii="Times New Roman" w:hAnsi="Times New Roman"/>
          <w:sz w:val="20"/>
        </w:rPr>
        <w:t xml:space="preserve">” means, collectively, AS, its controlled Affiliates and funds managed or advised by any of them or any of their respective controlled Affiliates. </w:t>
      </w:r>
    </w:p>
    <w:p>
      <w:pPr>
        <w:pStyle w:val="TextBody"/>
        <w:bidi w:val="0"/>
        <w:spacing w:before="240" w:after="0"/>
        <w:jc w:val="left"/>
        <w:rPr/>
      </w:pPr>
      <w:r>
        <w:rPr/>
        <w:t>“</w:t>
      </w:r>
      <w:r>
        <w:rPr>
          <w:rFonts w:ascii="Times New Roman" w:hAnsi="Times New Roman"/>
          <w:sz w:val="20"/>
          <w:u w:val="single"/>
        </w:rPr>
        <w:t>Sponsor Model</w:t>
      </w:r>
      <w:r>
        <w:rPr>
          <w:rFonts w:ascii="Times New Roman" w:hAnsi="Times New Roman"/>
          <w:sz w:val="20"/>
        </w:rPr>
        <w:t xml:space="preserve">” means the model delivered by the Sponsor to the Arrangers on January 15, 2026. </w:t>
      </w:r>
    </w:p>
    <w:p>
      <w:pPr>
        <w:pStyle w:val="TextBody"/>
        <w:bidi w:val="0"/>
        <w:spacing w:before="240" w:after="0"/>
        <w:jc w:val="left"/>
        <w:rPr/>
      </w:pPr>
      <w:r>
        <w:rPr/>
        <w:t>“</w:t>
      </w:r>
      <w:r>
        <w:rPr>
          <w:rFonts w:ascii="Times New Roman" w:hAnsi="Times New Roman"/>
          <w:sz w:val="20"/>
          <w:u w:val="single"/>
        </w:rPr>
        <w:t>Spot Rate</w:t>
      </w:r>
      <w:r>
        <w:rPr>
          <w:rFonts w:ascii="Times New Roman" w:hAnsi="Times New Roman"/>
          <w:sz w:val="20"/>
        </w:rPr>
        <w:t xml:space="preserve">” means, for any currency, on any date of determination, the rate determined by the Administrative Agent and the Borrower for obtaining a spot rate for such currency with another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Stated Amount</w:t>
      </w:r>
      <w:r>
        <w:rPr>
          <w:rFonts w:ascii="Times New Roman" w:hAnsi="Times New Roman"/>
          <w:sz w:val="20"/>
        </w:rPr>
        <w:t xml:space="preserve">” means, with respect to any Letter of Credit, at any time, the maximum amount available to be drawn thereunder, in each case determined (a) as if any future automatic increases in the maximum available amount provided for in any such Letter of Credit had in fact occurred at such time and (b) without regard to whether any conditions to drawing could then be met but after giving effect to all previous drawings made thereunder. </w:t>
      </w:r>
    </w:p>
    <w:p>
      <w:pPr>
        <w:pStyle w:val="TextBody"/>
        <w:bidi w:val="0"/>
        <w:spacing w:before="240" w:after="0"/>
        <w:jc w:val="left"/>
        <w:rPr/>
      </w:pPr>
      <w:r>
        <w:rPr/>
        <w:t>“</w:t>
      </w:r>
      <w:r>
        <w:rPr>
          <w:rFonts w:ascii="Times New Roman" w:hAnsi="Times New Roman"/>
          <w:sz w:val="20"/>
          <w:u w:val="single"/>
        </w:rPr>
        <w:t>Subject Person</w:t>
      </w:r>
      <w:r>
        <w:rPr>
          <w:rFonts w:ascii="Times New Roman" w:hAnsi="Times New Roman"/>
          <w:sz w:val="20"/>
        </w:rPr>
        <w:t xml:space="preserve">” has the meaning assigned to such term in the definition of “Consolidated Net Income”. </w:t>
      </w:r>
    </w:p>
    <w:p>
      <w:pPr>
        <w:pStyle w:val="TextBody"/>
        <w:bidi w:val="0"/>
        <w:spacing w:before="240" w:after="0"/>
        <w:jc w:val="left"/>
        <w:rPr/>
      </w:pPr>
      <w:r>
        <w:rPr/>
        <w:t>“</w:t>
      </w:r>
      <w:r>
        <w:rPr>
          <w:rFonts w:ascii="Times New Roman" w:hAnsi="Times New Roman"/>
          <w:sz w:val="20"/>
          <w:u w:val="single"/>
        </w:rPr>
        <w:t>Subject Transaction</w:t>
      </w:r>
      <w:r>
        <w:rPr>
          <w:rFonts w:ascii="Times New Roman" w:hAnsi="Times New Roman"/>
          <w:sz w:val="20"/>
        </w:rPr>
        <w:t xml:space="preserve">” means (a) the Transactions, (b) any Permitted Acquisition or any other acquisition or similar Investment, whether by purchase, merger or otherwise, of all or substantially all of the assets of, or any business line, unit or division of, any Person or of a majority of the outstanding Capital Stock of any Person (and, in any event, including any Investment in (x) any Subsidiary the effect of which is to increase the Borrower’s or any of its Subsidiary’s respective equity ownership in such Subsidiary or (y) any joint venture for the purpose of increasing the Borrower’s or its relevant Subsidiary’s ownership interest in such joint venture), in each case that is permitted by this Agreement, (c) any Disposition of all or substantially all of the assets or, Capital Stock of any Subsidiary (or any business unit, line of business or division of the Borrower or any Subsidiary) not prohibited by this Agreement, (d) the designation of a Subsidiary as an Unrestricted Subsidiary or an Unrestricted Subsidiary as a Subsidiary in accordance with </w:t>
      </w:r>
      <w:r>
        <w:rPr>
          <w:rFonts w:ascii="Times New Roman" w:hAnsi="Times New Roman"/>
          <w:sz w:val="20"/>
          <w:u w:val="single"/>
        </w:rPr>
        <w:t>Section 5.10</w:t>
      </w:r>
      <w:r>
        <w:rPr>
          <w:rFonts w:ascii="Times New Roman" w:hAnsi="Times New Roman"/>
          <w:sz w:val="20"/>
        </w:rPr>
        <w:t xml:space="preserve">, (e) any incurrence of Indebtedness (other than any Indebtedness incurred or repaid under any revolving credit facility in the ordinary course of business for working capital purposes), (f) any repayment, redemption, prepayment or retirement of Indebtedness (other than any Indebtedness incurred or repaid under any revolving credit facility in the ordinary course of business for working capital purposes), (g) any capital contribution in respect of Qualified Capital Stock or any issuance of Qualified Capital Stock (other than any amount constituting a Cure Amount), (h) the implementation of any Cost Saving Initiative and/or (i) any other event that by the terms of the Loan Documents requires pro forma compliance with a test or covenant hereunder or requires such test or covenant to be calculated on a pro forma basis. It is understood and agreed for the avoidance of doubt that the term “Subject Transaction” shall not include any DevCo Acquisition and/or any DevCo Disposition.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w:t>
      </w:r>
      <w:r>
        <w:rPr>
          <w:rFonts w:ascii="Times New Roman" w:hAnsi="Times New Roman"/>
          <w:sz w:val="20"/>
          <w:u w:val="single"/>
        </w:rPr>
        <w:t>provided</w:t>
      </w:r>
      <w:r>
        <w:rPr>
          <w:rFonts w:ascii="Times New Roman" w:hAnsi="Times New Roman"/>
          <w:sz w:val="20"/>
        </w:rPr>
        <w:t xml:space="preserve">, that in determining the percentage of ownership interests of any Person controlled by another Person, no ownership interests in the nature of a “qualifying share” of the former Person shall be deemed to be outstanding. Unless otherwise specified, “Subsidiary” means any Subsidiary of the Borrower. For the avoidance of doubt, except for purposes of the definition of “Unrestricted Subsidiary”, “Subsidiary” shall not include any Unrestricted Subsidiary for all purposes of the Loan Documents. </w:t>
      </w:r>
    </w:p>
    <w:p>
      <w:pPr>
        <w:pStyle w:val="TextBody"/>
        <w:bidi w:val="0"/>
        <w:spacing w:before="240" w:after="0"/>
        <w:jc w:val="left"/>
        <w:rPr/>
      </w:pPr>
      <w:r>
        <w:rPr/>
        <w:t>“</w:t>
      </w:r>
      <w:r>
        <w:rPr>
          <w:rFonts w:ascii="Times New Roman" w:hAnsi="Times New Roman"/>
          <w:sz w:val="20"/>
          <w:u w:val="single"/>
        </w:rPr>
        <w:t>Subsidiary Guarantor</w:t>
      </w:r>
      <w:r>
        <w:rPr>
          <w:rFonts w:ascii="Times New Roman" w:hAnsi="Times New Roman"/>
          <w:sz w:val="20"/>
        </w:rPr>
        <w:t xml:space="preserve">” means (a) on the Closing Date, each Subsidiary of the Borrower (other than any such Subsidiary that is an Excluded Subsidiary on the Closing Date) and (b) thereafter, each Subsidiary of the Borrower that becomes a guarantor of the Secured Obligations pursuant to the terms of this Agreement (including, for the avoidance of doubt, any Discretionary Guarantor), in each case, until such time as the relevant Subsidiary is released from its obligations under the Loan Guaranty in accordance with the terms and provisions hereof. </w:t>
      </w:r>
    </w:p>
    <w:p>
      <w:pPr>
        <w:pStyle w:val="TextBody"/>
        <w:bidi w:val="0"/>
        <w:spacing w:before="240" w:after="0"/>
        <w:jc w:val="left"/>
        <w:rPr/>
      </w:pPr>
      <w:r>
        <w:rPr/>
        <w:t>“</w:t>
      </w:r>
      <w:r>
        <w:rPr>
          <w:rFonts w:ascii="Times New Roman" w:hAnsi="Times New Roman"/>
          <w:sz w:val="20"/>
          <w:u w:val="single"/>
        </w:rPr>
        <w:t>Successor Borrower</w:t>
      </w:r>
      <w:r>
        <w:rPr>
          <w:rFonts w:ascii="Times New Roman" w:hAnsi="Times New Roman"/>
          <w:sz w:val="20"/>
        </w:rPr>
        <w:t xml:space="preserve">” has the meaning assigned to such term in </w:t>
      </w:r>
      <w:r>
        <w:rPr>
          <w:rFonts w:ascii="Times New Roman" w:hAnsi="Times New Roman"/>
          <w:sz w:val="20"/>
          <w:u w:val="single"/>
        </w:rPr>
        <w:t>Section 6.07(a)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Successor Holdings</w:t>
      </w:r>
      <w:r>
        <w:rPr>
          <w:rFonts w:ascii="Times New Roman" w:hAnsi="Times New Roman"/>
          <w:sz w:val="20"/>
        </w:rPr>
        <w:t xml:space="preserve">” has the meaning assigned to such term in </w:t>
      </w:r>
      <w:r>
        <w:rPr>
          <w:rFonts w:ascii="Times New Roman" w:hAnsi="Times New Roman"/>
          <w:sz w:val="20"/>
          <w:u w:val="single"/>
        </w:rPr>
        <w:t>Section 6.14(q)</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Supporting Obligation</w:t>
      </w:r>
      <w:r>
        <w:rPr>
          <w:rFonts w:ascii="Times New Roman" w:hAnsi="Times New Roman"/>
          <w:sz w:val="20"/>
        </w:rPr>
        <w:t xml:space="preserve">” has the meaning set forth in Article 9 of the UCC. </w:t>
      </w:r>
    </w:p>
    <w:p>
      <w:pPr>
        <w:pStyle w:val="TextBody"/>
        <w:bidi w:val="0"/>
        <w:spacing w:before="240" w:after="0"/>
        <w:jc w:val="left"/>
        <w:rPr/>
      </w:pPr>
      <w:r>
        <w:rPr/>
        <w:t>“</w:t>
      </w:r>
      <w:r>
        <w:rPr>
          <w:rFonts w:ascii="Times New Roman" w:hAnsi="Times New Roman"/>
          <w:sz w:val="20"/>
          <w:u w:val="single"/>
        </w:rPr>
        <w:t>Surety Bond Indebtedness</w:t>
      </w:r>
      <w:r>
        <w:rPr>
          <w:rFonts w:ascii="Times New Roman" w:hAnsi="Times New Roman"/>
          <w:sz w:val="20"/>
        </w:rPr>
        <w:t xml:space="preserve">” means Indebtedness of the Borrower and/or its Subsidiaries with respect to performance bonds, surety bonds, lien bonds, interconnection bonds, payment bonds, appeal bonds, customs bonds or, in each case, similar instruments incurred in the ordinary course of business. </w:t>
      </w:r>
    </w:p>
    <w:p>
      <w:pPr>
        <w:pStyle w:val="TextBody"/>
        <w:bidi w:val="0"/>
        <w:spacing w:before="240" w:after="0"/>
        <w:jc w:val="left"/>
        <w:rPr/>
      </w:pPr>
      <w:r>
        <w:rPr/>
        <w:t>“</w:t>
      </w:r>
      <w:r>
        <w:rPr>
          <w:rFonts w:ascii="Times New Roman" w:hAnsi="Times New Roman"/>
          <w:sz w:val="20"/>
          <w:u w:val="single"/>
        </w:rPr>
        <w:t>Surety Bond Intercreditor Agreement</w:t>
      </w:r>
      <w:r>
        <w:rPr>
          <w:rFonts w:ascii="Times New Roman" w:hAnsi="Times New Roman"/>
          <w:sz w:val="20"/>
        </w:rPr>
        <w:t xml:space="preserve">” means any customary intercreditor agreement reasonably acceptable to the Borrower, the Administrative Agent, the Required Lenders and the holder of the applicable Surety Bond Indebtedness governing lien sharing and/or subordination or similar arrangements among the holders of Surety Bond Indebtedness (or any representative therefor) and the Administrative Agent, which, upon reasonable request by any holder of Surety Bond Indebtedness (or any representative therefor), shall provide that , solely to the extent approved by the Required Lenders (which approval shall not be unreasonably withheld, delayed or conditioned), (a) any Lien held by such holder of Surety Bond Indebtedness on any Collateral to secure the applicable Surety Bond Indebtedness will be on a First Priority basis and (b) any Lien held by the Secured Parties pursuant to the Collateral Documents or any other Loan Documents with respect to the same Collateral will rank second in priority with respect to the Lien held by such holder of Surety Bond Indebtedness as described in </w:t>
      </w:r>
      <w:r>
        <w:rPr>
          <w:rFonts w:ascii="Times New Roman" w:hAnsi="Times New Roman"/>
          <w:sz w:val="20"/>
          <w:u w:val="single"/>
        </w:rPr>
        <w:t>clause (a)</w:t>
      </w:r>
      <w:r>
        <w:rPr>
          <w:rFonts w:ascii="Times New Roman" w:hAnsi="Times New Roman"/>
          <w:sz w:val="20"/>
        </w:rPr>
        <w:t xml:space="preserve"> above with respect to such Collateral. </w:t>
      </w:r>
    </w:p>
    <w:p>
      <w:pPr>
        <w:pStyle w:val="TextBody"/>
        <w:bidi w:val="0"/>
        <w:spacing w:before="240" w:after="0"/>
        <w:jc w:val="left"/>
        <w:rPr/>
      </w:pPr>
      <w:r>
        <w:rPr/>
        <w:t>“</w:t>
      </w:r>
      <w:r>
        <w:rPr>
          <w:rFonts w:ascii="Times New Roman" w:hAnsi="Times New Roman"/>
          <w:sz w:val="20"/>
          <w:u w:val="single"/>
        </w:rPr>
        <w:t>Swap Obligations</w:t>
      </w:r>
      <w:r>
        <w:rPr>
          <w:rFonts w:ascii="Times New Roman" w:hAnsi="Times New Roman"/>
          <w:sz w:val="20"/>
        </w:rPr>
        <w:t xml:space="preserve">” means, with respect to any Loan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equal to its Applicable Revolving Credit Percentage of the aggregate Swingline Exposure at such time. </w:t>
      </w:r>
    </w:p>
    <w:p>
      <w:pPr>
        <w:pStyle w:val="TextBody"/>
        <w:bidi w:val="0"/>
        <w:spacing w:before="240" w:after="0"/>
        <w:jc w:val="left"/>
        <w:rPr/>
      </w:pPr>
      <w:r>
        <w:rPr/>
        <w:t>“</w:t>
      </w:r>
      <w:r>
        <w:rPr>
          <w:rFonts w:ascii="Times New Roman" w:hAnsi="Times New Roman"/>
          <w:sz w:val="20"/>
          <w:u w:val="single"/>
        </w:rPr>
        <w:t>Swingline Lender</w:t>
      </w:r>
      <w:r>
        <w:rPr>
          <w:rFonts w:ascii="Times New Roman" w:hAnsi="Times New Roman"/>
          <w:sz w:val="20"/>
        </w:rPr>
        <w:t xml:space="preserve">” means KeyBank, in its capacity as lender of Swingline Loans hereunder, or any successor lender of Swingline Loans hereunder.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has the meaning assigned to such term in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and Trust Funds</w:t>
      </w:r>
      <w:r>
        <w:rPr>
          <w:rFonts w:ascii="Times New Roman" w:hAnsi="Times New Roman"/>
          <w:sz w:val="20"/>
        </w:rPr>
        <w:t xml:space="preserve">” means Cash, Cash Equivalents or other assets that are comprised solely of (a) funds used for payroll and payroll Taxes and other employee benefit payments to or for the benefit of the employees of the Borrower and/or any of its Subsidiaries, (b) Taxes required to be collected, remitted or withheld (including, federal and state withholding taxes (including the employer’s share thereof)) and (c) other funds which any Loan Party holds in trust or as an escrow or fiduciary for another Person which is not a Loan Party in the ordinary course of business. </w:t>
      </w:r>
    </w:p>
    <w:p>
      <w:pPr>
        <w:pStyle w:val="TextBody"/>
        <w:bidi w:val="0"/>
        <w:spacing w:before="240" w:after="0"/>
        <w:jc w:val="left"/>
        <w:rPr/>
      </w:pPr>
      <w:r>
        <w:rPr/>
        <w:t>“</w:t>
      </w:r>
      <w:r>
        <w:rPr>
          <w:rFonts w:ascii="Times New Roman" w:hAnsi="Times New Roman"/>
          <w:sz w:val="20"/>
          <w:u w:val="single"/>
        </w:rPr>
        <w:t>Tax Group</w:t>
      </w:r>
      <w:r>
        <w:rPr>
          <w:rFonts w:ascii="Times New Roman" w:hAnsi="Times New Roman"/>
          <w:sz w:val="20"/>
        </w:rPr>
        <w:t xml:space="preserve">” has the meaning assigned to such term in </w:t>
      </w:r>
      <w:r>
        <w:rPr>
          <w:rFonts w:ascii="Times New Roman" w:hAnsi="Times New Roman"/>
          <w:sz w:val="20"/>
          <w:u w:val="single"/>
        </w:rPr>
        <w:t>Section 6.04(a)(xv)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Receivable Agreement</w:t>
      </w:r>
      <w:r>
        <w:rPr>
          <w:rFonts w:ascii="Times New Roman" w:hAnsi="Times New Roman"/>
          <w:sz w:val="20"/>
        </w:rPr>
        <w:t xml:space="preserve">” means any tax receivable agreement entered into in connection with the IPO under which Public Parent or a Subsidiary thereof or a successor thereto is obligated to make payments relating to tax savings of Public Parent or a Subsidiary thereof or a successor thereto.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and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has the meaning assigned to such term in the lead-in to </w:t>
      </w:r>
      <w:r>
        <w:rPr>
          <w:rFonts w:ascii="Times New Roman" w:hAnsi="Times New Roman"/>
          <w:sz w:val="20"/>
          <w:u w:val="single"/>
        </w:rPr>
        <w:t>Article 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sz w:val="20"/>
          <w:u w:val="single"/>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Term SOFR determined as provided above (including pursuant to the proviso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(b)</w:t>
      </w:r>
      <w:r>
        <w:rPr>
          <w:rFonts w:ascii="Times New Roman" w:hAnsi="Times New Roman"/>
          <w:sz w:val="20"/>
        </w:rPr>
        <w:t xml:space="preserve"> above) shall ever be less than the Floor, then Term SOFR shall be deemed to be the Floor.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sz w:val="20"/>
          <w:u w:val="single"/>
        </w:rPr>
        <w:t>Test Period</w:t>
      </w:r>
      <w:r>
        <w:rPr>
          <w:rFonts w:ascii="Times New Roman" w:hAnsi="Times New Roman"/>
          <w:sz w:val="20"/>
        </w:rPr>
        <w:t xml:space="preserve">” means, as of any date, (a) for purposes of determining actual compliance with </w:t>
      </w:r>
      <w:r>
        <w:rPr>
          <w:rFonts w:ascii="Times New Roman" w:hAnsi="Times New Roman"/>
          <w:sz w:val="20"/>
          <w:u w:val="single"/>
        </w:rPr>
        <w:t>Sections 6.15(a)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the “Applicable Rate”, the “Commitment Fee Rate” and making any calculations under </w:t>
      </w:r>
      <w:r>
        <w:rPr>
          <w:rFonts w:ascii="Times New Roman" w:hAnsi="Times New Roman"/>
          <w:sz w:val="20"/>
          <w:u w:val="single"/>
        </w:rPr>
        <w:t>clause (e)</w:t>
      </w:r>
      <w:r>
        <w:rPr>
          <w:rFonts w:ascii="Times New Roman" w:hAnsi="Times New Roman"/>
          <w:sz w:val="20"/>
        </w:rPr>
        <w:t xml:space="preserve"> of the definition of “Incremental Cap”, the period of four consecutive Fiscal Quarters then most recently ended for which financial statements under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have been delivered (or are required to have been delivered) and (b) for any other purpose, the period of four consecutive Fiscal Quarters then most recently ended for which financial statements of the type described in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as applicable, have been delivered (or are required to have been delivered) or, if earlier, are internally available and have been delivered to the Administrative Agent; it being understood and agreed that prior to the first delivery (or required delivery) of financial statements of the type described in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Section 5.01(b)</w:t>
      </w:r>
      <w:r>
        <w:rPr>
          <w:rFonts w:ascii="Times New Roman" w:hAnsi="Times New Roman"/>
          <w:sz w:val="20"/>
        </w:rPr>
        <w:t xml:space="preserve">, “Test Period” means the period of four consecutive Fiscal Quarters most recently ended for which financial statements of the Borrower have been delivered to the Administrative Agent pursuant to </w:t>
      </w:r>
      <w:r>
        <w:rPr>
          <w:rFonts w:ascii="Times New Roman" w:hAnsi="Times New Roman"/>
          <w:sz w:val="20"/>
          <w:u w:val="single"/>
        </w:rPr>
        <w:t>Section 4.01(c)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Threshold Amount</w:t>
      </w:r>
      <w:r>
        <w:rPr>
          <w:rFonts w:ascii="Times New Roman" w:hAnsi="Times New Roman"/>
          <w:sz w:val="20"/>
        </w:rPr>
        <w:t xml:space="preserve">” means $122,500,000. </w:t>
      </w:r>
    </w:p>
    <w:p>
      <w:pPr>
        <w:pStyle w:val="TextBody"/>
        <w:bidi w:val="0"/>
        <w:spacing w:before="240" w:after="0"/>
        <w:jc w:val="left"/>
        <w:rPr/>
      </w:pPr>
      <w:r>
        <w:rPr/>
        <w:t>“</w:t>
      </w:r>
      <w:r>
        <w:rPr>
          <w:rFonts w:ascii="Times New Roman" w:hAnsi="Times New Roman"/>
          <w:sz w:val="20"/>
          <w:u w:val="single"/>
        </w:rPr>
        <w:t>Title Policies</w:t>
      </w:r>
      <w:r>
        <w:rPr>
          <w:rFonts w:ascii="Times New Roman" w:hAnsi="Times New Roman"/>
          <w:sz w:val="20"/>
        </w:rPr>
        <w:t xml:space="preserve">” has the meaning assigned to such term in the definition of “Collateral and Guarantee Requirement”.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the ratio, as of any date of determination, of (a) Consolidated Total Debt outstanding as of the last day of the most recently ended Test Period to (b) Consolidated Adjusted EBITDA for the Test Period then most recently ended, in each case, of the Borrower and its Subsidiaries on a consolidated basis. </w:t>
      </w:r>
    </w:p>
    <w:p>
      <w:pPr>
        <w:pStyle w:val="TextBody"/>
        <w:bidi w:val="0"/>
        <w:spacing w:before="240" w:after="0"/>
        <w:jc w:val="left"/>
        <w:rPr/>
      </w:pPr>
      <w:r>
        <w:rPr/>
        <w:t>“</w:t>
      </w:r>
      <w:r>
        <w:rPr>
          <w:rFonts w:ascii="Times New Roman" w:hAnsi="Times New Roman"/>
          <w:sz w:val="20"/>
          <w:u w:val="single"/>
        </w:rPr>
        <w:t>Total Revolving Credit Commitment</w:t>
      </w:r>
      <w:r>
        <w:rPr>
          <w:rFonts w:ascii="Times New Roman" w:hAnsi="Times New Roman"/>
          <w:sz w:val="20"/>
        </w:rPr>
        <w:t xml:space="preserve">” means, at any time, the aggregate amount of Revolving Commitments, as in effect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Trademark</w:t>
      </w:r>
      <w:r>
        <w:rPr>
          <w:rFonts w:ascii="Times New Roman" w:hAnsi="Times New Roman"/>
          <w:sz w:val="20"/>
        </w:rPr>
        <w:t xml:space="preserve">” means the following: (a) all trademarks (including service marks), common law marks, trade names, trade dress, and logos, slogans and other indicia of origin, and the registrations and applications for registration thereof and the goodwill of the business symbolized by the foregoing; (b) all renewals of the foregoing; and (c) all rights corresponding to any of the foregoing. </w:t>
      </w:r>
    </w:p>
    <w:p>
      <w:pPr>
        <w:pStyle w:val="TextBody"/>
        <w:bidi w:val="0"/>
        <w:spacing w:before="240" w:after="0"/>
        <w:jc w:val="left"/>
        <w:rPr/>
      </w:pPr>
      <w:r>
        <w:rPr/>
        <w:t>“</w:t>
      </w:r>
      <w:r>
        <w:rPr>
          <w:rFonts w:ascii="Times New Roman" w:hAnsi="Times New Roman"/>
          <w:sz w:val="20"/>
          <w:u w:val="single"/>
        </w:rPr>
        <w:t>Transaction Costs</w:t>
      </w:r>
      <w:r>
        <w:rPr>
          <w:rFonts w:ascii="Times New Roman" w:hAnsi="Times New Roman"/>
          <w:sz w:val="20"/>
        </w:rPr>
        <w:t xml:space="preserve">” means fees, premiums, expenses and other transaction costs (including original issue discount or upfront fees) payable or otherwise borne by any Parent Company and/or its Subsidiaries in connection with the Transactions and the transactions contemplated thereby.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(a) the execution, delivery and performance by the Loan Parties of the Loan Documents to which they are a party and the Borrowing of Loans hereunder on the Closing Date, (b) the Closing Date Refinancing, (c) the IPO and the related transactions and (d) the payment of the Transaction Costs. </w:t>
      </w:r>
    </w:p>
    <w:p>
      <w:pPr>
        <w:pStyle w:val="TextBody"/>
        <w:bidi w:val="0"/>
        <w:spacing w:before="240" w:after="0"/>
        <w:jc w:val="left"/>
        <w:rPr/>
      </w:pPr>
      <w:r>
        <w:rPr/>
        <w:t>“</w:t>
      </w:r>
      <w:r>
        <w:rPr>
          <w:rFonts w:ascii="Times New Roman" w:hAnsi="Times New Roman"/>
          <w:sz w:val="20"/>
          <w:u w:val="single"/>
        </w:rPr>
        <w:t>Treasury Capital Stock</w:t>
      </w:r>
      <w:r>
        <w:rPr>
          <w:rFonts w:ascii="Times New Roman" w:hAnsi="Times New Roman"/>
          <w:sz w:val="20"/>
        </w:rPr>
        <w:t xml:space="preserve">” has the meaning assigned to such term in </w:t>
      </w:r>
      <w:r>
        <w:rPr>
          <w:rFonts w:ascii="Times New Roman" w:hAnsi="Times New Roman"/>
          <w:sz w:val="20"/>
          <w:u w:val="single"/>
        </w:rPr>
        <w:t>Section 6.04(a)(viii)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Term SOFR or the Alternate Base Rate.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New York or any other state the laws of which are required to be applied in connection with the creation or perfection of security interests.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Undisclosed Administration</w:t>
      </w:r>
      <w:r>
        <w:rPr>
          <w:rFonts w:ascii="Times New Roman" w:hAnsi="Times New Roman"/>
          <w:sz w:val="20"/>
        </w:rPr>
        <w:t xml:space="preserve">” means, with respect to any Person, the appointment of an administrator, provisional liquidator, conservator, receiver, trustee, custodian or other similar official by a supervisory authority or regulator under or based on the applicable Requirements of Law in the country where such Person is subject to home jurisdiction supervision if the applicable Requirements of Law requires that such appointment is not to be publicly disclosed. </w:t>
      </w:r>
    </w:p>
    <w:p>
      <w:pPr>
        <w:pStyle w:val="TextBody"/>
        <w:bidi w:val="0"/>
        <w:spacing w:before="240" w:after="0"/>
        <w:jc w:val="left"/>
        <w:rPr/>
      </w:pPr>
      <w:r>
        <w:rPr/>
        <w:t>“</w:t>
      </w:r>
      <w:r>
        <w:rPr>
          <w:rFonts w:ascii="Times New Roman" w:hAnsi="Times New Roman"/>
          <w:sz w:val="20"/>
          <w:u w:val="single"/>
        </w:rPr>
        <w:t>Unrestricted Cash Amount</w:t>
      </w:r>
      <w:r>
        <w:rPr>
          <w:rFonts w:ascii="Times New Roman" w:hAnsi="Times New Roman"/>
          <w:sz w:val="20"/>
        </w:rPr>
        <w:t xml:space="preserve">” means, as to any Person, on any date of determination, the amount of (a) unrestricted Cash and Cash Equivalents of such Persons and (b) Cash and Cash Equivalents of such Person that are restricted in favor of the Revolving Facility and/or other Indebtedness permitted to be secured on a </w:t>
      </w:r>
      <w:r>
        <w:rPr>
          <w:rFonts w:ascii="Times New Roman" w:hAnsi="Times New Roman"/>
          <w:i/>
          <w:sz w:val="20"/>
        </w:rPr>
        <w:t>pari passu</w:t>
      </w:r>
      <w:r>
        <w:rPr>
          <w:rFonts w:ascii="Times New Roman" w:hAnsi="Times New Roman"/>
          <w:sz w:val="20"/>
        </w:rPr>
        <w:t xml:space="preserve"> or junior basis with the Revolving Facility (which may also include Cash and Cash Equivalents securing any First Lien Debt, Junior Lien Debt and/or any Indebtedness permitted to be secured on a </w:t>
      </w:r>
      <w:r>
        <w:rPr>
          <w:rFonts w:ascii="Times New Roman" w:hAnsi="Times New Roman"/>
          <w:i/>
          <w:sz w:val="20"/>
        </w:rPr>
        <w:t>pari passu</w:t>
      </w:r>
      <w:r>
        <w:rPr>
          <w:rFonts w:ascii="Times New Roman" w:hAnsi="Times New Roman"/>
          <w:sz w:val="20"/>
        </w:rPr>
        <w:t xml:space="preserve"> or junior basis with the Revolving Facility) and/or any Indebtedness permitted to be secured on a </w:t>
      </w:r>
      <w:r>
        <w:rPr>
          <w:rFonts w:ascii="Times New Roman" w:hAnsi="Times New Roman"/>
          <w:i/>
          <w:sz w:val="20"/>
        </w:rPr>
        <w:t>pari passu</w:t>
      </w:r>
      <w:r>
        <w:rPr>
          <w:rFonts w:ascii="Times New Roman" w:hAnsi="Times New Roman"/>
          <w:sz w:val="20"/>
        </w:rPr>
        <w:t xml:space="preserve"> or junior basis with the Revolving Facility).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 any Subsidiary of the Borrower that is listed on </w:t>
      </w:r>
      <w:r>
        <w:rPr>
          <w:rFonts w:ascii="Times New Roman" w:hAnsi="Times New Roman"/>
          <w:sz w:val="20"/>
          <w:u w:val="single"/>
        </w:rPr>
        <w:t>Schedule 5.10</w:t>
      </w:r>
      <w:r>
        <w:rPr>
          <w:rFonts w:ascii="Times New Roman" w:hAnsi="Times New Roman"/>
          <w:sz w:val="20"/>
        </w:rPr>
        <w:t xml:space="preserve"> hereto or designated by the Borrower as an Unrestricted Subsidiary after the Closing Date pursuant to </w:t>
      </w:r>
      <w:r>
        <w:rPr>
          <w:rFonts w:ascii="Times New Roman" w:hAnsi="Times New Roman"/>
          <w:sz w:val="20"/>
          <w:u w:val="single"/>
        </w:rPr>
        <w:t>Section 5.10</w:t>
      </w:r>
      <w:r>
        <w:rPr>
          <w:rFonts w:ascii="Times New Roman" w:hAnsi="Times New Roman"/>
          <w:sz w:val="20"/>
        </w:rPr>
        <w:t xml:space="preserve"> and (b) each Subsidiary of any Person described in the preceding </w:t>
      </w:r>
      <w:r>
        <w:rPr>
          <w:rFonts w:ascii="Times New Roman" w:hAnsi="Times New Roman"/>
          <w:sz w:val="20"/>
          <w:u w:val="single"/>
        </w:rPr>
        <w:t>clause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Unrestricted Subsidiary Investment Basket</w:t>
      </w:r>
      <w:r>
        <w:rPr>
          <w:rFonts w:ascii="Times New Roman" w:hAnsi="Times New Roman"/>
          <w:sz w:val="20"/>
        </w:rPr>
        <w:t xml:space="preserve">” has the meaning assigned to such term in </w:t>
      </w:r>
      <w:r>
        <w:rPr>
          <w:rFonts w:ascii="Times New Roman" w:hAnsi="Times New Roman"/>
          <w:sz w:val="20"/>
          <w:u w:val="single"/>
        </w:rPr>
        <w:t>Section 6.06(u)</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(Title III of Pub. L. No. 107-56 (signed into law October 26, 2001)) and 31 C.F.R. § 1010.230. </w:t>
      </w:r>
    </w:p>
    <w:p>
      <w:pPr>
        <w:pStyle w:val="TextBody"/>
        <w:bidi w:val="0"/>
        <w:spacing w:before="240" w:after="0"/>
        <w:jc w:val="left"/>
        <w:rPr/>
      </w:pPr>
      <w:r>
        <w:rPr/>
        <w:t>“</w:t>
      </w:r>
      <w:r>
        <w:rPr>
          <w:rFonts w:ascii="Times New Roman" w:hAnsi="Times New Roman"/>
          <w:sz w:val="20"/>
          <w:u w:val="single"/>
        </w:rPr>
        <w:t xml:space="preserve">U.S.” </w:t>
      </w:r>
      <w:r>
        <w:rPr>
          <w:rFonts w:ascii="Times New Roman" w:hAnsi="Times New Roman"/>
          <w:sz w:val="20"/>
        </w:rPr>
        <w:t xml:space="preserve">means the United States of America. </w:t>
      </w:r>
    </w:p>
    <w:p>
      <w:pPr>
        <w:pStyle w:val="TextBody"/>
        <w:bidi w:val="0"/>
        <w:spacing w:before="240" w:after="0"/>
        <w:jc w:val="left"/>
        <w:rPr/>
      </w:pPr>
      <w:r>
        <w:rPr/>
        <w:t>“</w:t>
      </w:r>
      <w:r>
        <w:rPr>
          <w:rFonts w:ascii="Times New Roman" w:hAnsi="Times New Roman"/>
          <w:sz w:val="20"/>
          <w:u w:val="single"/>
        </w:rPr>
        <w:t>U.S. EPA</w:t>
      </w:r>
      <w:r>
        <w:rPr>
          <w:rFonts w:ascii="Times New Roman" w:hAnsi="Times New Roman"/>
          <w:sz w:val="20"/>
        </w:rPr>
        <w:t xml:space="preserve">” means the United States Environmental Protection Agency.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Lender</w:t>
      </w:r>
      <w:r>
        <w:rPr>
          <w:rFonts w:ascii="Times New Roman" w:hAnsi="Times New Roman"/>
          <w:sz w:val="20"/>
        </w:rPr>
        <w:t xml:space="preserve">” means any Lender or Issuing Bank that is a “United States person” within the meaning of Section 7701(a)(30) of the Code. </w:t>
      </w:r>
    </w:p>
    <w:p>
      <w:pPr>
        <w:pStyle w:val="TextBody"/>
        <w:bidi w:val="0"/>
        <w:spacing w:before="240" w:after="0"/>
        <w:jc w:val="left"/>
        <w:rPr/>
      </w:pPr>
      <w:r>
        <w:rPr/>
        <w:t>“</w:t>
      </w:r>
      <w:r>
        <w:rPr>
          <w:rFonts w:ascii="Times New Roman" w:hAnsi="Times New Roman"/>
          <w:sz w:val="20"/>
          <w:u w:val="single"/>
        </w:rPr>
        <w:t>U.S. Special Resolution Regimes</w:t>
      </w:r>
      <w:r>
        <w:rPr>
          <w:rFonts w:ascii="Times New Roman" w:hAnsi="Times New Roman"/>
          <w:sz w:val="20"/>
        </w:rPr>
        <w:t xml:space="preserve">” has the meaning assigned to such term in </w:t>
      </w:r>
      <w:r>
        <w:rPr>
          <w:rFonts w:ascii="Times New Roman" w:hAnsi="Times New Roman"/>
          <w:sz w:val="20"/>
          <w:u w:val="single"/>
        </w:rPr>
        <w:t>Section 9.24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 Subsidiary</w:t>
      </w:r>
      <w:r>
        <w:rPr>
          <w:rFonts w:ascii="Times New Roman" w:hAnsi="Times New Roman"/>
          <w:sz w:val="20"/>
        </w:rPr>
        <w:t xml:space="preserve">” means any Subsidiary incorporated or organized under the laws of the U.S., any state thereof or the District of Columbia.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assigned to such term in </w:t>
      </w:r>
      <w:r>
        <w:rPr>
          <w:rFonts w:ascii="Times New Roman" w:hAnsi="Times New Roman"/>
          <w:sz w:val="20"/>
          <w:u w:val="single"/>
        </w:rPr>
        <w:t>Section 2.17(f)(ii)(B)(3)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 Treasury Regulations</w:t>
      </w:r>
      <w:r>
        <w:rPr>
          <w:rFonts w:ascii="Times New Roman" w:hAnsi="Times New Roman"/>
          <w:sz w:val="20"/>
        </w:rPr>
        <w:t xml:space="preserve">” means the U.S. federal income tax regulations promulgated under the Code. </w:t>
      </w:r>
    </w:p>
    <w:p>
      <w:pPr>
        <w:pStyle w:val="TextBody"/>
        <w:bidi w:val="0"/>
        <w:spacing w:before="240" w:after="0"/>
        <w:jc w:val="left"/>
        <w:rPr/>
      </w:pPr>
      <w:r>
        <w:rPr/>
        <w:t>“</w:t>
      </w:r>
      <w:r>
        <w:rPr>
          <w:rFonts w:ascii="Times New Roman" w:hAnsi="Times New Roman"/>
          <w:sz w:val="20"/>
          <w:u w:val="single"/>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hAnsi="Times New Roman"/>
          <w:sz w:val="20"/>
          <w:u w:val="single"/>
        </w:rPr>
        <w:t>provided</w:t>
      </w:r>
      <w:r>
        <w:rPr>
          <w:rFonts w:ascii="Times New Roman" w:hAnsi="Times New Roman"/>
          <w:sz w:val="20"/>
        </w:rPr>
        <w:t xml:space="preserve">, that the effect of any prepayment made in respect of such Indebtedness shall be disregarded in making such calculation. </w:t>
      </w:r>
    </w:p>
    <w:p>
      <w:pPr>
        <w:pStyle w:val="TextBody"/>
        <w:bidi w:val="0"/>
        <w:spacing w:before="240" w:after="0"/>
        <w:jc w:val="left"/>
        <w:rPr/>
      </w:pPr>
      <w:r>
        <w:rPr/>
        <w:t>“</w:t>
      </w:r>
      <w:r>
        <w:rPr>
          <w:rFonts w:ascii="Times New Roman" w:hAnsi="Times New Roman"/>
          <w:sz w:val="20"/>
          <w:u w:val="single"/>
        </w:rPr>
        <w:t>Wholly-Owned Subsidiary</w:t>
      </w:r>
      <w:r>
        <w:rPr>
          <w:rFonts w:ascii="Times New Roman" w:hAnsi="Times New Roman"/>
          <w:sz w:val="20"/>
        </w:rPr>
        <w:t xml:space="preserve">” 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the liability to any Multiemployer Plan as the result of a “complete” or “partial” withdrawal by the Borrower and/or any of its Subsidiaries or any ERISA Affiliate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For purposes of this Agreement, Loans may be classified and referred to by Class (</w:t>
      </w:r>
      <w:r>
        <w:rPr>
          <w:rFonts w:ascii="Times New Roman" w:hAnsi="Times New Roman"/>
          <w:i/>
          <w:sz w:val="20"/>
        </w:rPr>
        <w:t>e.g</w:t>
      </w:r>
      <w:r>
        <w:rPr>
          <w:rFonts w:ascii="Times New Roman" w:hAnsi="Times New Roman"/>
          <w:sz w:val="20"/>
        </w:rPr>
        <w:t>., a “Revolving Loan”) or by Type (</w:t>
      </w:r>
      <w:r>
        <w:rPr>
          <w:rFonts w:ascii="Times New Roman" w:hAnsi="Times New Roman"/>
          <w:i/>
          <w:sz w:val="20"/>
        </w:rPr>
        <w:t>e.g</w:t>
      </w:r>
      <w:r>
        <w:rPr>
          <w:rFonts w:ascii="Times New Roman" w:hAnsi="Times New Roman"/>
          <w:sz w:val="20"/>
        </w:rPr>
        <w:t>., a “SOFR Loan”) or by Class and Type (</w:t>
      </w:r>
      <w:r>
        <w:rPr>
          <w:rFonts w:ascii="Times New Roman" w:hAnsi="Times New Roman"/>
          <w:i/>
          <w:sz w:val="20"/>
        </w:rPr>
        <w:t>e.g.</w:t>
      </w:r>
      <w:r>
        <w:rPr>
          <w:rFonts w:ascii="Times New Roman" w:hAnsi="Times New Roman"/>
          <w:sz w:val="20"/>
        </w:rPr>
        <w:t>, a “SOFR Revolving Loan”). Borrowings also may be classified and referred to by Class (</w:t>
      </w:r>
      <w:r>
        <w:rPr>
          <w:rFonts w:ascii="Times New Roman" w:hAnsi="Times New Roman"/>
          <w:i/>
          <w:sz w:val="20"/>
        </w:rPr>
        <w:t>e.g.</w:t>
      </w:r>
      <w:r>
        <w:rPr>
          <w:rFonts w:ascii="Times New Roman" w:hAnsi="Times New Roman"/>
          <w:sz w:val="20"/>
        </w:rPr>
        <w:t>, a “Revolving Loan Borrowing”) or by Type (</w:t>
      </w:r>
      <w:r>
        <w:rPr>
          <w:rFonts w:ascii="Times New Roman" w:hAnsi="Times New Roman"/>
          <w:i/>
          <w:sz w:val="20"/>
        </w:rPr>
        <w:t>e.g</w:t>
      </w:r>
      <w:r>
        <w:rPr>
          <w:rFonts w:ascii="Times New Roman" w:hAnsi="Times New Roman"/>
          <w:sz w:val="20"/>
        </w:rPr>
        <w:t>., an “SOFR Borrowing”) or by Class and Type (</w:t>
      </w:r>
      <w:r>
        <w:rPr>
          <w:rFonts w:ascii="Times New Roman" w:hAnsi="Times New Roman"/>
          <w:i/>
          <w:sz w:val="20"/>
        </w:rPr>
        <w:t>e.g.</w:t>
      </w:r>
      <w:r>
        <w:rPr>
          <w:rFonts w:ascii="Times New Roman" w:hAnsi="Times New Roman"/>
          <w:sz w:val="20"/>
        </w:rPr>
        <w:t xml:space="preserve">, a “SOFR Revolving Loan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(b) any reference to any Requirement of Law in any Loan Document shall include all statutory and regulatory provisions consolidating, amending, replacing, supplementing or interpreting such Requirement of Law, (c) any reference herein or in any Loan Document to any Person shall be construed to include such Person’s successors and permitted assigns, (d) the words “herein,” “hereof” and “hereunder,” and words of similar import, when used in any Loan Document, shall be construed to refer to such Loan Document in its entirety and not to any particular provision hereof, (e) all references herein or in any Loan Document to Articles, Sections, clauses, paragraphs, Exhibits and Schedules shall be construed to refer to Articles, Sections, clauses and paragraphs of, and Exhibits and Schedules to, such Loan Document, (f) in the computation of periods of time in any Loan Document from a specified date to a later specified date, the word “from” means “from and including”, the words “to” and “until” mean “to but excluding” and the word “through” means “to and including” and (g) the words “asset” and “property”, when used in any Loan Document,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determining compliance at any time with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and/or </w:t>
      </w:r>
      <w:r>
        <w:rPr>
          <w:rFonts w:ascii="Times New Roman" w:hAnsi="Times New Roman"/>
          <w:sz w:val="20"/>
          <w:u w:val="single"/>
        </w:rPr>
        <w:t>5.17</w:t>
      </w:r>
      <w:r>
        <w:rPr>
          <w:rFonts w:ascii="Times New Roman" w:hAnsi="Times New Roman"/>
          <w:sz w:val="20"/>
        </w:rPr>
        <w:t xml:space="preserve">, in the event that any Indebtedness, Lien, Restricted Payment, Restricted Debt Payment, Investment, Disposition and/or transaction with Affiliates, as applicable, meets the criteria of more than one of the categories of transactions or items permitted pursuant to any clause of such </w:t>
      </w:r>
      <w:r>
        <w:rPr>
          <w:rFonts w:ascii="Times New Roman" w:hAnsi="Times New Roman"/>
          <w:sz w:val="20"/>
          <w:u w:val="single"/>
        </w:rPr>
        <w:t>Sections 6.01</w:t>
      </w:r>
      <w:r>
        <w:rPr>
          <w:rFonts w:ascii="Times New Roman" w:hAnsi="Times New Roman"/>
          <w:sz w:val="20"/>
        </w:rPr>
        <w:t xml:space="preserve"> (other than </w:t>
      </w:r>
      <w:r>
        <w:rPr>
          <w:rFonts w:ascii="Times New Roman" w:hAnsi="Times New Roman"/>
          <w:sz w:val="20"/>
          <w:u w:val="single"/>
        </w:rPr>
        <w:t>Section 6.01(a)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it is understood that the provisions of this </w:t>
      </w:r>
      <w:r>
        <w:rPr>
          <w:rFonts w:ascii="Times New Roman" w:hAnsi="Times New Roman"/>
          <w:sz w:val="20"/>
          <w:u w:val="single"/>
        </w:rPr>
        <w:t>Section 1.03(b)</w:t>
      </w:r>
      <w:r>
        <w:rPr>
          <w:rFonts w:ascii="Times New Roman" w:hAnsi="Times New Roman"/>
          <w:sz w:val="20"/>
        </w:rPr>
        <w:t xml:space="preserve"> shall apply to any amount incurred in reliance on any provision of the definition of “Incremental Cap”), </w:t>
      </w:r>
      <w:r>
        <w:rPr>
          <w:rFonts w:ascii="Times New Roman" w:hAnsi="Times New Roman"/>
          <w:sz w:val="20"/>
          <w:u w:val="single"/>
        </w:rPr>
        <w:t>6.02</w:t>
      </w:r>
      <w:r>
        <w:rPr>
          <w:rFonts w:ascii="Times New Roman" w:hAnsi="Times New Roman"/>
          <w:sz w:val="20"/>
        </w:rPr>
        <w:t xml:space="preserve"> (other than </w:t>
      </w:r>
      <w:r>
        <w:rPr>
          <w:rFonts w:ascii="Times New Roman" w:hAnsi="Times New Roman"/>
          <w:sz w:val="20"/>
          <w:u w:val="single"/>
        </w:rPr>
        <w:t>Section 6.02(a)</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xml:space="preserve"> (other than </w:t>
      </w:r>
      <w:r>
        <w:rPr>
          <w:rFonts w:ascii="Times New Roman" w:hAnsi="Times New Roman"/>
          <w:sz w:val="20"/>
          <w:u w:val="single"/>
        </w:rPr>
        <w:t>Section 6.06(u)</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and </w:t>
      </w:r>
      <w:r>
        <w:rPr>
          <w:rFonts w:ascii="Times New Roman" w:hAnsi="Times New Roman"/>
          <w:sz w:val="20"/>
          <w:u w:val="single"/>
        </w:rPr>
        <w:t>5.17</w:t>
      </w:r>
      <w:r>
        <w:rPr>
          <w:rFonts w:ascii="Times New Roman" w:hAnsi="Times New Roman"/>
          <w:sz w:val="20"/>
        </w:rPr>
        <w:t xml:space="preserve">, the Borrower, in its sole discretion, may, from time to time, classify or reclassify such transaction or item (or portion thereof) under one or more clauses of the same Section and will only be required to include the amount and type of such transaction (or portion thereof) in any one category;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upon the date on which financial statements of the type described in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are delivered or, if earlier, are or become internally available and have been delivered to the Administrative Agent, on the date of or following the initial incurrence of any portion of any Indebtedness incurred under </w:t>
      </w:r>
      <w:r>
        <w:rPr>
          <w:rFonts w:ascii="Times New Roman" w:hAnsi="Times New Roman"/>
          <w:sz w:val="20"/>
          <w:u w:val="single"/>
        </w:rPr>
        <w:t>Section 6.01</w:t>
      </w:r>
      <w:r>
        <w:rPr>
          <w:rFonts w:ascii="Times New Roman" w:hAnsi="Times New Roman"/>
          <w:sz w:val="20"/>
        </w:rPr>
        <w:t xml:space="preserve"> (other than Section 6.01(a)) (such portion of such Indebtedness, the “Subject Indebtedness”), if any such Subject Indebtedness could, based on such financial statements, have been incurred in reliance on Section</w:t>
      </w:r>
      <w:r>
        <w:rPr>
          <w:rFonts w:ascii="Times New Roman" w:hAnsi="Times New Roman"/>
          <w:sz w:val="20"/>
          <w:u w:val="single"/>
        </w:rPr>
        <w:t> 6.01(w)(b)</w:t>
      </w:r>
      <w:r>
        <w:rPr>
          <w:rFonts w:ascii="Times New Roman" w:hAnsi="Times New Roman"/>
          <w:sz w:val="20"/>
        </w:rPr>
        <w:t xml:space="preserve">, such Subject Indebtedness shall automatically be reclassified as having been incurred under the applicable provision of </w:t>
      </w:r>
      <w:r>
        <w:rPr>
          <w:rFonts w:ascii="Times New Roman" w:hAnsi="Times New Roman"/>
          <w:sz w:val="20"/>
          <w:u w:val="single"/>
        </w:rPr>
        <w:t>Section 6.01(w)</w:t>
      </w:r>
      <w:r>
        <w:rPr>
          <w:rFonts w:ascii="Times New Roman" w:hAnsi="Times New Roman"/>
          <w:sz w:val="20"/>
        </w:rPr>
        <w:t xml:space="preserve"> (subject to any other applicable provision of </w:t>
      </w:r>
      <w:r>
        <w:rPr>
          <w:rFonts w:ascii="Times New Roman" w:hAnsi="Times New Roman"/>
          <w:sz w:val="20"/>
          <w:u w:val="single"/>
        </w:rPr>
        <w:t>Section 6.01(w)(b)</w:t>
      </w:r>
      <w:r>
        <w:rPr>
          <w:rFonts w:ascii="Times New Roman" w:hAnsi="Times New Roman"/>
          <w:sz w:val="20"/>
        </w:rPr>
        <w:t xml:space="preserve">) and any associated Lien will be deemed to have been permitted under </w:t>
      </w:r>
      <w:r>
        <w:rPr>
          <w:rFonts w:ascii="Times New Roman" w:hAnsi="Times New Roman"/>
          <w:sz w:val="20"/>
          <w:u w:val="single"/>
        </w:rPr>
        <w:t>Section 6.02(s)</w:t>
      </w:r>
      <w:r>
        <w:rPr>
          <w:rFonts w:ascii="Times New Roman" w:hAnsi="Times New Roman"/>
          <w:sz w:val="20"/>
        </w:rPr>
        <w:t xml:space="preserve"> (subject, in the case of any such Lien on the Collateral, to an Acceptable Intercreditor Agreement) upon any such reclassification; it being understood for the avoidance of doubt that this clause (i) shall not limit the provisions of the definition of “Incremental Cap”);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the date on which financial statements of the type described in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are delivered or, if earlier, become internally available and have been delivered to the Administrative Agent following the making of any Investment in reliance on </w:t>
      </w:r>
      <w:r>
        <w:rPr>
          <w:rFonts w:ascii="Times New Roman" w:hAnsi="Times New Roman"/>
          <w:sz w:val="20"/>
          <w:u w:val="single"/>
        </w:rPr>
        <w:t>Section 6.06</w:t>
      </w:r>
      <w:r>
        <w:rPr>
          <w:rFonts w:ascii="Times New Roman" w:hAnsi="Times New Roman"/>
          <w:sz w:val="20"/>
        </w:rPr>
        <w:t xml:space="preserve"> (other than </w:t>
      </w:r>
      <w:r>
        <w:rPr>
          <w:rFonts w:ascii="Times New Roman" w:hAnsi="Times New Roman"/>
          <w:sz w:val="20"/>
          <w:u w:val="single"/>
        </w:rPr>
        <w:t>Section(u)</w:t>
      </w:r>
      <w:r>
        <w:rPr>
          <w:rFonts w:ascii="Times New Roman" w:hAnsi="Times New Roman"/>
          <w:sz w:val="20"/>
        </w:rPr>
        <w:t xml:space="preserve"> and </w:t>
      </w:r>
      <w:r>
        <w:rPr>
          <w:rFonts w:ascii="Times New Roman" w:hAnsi="Times New Roman"/>
          <w:sz w:val="20"/>
          <w:u w:val="single"/>
        </w:rPr>
        <w:t>Section 6.06(bb)</w:t>
      </w:r>
      <w:r>
        <w:rPr>
          <w:rFonts w:ascii="Times New Roman" w:hAnsi="Times New Roman"/>
          <w:sz w:val="20"/>
        </w:rPr>
        <w:t xml:space="preserve">), if all or any portion of such Investment could, based on such financial statements, have been made in reliance on </w:t>
      </w:r>
      <w:r>
        <w:rPr>
          <w:rFonts w:ascii="Times New Roman" w:hAnsi="Times New Roman"/>
          <w:sz w:val="20"/>
          <w:u w:val="single"/>
        </w:rPr>
        <w:t>Section 6.06(bb)</w:t>
      </w:r>
      <w:r>
        <w:rPr>
          <w:rFonts w:ascii="Times New Roman" w:hAnsi="Times New Roman"/>
          <w:sz w:val="20"/>
        </w:rPr>
        <w:t xml:space="preserve">, such Investment (or the relevant portion thereof) shall automatically be reclassified as having been made in reliance on </w:t>
      </w:r>
      <w:r>
        <w:rPr>
          <w:rFonts w:ascii="Times New Roman" w:hAnsi="Times New Roman"/>
          <w:sz w:val="20"/>
          <w:u w:val="single"/>
        </w:rPr>
        <w:t>Section 6.06(bb)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upon the date on which financial statements of the type described in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are delivered or, if earlier, become internally available and have been delivered to the Administrative Agent, following the making of any Restricted Payment under </w:t>
      </w:r>
      <w:r>
        <w:rPr>
          <w:rFonts w:ascii="Times New Roman" w:hAnsi="Times New Roman"/>
          <w:sz w:val="20"/>
          <w:u w:val="single"/>
        </w:rPr>
        <w:t>Section 6.04(a)</w:t>
      </w:r>
      <w:r>
        <w:rPr>
          <w:rFonts w:ascii="Times New Roman" w:hAnsi="Times New Roman"/>
          <w:sz w:val="20"/>
        </w:rPr>
        <w:t xml:space="preserve"> (other than </w:t>
      </w:r>
      <w:r>
        <w:rPr>
          <w:rFonts w:ascii="Times New Roman" w:hAnsi="Times New Roman"/>
          <w:sz w:val="20"/>
          <w:u w:val="single"/>
        </w:rPr>
        <w:t>Section 6.04(a)(xi)</w:t>
      </w:r>
      <w:r>
        <w:rPr>
          <w:rFonts w:ascii="Times New Roman" w:hAnsi="Times New Roman"/>
          <w:sz w:val="20"/>
        </w:rPr>
        <w:t xml:space="preserve">), if all or any portion of such Restricted Payment could, based on such financial statements, have been made in reliance on </w:t>
      </w:r>
      <w:r>
        <w:rPr>
          <w:rFonts w:ascii="Times New Roman" w:hAnsi="Times New Roman"/>
          <w:sz w:val="20"/>
          <w:u w:val="single"/>
        </w:rPr>
        <w:t>Section 6.04(a)(xi</w:t>
      </w:r>
      <w:r>
        <w:rPr>
          <w:rFonts w:ascii="Times New Roman" w:hAnsi="Times New Roman"/>
          <w:sz w:val="20"/>
        </w:rPr>
        <w:t xml:space="preserve">), such Restricted Payment (or the relevant portion thereof) shall automatically be reclassified as having been made in reliance on </w:t>
      </w:r>
      <w:r>
        <w:rPr>
          <w:rFonts w:ascii="Times New Roman" w:hAnsi="Times New Roman"/>
          <w:sz w:val="20"/>
          <w:u w:val="single"/>
        </w:rPr>
        <w:t>Section 6.04(a)(xi</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upon the date on which financial statements of the type described in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are delivered or, if earlier, become internally available and have been delivered to the Administrative Agent, following the making of any Restricted Debt Payment under </w:t>
      </w:r>
      <w:r>
        <w:rPr>
          <w:rFonts w:ascii="Times New Roman" w:hAnsi="Times New Roman"/>
          <w:sz w:val="20"/>
          <w:u w:val="single"/>
        </w:rPr>
        <w:t>Section 6.04(b)</w:t>
      </w:r>
      <w:r>
        <w:rPr>
          <w:rFonts w:ascii="Times New Roman" w:hAnsi="Times New Roman"/>
          <w:sz w:val="20"/>
        </w:rPr>
        <w:t xml:space="preserve"> (other than </w:t>
      </w:r>
      <w:r>
        <w:rPr>
          <w:rFonts w:ascii="Times New Roman" w:hAnsi="Times New Roman"/>
          <w:sz w:val="20"/>
          <w:u w:val="single"/>
        </w:rPr>
        <w:t>Section 6.04(b)(vii)</w:t>
      </w:r>
      <w:r>
        <w:rPr>
          <w:rFonts w:ascii="Times New Roman" w:hAnsi="Times New Roman"/>
          <w:sz w:val="20"/>
        </w:rPr>
        <w:t xml:space="preserve">), if all or any portion of such Restricted Debt Payment could, based on such financial statements, have been made in reliance on </w:t>
      </w:r>
      <w:r>
        <w:rPr>
          <w:rFonts w:ascii="Times New Roman" w:hAnsi="Times New Roman"/>
          <w:sz w:val="20"/>
          <w:u w:val="single"/>
        </w:rPr>
        <w:t>Section 6.04(b)(vii</w:t>
      </w:r>
      <w:r>
        <w:rPr>
          <w:rFonts w:ascii="Times New Roman" w:hAnsi="Times New Roman"/>
          <w:sz w:val="20"/>
        </w:rPr>
        <w:t xml:space="preserve">), such Restricted Debt Payment (or the relevant portion thereof) shall automatically be reclassified as having been made in reliance on </w:t>
      </w:r>
      <w:r>
        <w:rPr>
          <w:rFonts w:ascii="Times New Roman" w:hAnsi="Times New Roman"/>
          <w:sz w:val="20"/>
          <w:u w:val="single"/>
        </w:rPr>
        <w:t>Section 6.04(b)(vii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It is understood and agreed that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Times New Roman" w:hAnsi="Times New Roman"/>
          <w:sz w:val="20"/>
          <w:u w:val="single"/>
        </w:rPr>
        <w:t>Section 5.17</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xml:space="preserve"> or </w:t>
      </w:r>
      <w:r>
        <w:rPr>
          <w:rFonts w:ascii="Times New Roman" w:hAnsi="Times New Roman"/>
          <w:sz w:val="20"/>
          <w:u w:val="single"/>
        </w:rPr>
        <w:t>6.07</w:t>
      </w:r>
      <w:r>
        <w:rPr>
          <w:rFonts w:ascii="Times New Roman" w:hAnsi="Times New Roman"/>
          <w:sz w:val="20"/>
        </w:rPr>
        <w:t xml:space="preserve">, respectively, and may instead be permitted in part under any combination thereof, but the Borrower will only be required to include the amount and type of such transaction (or portion thereof) in one such category (or combination thereof). To the extent the applicability of </w:t>
      </w:r>
      <w:r>
        <w:rPr>
          <w:rFonts w:ascii="Times New Roman" w:hAnsi="Times New Roman"/>
          <w:sz w:val="20"/>
          <w:u w:val="single"/>
        </w:rPr>
        <w:t>Section 6.07</w:t>
      </w:r>
      <w:r>
        <w:rPr>
          <w:rFonts w:ascii="Times New Roman" w:hAnsi="Times New Roman"/>
          <w:sz w:val="20"/>
        </w:rPr>
        <w:t xml:space="preserve"> with respect to any transaction is subject to a materiality threshold, such transaction shall only be required to comply with the provisions of such Section to the extent of the amount of such transaction in excess of such materiality threshold.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any amount herein expressed as a percentage of Consolidated Adjusted EBITDA or Consolidated Total Assets, “Consolidated Adjusted EBITDA” and “Consolidated Total Assets”, as applicable, unless the context otherwise requires, shall be deemed to refer to Consolidated Adjusted EBITDA or Consolidated Total Asset, as applicable, of the Borrower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financial statements to be delivered pursuant to this Agreement shall be prepared in accordance with GAAP as in effect from time to time and, except as otherwise expressly provided herein, all terms of an accounting nature that are used in calculating the Total Net Leverage Ratio, the First Lien Leverage Ratio, the Secured Leverage Ratio, the Interest Coverage Ratio, Consolidated Adjusted EBITDA or Consolidated Total Assets shall be construed and interpreted in accordance with GAAP, as in effect from time to time; </w:t>
      </w:r>
      <w:r>
        <w:rPr>
          <w:rFonts w:ascii="Times New Roman" w:hAnsi="Times New Roman"/>
          <w:sz w:val="20"/>
          <w:u w:val="single"/>
        </w:rPr>
        <w:t>provided</w:t>
      </w:r>
      <w:r>
        <w:rPr>
          <w:rFonts w:ascii="Times New Roman" w:hAnsi="Times New Roman"/>
          <w:sz w:val="20"/>
        </w:rPr>
        <w:t xml:space="preserve">, that if the Borrower notifies the Administrative Agent that the Borrower requests an amendment to any provision hereof to eliminate the effect of any change occurring after the date of delivery of the financial statements described in </w:t>
      </w:r>
      <w:r>
        <w:rPr>
          <w:rFonts w:ascii="Times New Roman" w:hAnsi="Times New Roman"/>
          <w:sz w:val="20"/>
          <w:u w:val="single"/>
        </w:rPr>
        <w:t>Section 3.04(a)</w:t>
      </w:r>
      <w:r>
        <w:rPr>
          <w:rFonts w:ascii="Times New Roman" w:hAnsi="Times New Roman"/>
          <w:sz w:val="20"/>
        </w:rPr>
        <w:t xml:space="preserve"> in GAAP or in the application thereof (including the conversion to IFRS as described below)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all terms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the Borrower notifies the Administrative Agent that the Borrower (or its applicable Parent Company) is required to report under IFRS or has elected to do so through an early adoption policy, “GAAP” means international financial reporting standards pursuant to IFRS (</w:t>
      </w:r>
      <w:r>
        <w:rPr>
          <w:rFonts w:ascii="Times New Roman" w:hAnsi="Times New Roman"/>
          <w:sz w:val="20"/>
          <w:u w:val="single"/>
        </w:rPr>
        <w:t>provided</w:t>
      </w:r>
      <w:r>
        <w:rPr>
          <w:rFonts w:ascii="Times New Roman" w:hAnsi="Times New Roman"/>
          <w:sz w:val="20"/>
        </w:rPr>
        <w:t xml:space="preserve">, that after such conversion, the Borrower cannot elect to report under GAAP).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but subject to </w:t>
      </w:r>
      <w:r>
        <w:rPr>
          <w:rFonts w:ascii="Times New Roman" w:hAnsi="Times New Roman"/>
          <w:sz w:val="20"/>
          <w:u w:val="single"/>
        </w:rPr>
        <w:t>Section 1.10</w:t>
      </w:r>
      <w:r>
        <w:rPr>
          <w:rFonts w:ascii="Times New Roman" w:hAnsi="Times New Roman"/>
          <w:sz w:val="20"/>
        </w:rPr>
        <w:t xml:space="preserve"> hereof, all financial ratios and tests (including the Total Net Leverage Ratio, the First Lien Leverage Ratio, the Secured Leverage Ratio, the Interest Coverage Ratio and the amount of Consolidated Total Assets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Subsidiary or was merged, amalgamated or consolidated with or into the Borrower and/or any of its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 determination pertaining to the balance sheet, including Consolidated Total Debt and the acquisition of Cash and Cash Equivalents), as of the last day of such Test Period) (it being understood, for the avoidance of doubt, that solely for purposes of (i) the definition of “Applicable Rate”, (ii) the definition of “Commitment Fee Rate” and (iii) calculating actual compliance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the date of the required calculation shall be the last day of the Test Period, and no Subject Transaction occurring thereafter shall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paragraph (a)</w:t>
      </w:r>
      <w:r>
        <w:rPr>
          <w:rFonts w:ascii="Times New Roman" w:hAnsi="Times New Roman"/>
          <w:sz w:val="20"/>
        </w:rPr>
        <w:t xml:space="preserve"> above or in the definition of “Capital Lease,” only those leases (assuming for purposes hereof that such leases were then in existence) that would constitute Capital Leases in conformity with GAAP as in effect prior to giving effect to the adoption of ASU No. 2016-02 “Leases (Topic 842)” and ASU No. 2018-11 “Leases (Topic 842)” shall be considered Capital Leases hereunder or under any other Loan Document, and all calculations and deliverables under this Agreement or any other Loan Document shall be made or prepared, as applicable, in accordance therewith; </w:t>
      </w:r>
      <w:r>
        <w:rPr>
          <w:rFonts w:ascii="Times New Roman" w:hAnsi="Times New Roman"/>
          <w:sz w:val="20"/>
          <w:u w:val="single"/>
        </w:rPr>
        <w:t>provided</w:t>
      </w:r>
      <w:r>
        <w:rPr>
          <w:rFonts w:ascii="Times New Roman" w:hAnsi="Times New Roman"/>
          <w:sz w:val="20"/>
        </w:rPr>
        <w:t xml:space="preserve">, that all financial statements required to be provided hereunder may, at the option of the Borrower, be prepared in accordance with GAAP without giving effect to the foregoing treatment of Capital Leases.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Effectuation of Transactions</w:t>
      </w:r>
      <w:r>
        <w:rPr>
          <w:rFonts w:ascii="Times New Roman" w:hAnsi="Times New Roman"/>
          <w:sz w:val="20"/>
        </w:rPr>
        <w:t xml:space="preserve">. Each of the representations and warranties contained in this Agreement (and all corresponding definitions) is made after giving effect to the Transactions,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Timing of Payment or Performance</w:t>
      </w:r>
      <w:r>
        <w:rPr>
          <w:rFonts w:ascii="Times New Roman" w:hAnsi="Times New Roman"/>
          <w:sz w:val="20"/>
        </w:rPr>
        <w:t xml:space="preserve">. Except as otherwise set forth herein, when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Times of Day</w:t>
      </w:r>
      <w:r>
        <w:rPr>
          <w:rFonts w:ascii="Times New Roman" w:hAnsi="Times New Roman"/>
          <w:sz w:val="20"/>
        </w:rPr>
        <w:t xml:space="preserve">. Unless otherwise specified herein, all references herein to times of day shall be references to New York City time (daylight or standard,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Currency Equivalents Generally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For purposes of any determination under </w:t>
      </w:r>
      <w:r>
        <w:rPr>
          <w:rFonts w:ascii="Times New Roman" w:hAnsi="Times New Roman"/>
          <w:sz w:val="20"/>
          <w:u w:val="single"/>
        </w:rPr>
        <w:t>Article 5</w:t>
      </w:r>
      <w:r>
        <w:rPr>
          <w:rFonts w:ascii="Times New Roman" w:hAnsi="Times New Roman"/>
          <w:sz w:val="20"/>
        </w:rPr>
        <w:t xml:space="preserve">, </w:t>
      </w:r>
      <w:r>
        <w:rPr>
          <w:rFonts w:ascii="Times New Roman" w:hAnsi="Times New Roman"/>
          <w:sz w:val="20"/>
          <w:u w:val="single"/>
        </w:rPr>
        <w:t>Article 6</w:t>
      </w:r>
      <w:r>
        <w:rPr>
          <w:rFonts w:ascii="Times New Roman" w:hAnsi="Times New Roman"/>
          <w:sz w:val="20"/>
        </w:rPr>
        <w:t xml:space="preserve"> (other than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the calculation of compliance with any financial ratio for purposes of taking any action hereunder) or </w:t>
      </w:r>
      <w:r>
        <w:rPr>
          <w:rFonts w:ascii="Times New Roman" w:hAnsi="Times New Roman"/>
          <w:sz w:val="20"/>
          <w:u w:val="single"/>
        </w:rPr>
        <w:t>Article 7</w:t>
      </w:r>
      <w:r>
        <w:rPr>
          <w:rFonts w:ascii="Times New Roman" w:hAnsi="Times New Roman"/>
          <w:sz w:val="20"/>
        </w:rPr>
        <w:t xml:space="preserve"> with respect to the amount of any Indebtedness, Lien, Restricted Payment, Restricted Debt Payment, Investment, Disposition, Affiliate transaction or other transaction, event or circumstance, or any determination under any other provision of this Agreement, (any of the foregoing, a “</w:t>
      </w:r>
      <w:r>
        <w:rPr>
          <w:rFonts w:ascii="Times New Roman" w:hAnsi="Times New Roman"/>
          <w:sz w:val="20"/>
          <w:u w:val="single"/>
        </w:rPr>
        <w:t>specified transaction</w:t>
      </w:r>
      <w:r>
        <w:rPr>
          <w:rFonts w:ascii="Times New Roman" w:hAnsi="Times New Roman"/>
          <w:sz w:val="20"/>
        </w:rPr>
        <w:t xml:space="preserve">”),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Times New Roman" w:hAnsi="Times New Roman"/>
          <w:sz w:val="20"/>
          <w:u w:val="single"/>
        </w:rPr>
        <w:t>provided</w:t>
      </w:r>
      <w:r>
        <w:rPr>
          <w:rFonts w:ascii="Times New Roman" w:hAnsi="Times New Roman"/>
          <w:sz w:val="20"/>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commitments unutilized thereunder and (z) additional amounts permitted to be incurred under </w:t>
      </w:r>
      <w:r>
        <w:rPr>
          <w:rFonts w:ascii="Times New Roman" w:hAnsi="Times New Roman"/>
          <w:sz w:val="20"/>
          <w:u w:val="single"/>
        </w:rPr>
        <w:t>Section 6.01</w:t>
      </w:r>
      <w:r>
        <w:rPr>
          <w:rFonts w:ascii="Times New Roman" w:hAnsi="Times New Roman"/>
          <w:sz w:val="20"/>
        </w:rPr>
        <w:t xml:space="preserve"> 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Times New Roman" w:hAnsi="Times New Roman"/>
          <w:sz w:val="20"/>
          <w:u w:val="single"/>
        </w:rPr>
        <w:t>clause (i)</w:t>
      </w:r>
      <w:r>
        <w:rPr>
          <w:rFonts w:ascii="Times New Roman" w:hAnsi="Times New Roman"/>
          <w:sz w:val="20"/>
        </w:rPr>
        <w:t xml:space="preserve">. For purposes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calculating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w:t>
      </w:r>
      <w:r>
        <w:rPr>
          <w:rFonts w:ascii="Times New Roman" w:hAnsi="Times New Roman"/>
          <w:sz w:val="20"/>
          <w:u w:val="single"/>
        </w:rPr>
        <w:t>Sections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prior to the first such delivery, the financial statements referred to in </w:t>
      </w:r>
      <w:r>
        <w:rPr>
          <w:rFonts w:ascii="Times New Roman" w:hAnsi="Times New Roman"/>
          <w:sz w:val="20"/>
          <w:u w:val="single"/>
        </w:rPr>
        <w:t>Section 3.04</w:t>
      </w:r>
      <w:r>
        <w:rPr>
          <w:rFonts w:ascii="Times New Roman" w:hAnsi="Times New Roman"/>
          <w:sz w:val="20"/>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w:t>
      </w:r>
      <w:r>
        <w:rPr>
          <w:rFonts w:ascii="Times New Roman" w:hAnsi="Times New Roman"/>
          <w:sz w:val="20"/>
          <w:u w:val="single"/>
        </w:rPr>
        <w:t>provided</w:t>
      </w:r>
      <w:r>
        <w:rPr>
          <w:rFonts w:ascii="Times New Roman" w:hAnsi="Times New Roman"/>
          <w:sz w:val="20"/>
        </w:rPr>
        <w:t xml:space="preserve">, that the amount of any Indebtedness that is subject to a Debt FX Hedge shall be determined in accordance with the definition of “Consolidated Total Debt”. </w:t>
      </w:r>
    </w:p>
    <w:p>
      <w:pPr>
        <w:pStyle w:val="TextBody"/>
        <w:bidi w:val="0"/>
        <w:spacing w:before="240" w:after="0"/>
        <w:jc w:val="left"/>
        <w:rPr>
          <w:rFonts w:ascii="Times New Roman" w:hAnsi="Times New Roman"/>
          <w:sz w:val="20"/>
        </w:rPr>
      </w:pPr>
      <w:r>
        <w:rPr>
          <w:rFonts w:ascii="Times New Roman" w:hAnsi="Times New Roman"/>
          <w:sz w:val="20"/>
        </w:rPr>
        <w:t xml:space="preserve">(b) 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Cashless Rollovers</w:t>
      </w:r>
      <w:r>
        <w:rPr>
          <w:rFonts w:ascii="Times New Roman" w:hAnsi="Times New Roman"/>
          <w:sz w:val="20"/>
        </w:rPr>
        <w:t xml:space="preserve">. Notwithstanding anything to the contrary contained in this Agreement or in any other Loan Document, to the extent that any Lender agrees to extend the maturity date of, or replace, renew or refinance, any of its then-existing Loans with Incremental Loans, Loans in connection with any Replacement Revolving Facility, Extended Revolving Commitments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Certain Calculations and 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herein, to the extent that the terms of this Agreement require (i) compliance with any financial ratio or test (including, without limitation, </w:t>
      </w:r>
      <w:r>
        <w:rPr>
          <w:rFonts w:ascii="Times New Roman" w:hAnsi="Times New Roman"/>
          <w:sz w:val="20"/>
          <w:u w:val="single"/>
        </w:rPr>
        <w:t>Section 6.15(a)</w:t>
      </w:r>
      <w:r>
        <w:rPr>
          <w:rFonts w:ascii="Times New Roman" w:hAnsi="Times New Roman"/>
          <w:sz w:val="20"/>
        </w:rPr>
        <w:t xml:space="preserve"> and </w:t>
      </w:r>
      <w:r>
        <w:rPr>
          <w:rFonts w:ascii="Times New Roman" w:hAnsi="Times New Roman"/>
          <w:sz w:val="20"/>
          <w:u w:val="single"/>
        </w:rPr>
        <w:t>Section 6.15(b)</w:t>
      </w:r>
      <w:r>
        <w:rPr>
          <w:rFonts w:ascii="Times New Roman" w:hAnsi="Times New Roman"/>
          <w:sz w:val="20"/>
        </w:rPr>
        <w:t xml:space="preserve"> hereof, any First Lien Leverage Ratio test, any Secured Leverage Ratio test, any Total Net Leverage Ratio test and/or any Interest Coverage Ratio test) and/or any cap expressed as a percentage of Consolidated Adjusted EBITDA or (ii) the absence of a Default or Event of Default (or any type of Default or Event of Default (other than with respect to a condition that no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has occurred and is continuing, which shall be tested on the date of the consummation of such Limited Condition Transaction)) as a condition to the consummation of any transaction in connection with any Limited Condition Transaction, the determination of whether the relevant condition is satisfied may be made, at the election of the Borrower, (1) in the case of any Limited Condition Acquisition (including with respect to any Indebtedness contemplated or incurred in connection therewith), at the time of (or on the basis of the financial statements for the most recently ended Test Period at the time of), either (x) (I) the execution of the definitive agreement with respect to such Limited Condition Acquisition or (II) in connection with any Limited Condition Acquisition to which the United Kingdom City Code on Takeover and Mergers (or any comparable Requirement of Law in any other jurisdiction) applies, the date on which a “Rule 2.7 announcement” of a firm intention to make an offer in respect of the relevant target of such Limited Condition Acquisition (or equivalent notice under such comparable Requirement of Law in such other jurisdiction) or (y) the consummation of such Limited Condition Acquisition and (2) in the case of any Restricted Payment or Restricted Debt Payment (including with respect to any Indebtedness contemplated or incurred in connection therewith), at the time of (or on the basis of the financial statements for the most recently ended Test Period at the time of) (x) delivery of irrevocable (which may be conditional) notice with respect to such Restricted Payment or Restricted Debt Payment or (y) the making of such Restricted Payment or Restricted Debt Payment, in each case, after giving effect, on a Pro Forma Basis, to (I) the relevant Limited Condition Transaction and/or any related Indebtedness (including the intended use of proceeds thereof) and all other permitted pro forma adjustments on a Pro Forma Basis and (II) to the extent definitive documents in respect thereof have been executed or delivery of notice with respect to a Restricted Payment or Restricted Debt Payment (which definitive documents or notice has not terminated or expired without the consummation thereof), any additional Limited Condition Transaction and/or any related Indebtedness (including the intended use of proceeds thereof) and all other permitted pro forma adjustments that the Borrower has elected to be determined as set forth in this </w:t>
      </w:r>
      <w:r>
        <w:rPr>
          <w:rFonts w:ascii="Times New Roman" w:hAnsi="Times New Roman"/>
          <w:sz w:val="20"/>
          <w:u w:val="single"/>
        </w:rPr>
        <w:t>clause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determining the permissibility of any action, change, transaction or event that requires a calculation of any financial ratio or test (including, without limitation, </w:t>
      </w:r>
      <w:r>
        <w:rPr>
          <w:rFonts w:ascii="Times New Roman" w:hAnsi="Times New Roman"/>
          <w:sz w:val="20"/>
          <w:u w:val="single"/>
        </w:rPr>
        <w:t>Section 6.15(a)</w:t>
      </w:r>
      <w:r>
        <w:rPr>
          <w:rFonts w:ascii="Times New Roman" w:hAnsi="Times New Roman"/>
          <w:sz w:val="20"/>
        </w:rPr>
        <w:t xml:space="preserve"> and</w:t>
      </w:r>
      <w:r>
        <w:rPr>
          <w:rFonts w:ascii="Times New Roman" w:hAnsi="Times New Roman"/>
          <w:sz w:val="20"/>
          <w:u w:val="single"/>
        </w:rPr>
        <w:t xml:space="preserve"> Section 6.15(b)</w:t>
      </w:r>
      <w:r>
        <w:rPr>
          <w:rFonts w:ascii="Times New Roman" w:hAnsi="Times New Roman"/>
          <w:sz w:val="20"/>
        </w:rPr>
        <w:t xml:space="preserve"> hereof, any First Lien Leverage Ratio test, any Secured Leverage Ratio test, any Total Net Leverage Ratio test, any Interest Coverage Ratio test and/or the amount of Consolidated Adjusted EBITDA or Consolidated Total Assets), such financial ratio or test shall be calculated at the time such action is taken (subject to </w:t>
      </w:r>
      <w:r>
        <w:rPr>
          <w:rFonts w:ascii="Times New Roman" w:hAnsi="Times New Roman"/>
          <w:sz w:val="20"/>
          <w:u w:val="single"/>
        </w:rPr>
        <w:t>clause (a)</w:t>
      </w:r>
      <w:r>
        <w:rPr>
          <w:rFonts w:ascii="Times New Roman" w:hAnsi="Times New Roman"/>
          <w:sz w:val="20"/>
        </w:rPr>
        <w:t xml:space="preserve"> above), such change is made, such transaction is consummated or such event occurs, as the case may be, and no Default or Event of Default shall be deemed to have occurred solely as a result of a change in such financial ratio or test occurring after such calculation. </w:t>
      </w:r>
    </w:p>
    <w:p>
      <w:pPr>
        <w:pStyle w:val="TextBody"/>
        <w:bidi w:val="0"/>
        <w:spacing w:before="240" w:after="0"/>
        <w:jc w:val="left"/>
        <w:rPr>
          <w:rFonts w:ascii="Times New Roman" w:hAnsi="Times New Roman"/>
          <w:sz w:val="20"/>
        </w:rPr>
      </w:pPr>
      <w:r>
        <w:rPr>
          <w:rFonts w:ascii="Times New Roman" w:hAnsi="Times New Roman"/>
          <w:sz w:val="20"/>
        </w:rPr>
        <w:t>(c) Notwithstanding anything to the contrary herein, with respect to any amount incurred or transaction entered into (or consummated) in reliance on a provision of this Agreement that does not require compliance with a financial ratio or test (including, without limitation, any First Lien Leverage Ratio test, any Secured Leverage Ratio test, any Total Net Leverage Ratio test and/or any Interest Coverage Ratio test) (any such amount including any amount drawn under any revolving facility, a “</w:t>
      </w:r>
      <w:r>
        <w:rPr>
          <w:rFonts w:ascii="Times New Roman" w:hAnsi="Times New Roman"/>
          <w:sz w:val="20"/>
          <w:u w:val="single"/>
        </w:rPr>
        <w:t>Fixed Amount</w:t>
      </w:r>
      <w:r>
        <w:rPr>
          <w:rFonts w:ascii="Times New Roman" w:hAnsi="Times New Roman"/>
          <w:sz w:val="20"/>
        </w:rPr>
        <w:t xml:space="preserve">”) substantially concurrently with any amount incurred or transaction entered into (or consummated) in reliance on a provision of this Agreement that requires compliance with a financial ratio or test (including, without limitation, </w:t>
      </w:r>
      <w:r>
        <w:rPr>
          <w:rFonts w:ascii="Times New Roman" w:hAnsi="Times New Roman"/>
          <w:sz w:val="20"/>
          <w:u w:val="single"/>
        </w:rPr>
        <w:t>Section 6.15(a)</w:t>
      </w:r>
      <w:r>
        <w:rPr>
          <w:rFonts w:ascii="Times New Roman" w:hAnsi="Times New Roman"/>
          <w:sz w:val="20"/>
        </w:rPr>
        <w:t xml:space="preserve"> and </w:t>
      </w:r>
      <w:r>
        <w:rPr>
          <w:rFonts w:ascii="Times New Roman" w:hAnsi="Times New Roman"/>
          <w:sz w:val="20"/>
          <w:u w:val="single"/>
        </w:rPr>
        <w:t>Section 6.15(b)</w:t>
      </w:r>
      <w:r>
        <w:rPr>
          <w:rFonts w:ascii="Times New Roman" w:hAnsi="Times New Roman"/>
          <w:sz w:val="20"/>
        </w:rPr>
        <w:t xml:space="preserve"> hereof, any First Lien Leverage Ratio test, any Secured Leverage Ratio test, any Total Net Leverage Ratio test, and/or any Interest Coverage Ratio test) (any such amount other than, for the avoidance of doubt, any amount expressed as a percentage of Consolidated Total Assets or Consolidated Adjusted EBITDA, an “</w:t>
      </w:r>
      <w:r>
        <w:rPr>
          <w:rFonts w:ascii="Times New Roman" w:hAnsi="Times New Roman"/>
          <w:sz w:val="20"/>
          <w:u w:val="single"/>
        </w:rPr>
        <w:t>Incurrence-Based Amount</w:t>
      </w:r>
      <w:r>
        <w:rPr>
          <w:rFonts w:ascii="Times New Roman" w:hAnsi="Times New Roman"/>
          <w:sz w:val="20"/>
        </w:rPr>
        <w:t xml:space="preserve">”), it is understood and agreed that (i) any Fixed Amount shall be disregarded in the calculation of the financial ratio or test applicable to the relevant Incurrence-Based Amount and (ii) except as provided in </w:t>
      </w:r>
      <w:r>
        <w:rPr>
          <w:rFonts w:ascii="Times New Roman" w:hAnsi="Times New Roman"/>
          <w:sz w:val="20"/>
          <w:u w:val="single"/>
        </w:rPr>
        <w:t>clause (i)</w:t>
      </w:r>
      <w:r>
        <w:rPr>
          <w:rFonts w:ascii="Times New Roman" w:hAnsi="Times New Roman"/>
          <w:sz w:val="20"/>
        </w:rPr>
        <w:t xml:space="preserve">, pro forma effect shall be given to the entire transaction. The Borrower may select that any amount incurred or transaction entered into (or consummated) may be deemed to be incurred, entered into or consummated in reliance on one or more of any Incurrence-Based Amount or any Fixed Amount in its sole discretion; </w:t>
      </w:r>
      <w:r>
        <w:rPr>
          <w:rFonts w:ascii="Times New Roman" w:hAnsi="Times New Roman"/>
          <w:sz w:val="20"/>
          <w:u w:val="single"/>
        </w:rPr>
        <w:t>provided</w:t>
      </w:r>
      <w:r>
        <w:rPr>
          <w:rFonts w:ascii="Times New Roman" w:hAnsi="Times New Roman"/>
          <w:sz w:val="20"/>
        </w:rPr>
        <w:t xml:space="preserve">, that unless the Borrower elects otherwise and except as set forth in the definition of “Incremental Cap”, each such amount or transaction shall be deemed incurred, entered into or consummated first under any Incurrence-Based Amount to the maximum extent permitted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principal amount of any non-interest bearing Indebtedness or other discount security constituting Indebtedness at any date shall be the principal amount thereof that would be shown on a balance sheet of the Borrower dated such date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Whenever a financial ratio or test is to be calculated on a pro forma basis (except with respect to (i) any determination of actual compliance with </w:t>
      </w:r>
      <w:r>
        <w:rPr>
          <w:rFonts w:ascii="Times New Roman" w:hAnsi="Times New Roman"/>
          <w:sz w:val="20"/>
          <w:u w:val="single"/>
        </w:rPr>
        <w:t>Sections 6.15(a)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and (ii) the definitions of “Applicable Rate” and “Commitment Fee Rate”), the reference to the “Test Period” for purposes of calculating such financial ratio or test shall be deemed to be a reference to, and shall be based on, the most recently ended Test Period for which internal financial statements of the Borrower are available (as determined in good faith by the Borrower) and have been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(g) In connection with the implementation or assumption of any revolving commitment and/or delayed draw commitment in reliance on any Incurrence-Based Amount, the Borrower may, in its sole discretion either (i) elect, by written notice to the Administrative Agent (a “</w:t>
      </w:r>
      <w:r>
        <w:rPr>
          <w:rFonts w:ascii="Times New Roman" w:hAnsi="Times New Roman"/>
          <w:sz w:val="20"/>
          <w:u w:val="single"/>
        </w:rPr>
        <w:t>Specified Commitment Notice</w:t>
      </w:r>
      <w:r>
        <w:rPr>
          <w:rFonts w:ascii="Times New Roman" w:hAnsi="Times New Roman"/>
          <w:sz w:val="20"/>
        </w:rPr>
        <w:t>”), to treat all or any portion of such revolving and/or delayed draw commitment as having been fully drawn on the date of implementation or assumption (such commitment (or portion thereof), a “</w:t>
      </w:r>
      <w:r>
        <w:rPr>
          <w:rFonts w:ascii="Times New Roman" w:hAnsi="Times New Roman"/>
          <w:sz w:val="20"/>
          <w:u w:val="single"/>
        </w:rPr>
        <w:t>Specified Commitment</w:t>
      </w:r>
      <w:r>
        <w:rPr>
          <w:rFonts w:ascii="Times New Roman" w:hAnsi="Times New Roman"/>
          <w:sz w:val="20"/>
        </w:rPr>
        <w:t xml:space="preserve">”), in which case (x) the Borrower shall not be required to comply with any financial ratio or test in connection with any drawing thereunder after the date of incurrence or assumption and (y) other than for purposes of (A) the Applicable Rate, (B) the Commitment Fee Rate and/or (C) actual compliance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Section 6.15(b)</w:t>
      </w:r>
      <w:r>
        <w:rPr>
          <w:rFonts w:ascii="Times New Roman" w:hAnsi="Times New Roman"/>
          <w:sz w:val="20"/>
        </w:rPr>
        <w:t xml:space="preserve">, the amount of such Specified Commitment shall be deemed to have been an actual incurrence of Indebtedness thereunder on the date of implementation or assumption for purposes of calculating any Incurrence-Based Amount or (ii) elect to test the permissibility of all or any portion of any drawing under such revolving commitment and/or delayed draw commitment on the date of such drawing (if any), in which case, such revolving commitment (or portion thereof) shall only be treated as drawn for purposes of any Incurrence-Based Amount to the extent of any actual drawing thereunder (provided, that such deemed amounts shall not be included for any voting purposes under </w:t>
      </w:r>
      <w:r>
        <w:rPr>
          <w:rFonts w:ascii="Times New Roman" w:hAnsi="Times New Roman"/>
          <w:sz w:val="20"/>
          <w:u w:val="single"/>
        </w:rPr>
        <w:t>Section 9.02</w:t>
      </w:r>
      <w:r>
        <w:rPr>
          <w:rFonts w:ascii="Times New Roman" w:hAnsi="Times New Roman"/>
          <w:sz w:val="20"/>
        </w:rPr>
        <w:t xml:space="preserve"> until drawn). It is understood and agreed that the Borrower may, at any time in its sole discretion, (I) deliver a Specified Commitment Notice with respect to any revolving commitment and/or (II) withdraw any Specified Commitment Notice with respect to all or any portion of any revolving commitment and/or delayed draw commitment and instead elect to treat such revolving commitment in accordance with clause (ii) of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the Delaware Limited Liability Company Act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Rates</w:t>
      </w:r>
      <w:r>
        <w:rPr>
          <w:rFonts w:ascii="Times New Roman" w:hAnsi="Times New Roman"/>
          <w:sz w:val="20"/>
        </w:rPr>
        <w:t xml:space="preserve">. The Administrative Agent does not warrant or accept any responsibility for, and shall not have any liability with respect to, (a) the continuation of, administration of, submission of, calculation of or any other matter related to Alternate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Term SOFR Reference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DevCo Dispositions</w:t>
      </w:r>
      <w:r>
        <w:rPr>
          <w:rFonts w:ascii="Times New Roman" w:hAnsi="Times New Roman"/>
          <w:sz w:val="20"/>
        </w:rPr>
        <w:t xml:space="preserve">. It is understood and agreed for the avoidance of doubt that any DevCo Disposition shall be deemed to have been consummated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Negative Covenant Carveouts</w:t>
      </w:r>
      <w:r>
        <w:rPr>
          <w:rFonts w:ascii="Times New Roman" w:hAnsi="Times New Roman"/>
          <w:sz w:val="20"/>
        </w:rPr>
        <w:t xml:space="preserve">. It is understood and agreed for the avoidance of doubt that the carve-outs from the provisions of </w:t>
      </w:r>
      <w:r>
        <w:rPr>
          <w:rFonts w:ascii="Times New Roman" w:hAnsi="Times New Roman"/>
          <w:sz w:val="20"/>
          <w:u w:val="single"/>
        </w:rPr>
        <w:t>Article 6</w:t>
      </w:r>
      <w:r>
        <w:rPr>
          <w:rFonts w:ascii="Times New Roman" w:hAnsi="Times New Roman"/>
          <w:sz w:val="20"/>
        </w:rPr>
        <w:t xml:space="preserve"> herein may include items or activities that are not restricted by the relevant provision. </w:t>
      </w:r>
    </w:p>
    <w:p>
      <w:pPr>
        <w:pStyle w:val="TextBody"/>
        <w:bidi w:val="0"/>
        <w:spacing w:before="240" w:after="0"/>
        <w:jc w:val="left"/>
        <w:rPr>
          <w:rFonts w:ascii="Times New Roman" w:hAnsi="Times New Roman"/>
          <w:sz w:val="20"/>
        </w:rPr>
      </w:pPr>
      <w:r>
        <w:rPr>
          <w:rFonts w:ascii="Times New Roman" w:hAnsi="Times New Roman"/>
          <w:sz w:val="20"/>
          <w:u w:val="single"/>
        </w:rPr>
        <w:t>Section 1.15.</w:t>
      </w:r>
      <w:r>
        <w:rPr>
          <w:rFonts w:ascii="Times New Roman" w:hAnsi="Times New Roman"/>
          <w:sz w:val="20"/>
        </w:rPr>
        <w:t xml:space="preserve"> </w:t>
      </w:r>
      <w:r>
        <w:rPr>
          <w:rFonts w:ascii="Times New Roman" w:hAnsi="Times New Roman"/>
          <w:sz w:val="20"/>
          <w:u w:val="single"/>
        </w:rPr>
        <w:t>Certain Determinations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or in any other Loan Document, if, after delivery of any Compliance Certificate pursuant to </w:t>
      </w:r>
      <w:r>
        <w:rPr>
          <w:rFonts w:ascii="Times New Roman" w:hAnsi="Times New Roman"/>
          <w:sz w:val="20"/>
          <w:u w:val="single"/>
        </w:rPr>
        <w:t>Section 5.01(c)</w:t>
      </w:r>
      <w:r>
        <w:rPr>
          <w:rFonts w:ascii="Times New Roman" w:hAnsi="Times New Roman"/>
          <w:sz w:val="20"/>
        </w:rPr>
        <w:t xml:space="preserve">, it is subsequently determined that the First Lien Leverage Ratio set forth in such Compliance Certificate is inaccurate for any reason and the result of such inaccuracy is that the Lenders received any amount of interest or any fee for any relevant period based on an Applicable Rate or Commitment Fee Rate that is less than the amount that would have applied if the Total Net Leverage Ratio and/or the First Lien Leverage Ratio set forth in such Compliance Certificate had been accurately reported, then, for all purposes under this Agreement, in the case of the Applicable Rate and the Commitment Fee Rate, the Applicable Rate and the Commitment Fee Rate for each day during the relevant period shall be revised to be based upon the accurately determined Total Net Leverage Ratio and, in such event, any shortfall in the amount of any applicable interest or fee payment shall be due and payable within five Business Days following the date on which the Borrower becomes aware of the relevant inaccuracy. In the event that (A) any inaccuracy in the calculation of the Total Net Leverage Ratio and/or the First Lien Leverage Ratio resulted in a shortfall in the amount of any required interest, fee or principal payment and (B) such inaccuracy resulted from a good faith mistake on the part of the Borrower in the preparation of such calculation, no Default or Event of Default shall arise under this Agreement with respect thereto unless the relevant amount has not been paid within the period described in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determination of the permissibility of any transaction by Holdings, the Borrower and/or any Subsidiary under this Agreement, (i) the delivery by the Borrower of a third party valuation report from (A) a nationally recognized accounting, appraisal, investment banking or consulting firm or (B) another firm reasonably acceptable to the Administrative Agent, in each case, shall be conclusive with respect to the value of the assets covered thereby and (ii) any determination of the value of any asset (other than Cash) and any determination of whether an action is taken “in the ordinary course of business” or “in a manner consistent with past practice” (or any similar expression), in each case, shall be made by the Borrower in its good faith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Conflicts</w:t>
      </w:r>
      <w:r>
        <w:rPr>
          <w:rFonts w:ascii="Times New Roman" w:hAnsi="Times New Roman"/>
          <w:sz w:val="20"/>
        </w:rPr>
        <w:t xml:space="preserve">. Notwithstanding anything to the contrary contained herein or in any other Loan Document, in the event of any conflict or inconsistency between any term or provision of this Agreement (excluding the Exhibits hereto) and any term or provision of any Exhibit to this Agreement, the term or provision of this Agreement shall govern, and the Borrower and the Administrative Agent shall be entitled to make such revisions to the relevant term or provision of the applicable Exhibit to ensure that such term or provision is consistent with the corresponding term or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2 </w:t>
      </w:r>
    </w:p>
    <w:p>
      <w:pPr>
        <w:pStyle w:val="TextBody"/>
        <w:bidi w:val="0"/>
        <w:spacing w:before="120" w:after="0"/>
        <w:jc w:val="center"/>
        <w:rPr>
          <w:rFonts w:ascii="Times New Roman" w:hAnsi="Times New Roman"/>
          <w:sz w:val="20"/>
        </w:rPr>
      </w:pPr>
      <w:r>
        <w:rPr>
          <w:rFonts w:ascii="Times New Roman" w:hAnsi="Times New Roman"/>
          <w:sz w:val="20"/>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set forth herein, each Initial Revolving Lender severally, and not jointly, agrees to make revolving loans (“</w:t>
      </w:r>
      <w:r>
        <w:rPr>
          <w:rFonts w:ascii="Times New Roman" w:hAnsi="Times New Roman"/>
          <w:sz w:val="20"/>
          <w:u w:val="single"/>
        </w:rPr>
        <w:t>Initial Revolving Loans</w:t>
      </w:r>
      <w:r>
        <w:rPr>
          <w:rFonts w:ascii="Times New Roman" w:hAnsi="Times New Roman"/>
          <w:sz w:val="20"/>
        </w:rPr>
        <w:t xml:space="preserve">”) to the Borrower in Dollars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Times New Roman" w:hAnsi="Times New Roman"/>
          <w:sz w:val="20"/>
          <w:u w:val="single"/>
        </w:rPr>
        <w:t>provided</w:t>
      </w:r>
      <w:r>
        <w:rPr>
          <w:rFonts w:ascii="Times New Roman" w:hAnsi="Times New Roman"/>
          <w:sz w:val="20"/>
        </w:rPr>
        <w:t xml:space="preserve">, that, after giving effect to any Borrowing of Initial Revolving Loans, the Outstanding Amount of such Initial Revolving Lender’s Initial Revolving Credit Exposure shall not exceed such Initial Revolving Lender’s Initial Revolving Credit Commitment. Within the foregoing limits and subject to the terms, conditions and limitations set forth herein, the Borrower may borrow, pay or prepay and re-borrow Initial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of this Agreement and any applicable Extension Amendment, Incremental Facility Amendment or Refinancing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Extension Amendment, Incremental Facility Amendment or Refinancing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Loan (other than a Swingline Loan) shall be made as part of a Borrowing consisting of Loans of the same Class and Type made by the Lenders ratably in accordance with their respective Commitments of the applicable Class. Each Swingline Loan shall be made in accordance with the terms and procedures set forth in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2.01</w:t>
      </w:r>
      <w:r>
        <w:rPr>
          <w:rFonts w:ascii="Times New Roman" w:hAnsi="Times New Roman"/>
          <w:sz w:val="20"/>
        </w:rPr>
        <w:t xml:space="preserve"> and </w:t>
      </w:r>
      <w:r>
        <w:rPr>
          <w:rFonts w:ascii="Times New Roman" w:hAnsi="Times New Roman"/>
          <w:sz w:val="20"/>
          <w:u w:val="single"/>
        </w:rPr>
        <w:t>Section 2.14</w:t>
      </w:r>
      <w:r>
        <w:rPr>
          <w:rFonts w:ascii="Times New Roman" w:hAnsi="Times New Roman"/>
          <w:sz w:val="20"/>
        </w:rPr>
        <w:t xml:space="preserve">, each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(i) any exercise of such option shall not affect the obligation of the Borrower to repay such Loan in accordance with the terms of this Agreement, (ii) such SOFR Loan shall be deemed to have been made and held by such Lender, and the obligation of the Borrower to repay such SOFR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hAnsi="Times New Roman"/>
          <w:sz w:val="20"/>
          <w:u w:val="single"/>
        </w:rPr>
        <w:t>Section 2.15</w:t>
      </w:r>
      <w:r>
        <w:rPr>
          <w:rFonts w:ascii="Times New Roman" w:hAnsi="Times New Roman"/>
          <w:sz w:val="20"/>
        </w:rPr>
        <w:t xml:space="preserve"> shall apply);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domestic or foreign branch or Affiliate of such Lender shall be entitled to any greater indemnification under </w:t>
      </w:r>
      <w:r>
        <w:rPr>
          <w:rFonts w:ascii="Times New Roman" w:hAnsi="Times New Roman"/>
          <w:sz w:val="20"/>
          <w:u w:val="single"/>
        </w:rPr>
        <w:t>Section 2.17</w:t>
      </w:r>
      <w:r>
        <w:rPr>
          <w:rFonts w:ascii="Times New Roman" w:hAnsi="Times New Roman"/>
          <w:sz w:val="20"/>
        </w:rPr>
        <w:t xml:space="preserve"> in respect of any tax with respect to such SOFR Loan than that to which the applicable Lender would have been entitled had the Lender made such SOFR Loan (except in connection with any indemnification entitlement arising as a result of any Change in Law after the date on which such Loan was made, subject to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SOFR Borrowing, such SOFR Borrowing shall comprise an aggregate principal amount that is an integral multiple of $500,000 and not less than $1,000,000. Each ABR Borrowing when made shall be in a minimum principal amount of $500,000 and in an integral multiple of $100,000; </w:t>
      </w:r>
      <w:r>
        <w:rPr>
          <w:rFonts w:ascii="Times New Roman" w:hAnsi="Times New Roman"/>
          <w:sz w:val="20"/>
          <w:u w:val="single"/>
        </w:rPr>
        <w:t>provided</w:t>
      </w:r>
      <w:r>
        <w:rPr>
          <w:rFonts w:ascii="Times New Roman" w:hAnsi="Times New Roman"/>
          <w:sz w:val="20"/>
        </w:rPr>
        <w:t xml:space="preserve">, that an ABR Revolving Loan Borrowing may be made in a lesser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amount that is (x) equal to the entire aggregate unused Revolving Commitments or (y) required to finance the reimbursement of an LC Disbursement as contemplated by </w:t>
      </w:r>
      <w:r>
        <w:rPr>
          <w:rFonts w:ascii="Times New Roman" w:hAnsi="Times New Roman"/>
          <w:sz w:val="20"/>
          <w:u w:val="single"/>
        </w:rPr>
        <w:t>Section 2.05(e)</w:t>
      </w:r>
      <w:r>
        <w:rPr>
          <w:rFonts w:ascii="Times New Roman" w:hAnsi="Times New Roman"/>
          <w:sz w:val="20"/>
        </w:rPr>
        <w:t xml:space="preserve">.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10 different Interest Periods in effect for SOFR Borrowings at any time outstanding (or such greater number of different Interest Periods as the Administrative Agent may agree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Each Revolving Loan Borrowing, each conversion of Revolving Loans from one Type to the other, and each continuation of SOFR Loans shall be made upon irrevocable notice by the Borrower to the Administrative Agent, which may be given by a Borrowing Request or an Interest Election Request, as applicable (</w:t>
      </w:r>
      <w:r>
        <w:rPr>
          <w:rFonts w:ascii="Times New Roman" w:hAnsi="Times New Roman"/>
          <w:sz w:val="20"/>
          <w:u w:val="single"/>
        </w:rPr>
        <w:t>provided</w:t>
      </w:r>
      <w:r>
        <w:rPr>
          <w:rFonts w:ascii="Times New Roman" w:hAnsi="Times New Roman"/>
          <w:sz w:val="20"/>
        </w:rPr>
        <w:t xml:space="preserve">, that notices in respect of any Revolving Loan Borrowing to be made in connection with any acquisition, investment or irrevocable repayment or redemption of Indebtedness may be conditioned on the closing of such Permitted Acquisition, permitted Investment or permitted irrevocable repayment or redemption of Indebtedness). Each such notice must be in the form of a written Borrowing Request or Interest Election Request, as the case may be, appropriately completed and signed by a Responsible Officer of the Borrower and must be received by the Administrative Agent (by hand delivery, fax or other electronic transmission (including “.pdf” or “.tif”)) not later than (i) 1:00 p.m. (New York City time) three (3) Business Days (or one (1) Business Day with respect to the Borrowing on the Closing Date) prior to the requested day of any Borrowing of, conversion to or continuation of SOFR Loans or (ii) 1:00 p.m. (New York City time) one (1) Business Days prior to the requested Borrowing of or conversion to ABR Loans (other than Swingline Loans), or, in each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such later time as is reasonably acceptable to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Borrower wishes to request SOFR Loans having an Interest Period of other than one, three or six months in duration as provided in the definition of “Interest Period,” (A) the applicable notice from the Borrower must be received by the Administrative Agent not later than 1:00 p.m. four (4) Business Days prior to the requested date of the relevant Borrowing, conversion or continuation (or such later time as is reasonably acceptable to the Administrative Agent), whereupon the Administrative Agent shall give prompt notice to the applicable Lenders of such request and determine whether the requested Interest Period is available to them and (B) not later than 12:00 p.m. (New York City time) three (3) Business Days before the requested date of the relevant Borrowing, conversion or continuation (or such later time as is reasonably acceptable to the Administrative Agent), the Administrative Agent, if directed by the applicable Lenders, shall notify the Borrower whether or not the requested Interest Period is available to the applicable Lenders.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The Administrative Agent shall advise each Lender of the details and amount of any Loan to be made as part of the relevant requested Borrowing (x) in the case of any ABR Borrowing, no later than one Business Day following receipt of a Borrowing Request in accordance with this Section or (y) in the case of any SOFR Borrowing, no later than one Business Day following receipt of a Borrowing Request in accordance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set forth herein, the Swingline Lender agrees to make loans (“</w:t>
      </w:r>
      <w:r>
        <w:rPr>
          <w:rFonts w:ascii="Times New Roman" w:hAnsi="Times New Roman"/>
          <w:sz w:val="20"/>
          <w:u w:val="single"/>
        </w:rPr>
        <w:t>Swingline Loans</w:t>
      </w:r>
      <w:r>
        <w:rPr>
          <w:rFonts w:ascii="Times New Roman" w:hAnsi="Times New Roman"/>
          <w:sz w:val="20"/>
        </w:rPr>
        <w:t xml:space="preserve">”) to the Borrower from time to time on and after the Closing Date and until the earlier of the Initial Revolving Credit Maturity Date and the termination of the Initial Revolving Credit Commitments, in an aggregate principal amount at any time outstanding not to exceed $30,000,000; </w:t>
      </w:r>
      <w:r>
        <w:rPr>
          <w:rFonts w:ascii="Times New Roman" w:hAnsi="Times New Roman"/>
          <w:sz w:val="20"/>
          <w:u w:val="single"/>
        </w:rPr>
        <w:t>provided</w:t>
      </w:r>
      <w:r>
        <w:rPr>
          <w:rFonts w:ascii="Times New Roman" w:hAnsi="Times New Roman"/>
          <w:sz w:val="20"/>
        </w:rPr>
        <w:t xml:space="preserve">, that (x) the Swingline Lender shall not be required to make any Swingline Loan to refinance any outstanding Swingline Loan and (y) after giving effect to any Swingline Loan, the aggregate Outstanding Amount of all Revolving Loans, Swingline Loans and LC Exposure shall not exceed the Total Revolving Credit Commitment. Each Swingline Loan shall be in a minimum principal amount of not less than $100,000 or such lesser amount as may be agreed by the Swingline Lender; </w:t>
      </w:r>
      <w:r>
        <w:rPr>
          <w:rFonts w:ascii="Times New Roman" w:hAnsi="Times New Roman"/>
          <w:sz w:val="20"/>
          <w:u w:val="single"/>
        </w:rPr>
        <w:t>provided</w:t>
      </w:r>
      <w:r>
        <w:rPr>
          <w:rFonts w:ascii="Times New Roman" w:hAnsi="Times New Roman"/>
          <w:sz w:val="20"/>
        </w:rPr>
        <w:t xml:space="preserve">, that, notwithstanding the foregoing, any Swingline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in an aggregate amount that is (x) equal to the entire unused balance of the aggregate unused Revolving Commitments and shall reduce such Revolving Commitments on a dollar for dollar basis or (y) required to finance the reimbursement of an LC Disbursement as contemplated by </w:t>
      </w:r>
      <w:r>
        <w:rPr>
          <w:rFonts w:ascii="Times New Roman" w:hAnsi="Times New Roman"/>
          <w:sz w:val="20"/>
          <w:u w:val="single"/>
        </w:rPr>
        <w:t>Section 2.05(e)</w:t>
      </w:r>
      <w:r>
        <w:rPr>
          <w:rFonts w:ascii="Times New Roman" w:hAnsi="Times New Roman"/>
          <w:sz w:val="20"/>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delivery of a written Borrowing Request, appropriately completed and signed by a Responsible Officer of the Borrower, not later than 1:00 p.m. on the day of a proposed Swingline Loan. The Swingline Lender shall make each Swingline Loan available to the Borrower on the same Business Day by means of a credit to the account designated in the related Borrowing Request or otherwise in accordance with the instructions of the Borrower (including, in the case of a Swingline Loan made to finance the reimbursement of any LC Disbursement as provided in </w:t>
      </w:r>
      <w:r>
        <w:rPr>
          <w:rFonts w:ascii="Times New Roman" w:hAnsi="Times New Roman"/>
          <w:sz w:val="20"/>
          <w:u w:val="single"/>
        </w:rPr>
        <w:t>Section 2.05(e)</w:t>
      </w:r>
      <w:r>
        <w:rPr>
          <w:rFonts w:ascii="Times New Roman" w:hAnsi="Times New Roman"/>
          <w:sz w:val="20"/>
        </w:rPr>
        <w:t xml:space="preserve">, by remittance to the applicable Issuing Bank). </w:t>
      </w:r>
    </w:p>
    <w:p>
      <w:pPr>
        <w:pStyle w:val="TextBody"/>
        <w:bidi w:val="0"/>
        <w:spacing w:before="240" w:after="0"/>
        <w:jc w:val="left"/>
        <w:rPr>
          <w:rFonts w:ascii="Times New Roman" w:hAnsi="Times New Roman"/>
          <w:sz w:val="20"/>
        </w:rPr>
      </w:pPr>
      <w:r>
        <w:rPr>
          <w:rFonts w:ascii="Times New Roman" w:hAnsi="Times New Roman"/>
          <w:sz w:val="20"/>
        </w:rPr>
        <w:t xml:space="preserve">(b) The Swingline Lender may at any time in its sole and absolute discretion by written notice, on behalf of the Borrower (which hereby irrevocably authorizes the Swingline Lender to so request on its behalf), request that each Revolving Lender make an ABR Loan, on the second Business Day following receipt of such notice in all or a portion of the Swingline Loans outstanding, in an amount equal to such Revolving Lender’s Applicable Percentage of the amount of Swingline Loans then outstanding. Such notice shall be made in writing (which written request shall be deemed to be a Borrowing Request for purposes hereof) and in accordance with the requirements of </w:t>
      </w:r>
      <w:r>
        <w:rPr>
          <w:rFonts w:ascii="Times New Roman" w:hAnsi="Times New Roman"/>
          <w:sz w:val="20"/>
          <w:u w:val="single"/>
        </w:rPr>
        <w:t>Section 2.02</w:t>
      </w:r>
      <w:r>
        <w:rPr>
          <w:rFonts w:ascii="Times New Roman" w:hAnsi="Times New Roman"/>
          <w:sz w:val="20"/>
        </w:rPr>
        <w:t xml:space="preserve">, without regard to the minimum and multiples specified therein for the principal amount of ABR Loans. The Swingline Lender shall furnish the Borrower with a copy of the applicable Borrowing Request promptly after delivering such notice to the Administrative Agent. Each Revolving Lender hereby absolutely and unconditionally agrees, upon receipt of notice as provided above, to pay to the Administrative Agent, for the account of the Swingline Lender, such Revolving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Lender shall comply with its obligation under this paragraph by effecting a wire transfer of Same Day Funds, in the same manner as provided in </w:t>
      </w:r>
      <w:r>
        <w:rPr>
          <w:rFonts w:ascii="Times New Roman" w:hAnsi="Times New Roman"/>
          <w:sz w:val="20"/>
          <w:u w:val="single"/>
        </w:rPr>
        <w:t>Section 2.07</w:t>
      </w:r>
      <w:r>
        <w:rPr>
          <w:rFonts w:ascii="Times New Roman" w:hAnsi="Times New Roman"/>
          <w:sz w:val="20"/>
        </w:rPr>
        <w:t xml:space="preserve"> with respect to Revolving Loans made by such Revolving Lender (and </w:t>
      </w:r>
      <w:r>
        <w:rPr>
          <w:rFonts w:ascii="Times New Roman" w:hAnsi="Times New Roman"/>
          <w:sz w:val="20"/>
          <w:u w:val="single"/>
        </w:rPr>
        <w:t>Section 2.07</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to the payment obligations of the Revolving Lenders pursuant to this </w:t>
      </w:r>
      <w:r>
        <w:rPr>
          <w:rFonts w:ascii="Times New Roman" w:hAnsi="Times New Roman"/>
          <w:sz w:val="20"/>
          <w:u w:val="single"/>
        </w:rPr>
        <w:t>Section 2.04(b)</w:t>
      </w:r>
      <w:r>
        <w:rPr>
          <w:rFonts w:ascii="Times New Roman" w:hAnsi="Times New Roman"/>
          <w:sz w:val="20"/>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Times New Roman" w:hAnsi="Times New Roman"/>
          <w:sz w:val="20"/>
          <w:u w:val="single"/>
        </w:rPr>
        <w:t>Section 2.04(b)</w:t>
      </w:r>
      <w:r>
        <w:rPr>
          <w:rFonts w:ascii="Times New Roman" w:hAnsi="Times New Roman"/>
          <w:sz w:val="20"/>
        </w:rPr>
        <w:t xml:space="preserve">, and thereafter payments in respect of such Swingline Loan shall be made to the Administrative Agent and not to the Swingline Lender. Any amounts received by the Swingline Lender from the Borrower in respect of any Swingline Loan after receipt by the Swingline Lender of the proceeds of any sale of participations therein shall be promptly remitted by the Swingline Lender to the Administrative Agent, and any such amounts received by the Administrative Agent shall be promptly remitted by the Administrative Agent to the Revolving Lenders that have made their payments pursuant to this </w:t>
      </w:r>
      <w:r>
        <w:rPr>
          <w:rFonts w:ascii="Times New Roman" w:hAnsi="Times New Roman"/>
          <w:sz w:val="20"/>
          <w:u w:val="single"/>
        </w:rPr>
        <w:t>Section 2.04(b)</w:t>
      </w:r>
      <w:r>
        <w:rPr>
          <w:rFonts w:ascii="Times New Roman" w:hAnsi="Times New Roman"/>
          <w:sz w:val="20"/>
        </w:rPr>
        <w:t xml:space="preserve"> and to the Swingline Lender, as their interests may appear; </w:t>
      </w:r>
      <w:r>
        <w:rPr>
          <w:rFonts w:ascii="Times New Roman" w:hAnsi="Times New Roman"/>
          <w:sz w:val="20"/>
          <w:u w:val="single"/>
        </w:rPr>
        <w:t>provided</w:t>
      </w:r>
      <w:r>
        <w:rPr>
          <w:rFonts w:ascii="Times New Roman" w:hAnsi="Times New Roman"/>
          <w:sz w:val="20"/>
        </w:rPr>
        <w:t xml:space="preserve">,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w:t>
      </w:r>
      <w:r>
        <w:rPr>
          <w:rFonts w:ascii="Times New Roman" w:hAnsi="Times New Roman"/>
          <w:sz w:val="20"/>
          <w:u w:val="single"/>
        </w:rPr>
        <w:t>Section 2.04(b)</w:t>
      </w:r>
      <w:r>
        <w:rPr>
          <w:rFonts w:ascii="Times New Roman" w:hAnsi="Times New Roman"/>
          <w:sz w:val="20"/>
        </w:rPr>
        <w:t xml:space="preserve"> shall not relieve the Borrower of any default in the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(c) If any Revolving Lender fails to make available to the Administrative Agent for the account of the Swingline Lender any amount required to be paid by such Revolving Lender pursuant to the foregoing provisions of this </w:t>
      </w:r>
      <w:r>
        <w:rPr>
          <w:rFonts w:ascii="Times New Roman" w:hAnsi="Times New Roman"/>
          <w:sz w:val="20"/>
          <w:u w:val="single"/>
        </w:rPr>
        <w:t>Section 2.04</w:t>
      </w:r>
      <w:r>
        <w:rPr>
          <w:rFonts w:ascii="Times New Roman" w:hAnsi="Times New Roman"/>
          <w:sz w:val="20"/>
        </w:rPr>
        <w:t xml:space="preserve"> by the time specified in </w:t>
      </w:r>
      <w:r>
        <w:rPr>
          <w:rFonts w:ascii="Times New Roman" w:hAnsi="Times New Roman"/>
          <w:sz w:val="20"/>
          <w:u w:val="single"/>
        </w:rPr>
        <w:t>Section 2.04(b)</w:t>
      </w:r>
      <w:r>
        <w:rPr>
          <w:rFonts w:ascii="Times New Roman" w:hAnsi="Times New Roman"/>
          <w:sz w:val="20"/>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amounts owing under this </w:t>
      </w:r>
      <w:r>
        <w:rPr>
          <w:rFonts w:ascii="Times New Roman" w:hAnsi="Times New Roman"/>
          <w:sz w:val="20"/>
          <w:u w:val="single"/>
        </w:rPr>
        <w:t>clause (c)</w:t>
      </w:r>
      <w:r>
        <w:rPr>
          <w:rFonts w:ascii="Times New Roman" w:hAnsi="Times New Roman"/>
          <w:sz w:val="20"/>
        </w:rPr>
        <w:t xml:space="preserv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contained herein, each Swingline Lender may, upon ten days’ prior written notice to the Borrower and the Lenders, resign as Swingline Lender, which resignation shall be effective as of the date referenced in such notice (but in no event less than ten days after the delivery of such written notice). In the event of any such resignation, the Borrower shall be entitled to appoint any Revolving Lender that is willing to accept such appointment as successor Swingline Lender hereunder. Upon the acceptance of any such appointment, the successor Swingline Lender shall thereupon succeed to and become vested with all the rights, powers, privileges and duties of the retiring Swingline Lender, and the retiring Swingline Lender, as applicable, shall be discharged from its duties and obligations in such capacity hereunder. In the event that the successor Swingline Lender resigns, the Borrower shall promptly repay all outstanding Swingline Loans on the effective date of such resignation (which repayment may be effectuated with the proceeds of a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terms and conditions set forth herein, (i) each Issuing Bank agrees, in each case in reliance upon the agreements of the other Revolving Lenders set forth in this </w:t>
      </w:r>
      <w:r>
        <w:rPr>
          <w:rFonts w:ascii="Times New Roman" w:hAnsi="Times New Roman"/>
          <w:sz w:val="20"/>
          <w:u w:val="single"/>
        </w:rPr>
        <w:t>Section 2.05</w:t>
      </w:r>
      <w:r>
        <w:rPr>
          <w:rFonts w:ascii="Times New Roman" w:hAnsi="Times New Roman"/>
          <w:sz w:val="20"/>
        </w:rPr>
        <w:t>, (A) from time to time on any Business Day during the period from the Closing Date to the fifth Business Day prior to the earlier of the Initial Revolving Credit Maturity Date and the termination of the Initial Revolving Credit Commitments, upon the request of the Borrower, to issue Letters of Credit issued on sight basis only for the account of the Borrower and/or any Subsidiary (</w:t>
      </w:r>
      <w:r>
        <w:rPr>
          <w:rFonts w:ascii="Times New Roman" w:hAnsi="Times New Roman"/>
          <w:sz w:val="20"/>
          <w:u w:val="single"/>
        </w:rPr>
        <w:t>provided</w:t>
      </w:r>
      <w:r>
        <w:rPr>
          <w:rFonts w:ascii="Times New Roman" w:hAnsi="Times New Roman"/>
          <w:sz w:val="20"/>
        </w:rPr>
        <w:t xml:space="preserve">, that (x) the Borrower will be the applicant and (y) to the extent that any such Subsidiary is not a Loan Party, such Letter of Credit shall be deemed to be an Investment in such Subsidiary and shall only be issued so long as such Investment is permitted hereunder) and to amend or renew Letters of Credit previously issued by it, in accordance with </w:t>
      </w:r>
      <w:r>
        <w:rPr>
          <w:rFonts w:ascii="Times New Roman" w:hAnsi="Times New Roman"/>
          <w:sz w:val="20"/>
          <w:u w:val="single"/>
        </w:rPr>
        <w:t>Section 2.05(b)</w:t>
      </w:r>
      <w:r>
        <w:rPr>
          <w:rFonts w:ascii="Times New Roman" w:hAnsi="Times New Roman"/>
          <w:sz w:val="20"/>
        </w:rPr>
        <w:t xml:space="preserve">, and (B) to honor drafts under the Letters of Credit, and (ii) the Revolving Lenders severally agree to participate in the Letters of Credit issued pursuant to </w:t>
      </w:r>
      <w:r>
        <w:rPr>
          <w:rFonts w:ascii="Times New Roman" w:hAnsi="Times New Roman"/>
          <w:sz w:val="20"/>
          <w:u w:val="single"/>
        </w:rPr>
        <w:t>Section 2.05(d)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Issuing Bank shall be required to issue Letters of Credit if the Stated Amount of such Letter of Credit taken together with the aggregate Stated Amount of all other then outstanding Letters of Credit then issued by such Issuing Bank would exceed such Issuing Bank’s Letter of Credit Commitment.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Issuance, Amendment, Renewal, Extension; Certain Conditions</w:t>
      </w:r>
      <w:r>
        <w:rPr>
          <w:rFonts w:ascii="Times New Roman" w:hAnsi="Times New Roman"/>
          <w:sz w:val="20"/>
        </w:rPr>
        <w:t xml:space="preserve">.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Letter of Credit Request (it being understood that, to the extent applicable, the issuance of any Letter of Credit expressly for the benefit of any Subsidiary of the Borrower shall be contingent upon the Administrative Agent’s receipt of any documentation and other information required by regulatory authorities under applicable “know your customer” and anti-money laundering rules and regulations, including the USA Patriot Act). It is understood and agreed that the Existing Letters of Credit shall be deemed to constitute Letters of Credit hereunder, and no Letter of Credit Request shall be required to be delivered on or prior to the Closing Date in respect of any Existing Letter of Credit. To request an amendment, extension or renewal of an outstanding Letter of Credit, (other than any automatic extension of a Letter of Credit permitted under </w:t>
      </w:r>
      <w:r>
        <w:rPr>
          <w:rFonts w:ascii="Times New Roman" w:hAnsi="Times New Roman"/>
          <w:sz w:val="20"/>
          <w:u w:val="single"/>
        </w:rPr>
        <w:t>Section 2.05(c)</w:t>
      </w:r>
      <w:r>
        <w:rPr>
          <w:rFonts w:ascii="Times New Roman" w:hAnsi="Times New Roman"/>
          <w:sz w:val="20"/>
        </w:rPr>
        <w:t xml:space="preserve">), the Borrower shall submit a Letter of Credit Request to the applicable Issuing Bank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control. No Letter of Credit, letter of credit application or other document entered into by the Borrower with any Issuing Bank relating to any Letter of Credit shall contain any representation or warranty, covenant or event of default not set forth in this Agreement (and to the extent any such representation or warranty, covenant or event of default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such representation or warranty, covenant or event of default is inconsistent herewith, the same shall be deemed to automatically incorporate the applicable standards, qualifications, thresholds and exceptions set forth herein without action by any Person). No Letter of Credit may be issued, amended, extended or renewed unless (and, with respect to </w:t>
      </w:r>
      <w:r>
        <w:rPr>
          <w:rFonts w:ascii="Times New Roman" w:hAnsi="Times New Roman"/>
          <w:sz w:val="20"/>
          <w:u w:val="single"/>
        </w:rPr>
        <w:t>clauses (i)(A)</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below, on the issuance, amendment, extension or renewal of each Letter of Credit the Borrower shall be deemed to represent and warrant that), after giving effect to such issuance, amendment, extension, or renewal (i) the LC Exposure does not exceed the Letter of Credit Sublimit and (ii) (A) the aggregate amount of the Revolving Credit Exposure shall not exceed the Revolving Commitment then in effect, and (B) if such Letter of Credit has a term that extends beyond the Maturity Date applicable to the Revolving Commitments of any Class, the aggregate amount of the LC Exposure attributable to Letters of Credit expiring after such Maturity Date does not exceed the aggregate amount of the Revolving Commitments then in effect that are scheduled to remain in effect after such Maturity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Expiration Date</w:t>
      </w:r>
      <w:r>
        <w:rPr>
          <w:rFonts w:ascii="Times New Roman" w:hAnsi="Times New Roman"/>
          <w:sz w:val="20"/>
        </w:rPr>
        <w:t xml:space="preserve">. No Letter of Credit shall expire later than the earlier of (A) the date that is one year after the date of the issuance of such Letter of Credit and (B) the date that is five Business Days prior to the Initial Revolving Credit Maturity Date; </w:t>
      </w:r>
      <w:r>
        <w:rPr>
          <w:rFonts w:ascii="Times New Roman" w:hAnsi="Times New Roman"/>
          <w:sz w:val="20"/>
          <w:u w:val="single"/>
        </w:rPr>
        <w:t>provided</w:t>
      </w:r>
      <w:r>
        <w:rPr>
          <w:rFonts w:ascii="Times New Roman" w:hAnsi="Times New Roman"/>
          <w:sz w:val="20"/>
        </w:rPr>
        <w:t xml:space="preserve">, that, any Letter of Credit may provide for the automatic extension thereof for any number of additional periods of up to one year in duration (which additional periods shall not extend beyond the date referred to in the preceding </w:t>
      </w:r>
      <w:r>
        <w:rPr>
          <w:rFonts w:ascii="Times New Roman" w:hAnsi="Times New Roman"/>
          <w:sz w:val="20"/>
          <w:u w:val="single"/>
        </w:rPr>
        <w:t>clause (B)</w:t>
      </w:r>
      <w:r>
        <w:rPr>
          <w:rFonts w:ascii="Times New Roman" w:hAnsi="Times New Roman"/>
          <w:sz w:val="20"/>
        </w:rPr>
        <w:t xml:space="preserve"> unless 101% of the then-available face amount thereof is Cash collateralized or backstopped on or before the date that such Letter of Credit is extended beyond the date referred to in </w:t>
      </w:r>
      <w:r>
        <w:rPr>
          <w:rFonts w:ascii="Times New Roman" w:hAnsi="Times New Roman"/>
          <w:sz w:val="20"/>
          <w:u w:val="single"/>
        </w:rPr>
        <w:t>clause (B)</w:t>
      </w:r>
      <w:r>
        <w:rPr>
          <w:rFonts w:ascii="Times New Roman" w:hAnsi="Times New Roman"/>
          <w:sz w:val="20"/>
        </w:rPr>
        <w:t xml:space="preserve"> above pursuant to arrangements reasonably satisfactory to the relevant Issuing Bank);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Letter of Credit must permit the applicable Issuing Bank to prevent any such automatic extension at least once in each twelve-month period by giving prior notice to the beneficiary thereof not later than a day in each such twelve-month period to be agreed at the time such Letter of Credit is issued.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By the issuance of any Letter of Credit (or an amendment to any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hAnsi="Times New Roman"/>
          <w:sz w:val="20"/>
          <w:u w:val="single"/>
        </w:rPr>
        <w:t>paragraph (e)</w:t>
      </w:r>
      <w:r>
        <w:rPr>
          <w:rFonts w:ascii="Times New Roman" w:hAnsi="Times New Roman"/>
          <w:sz w:val="20"/>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Commitments, and that each such payment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the applicable Issuing Bank makes any LC Disbursement in respect of a Letter of Credit, the Borrower shall reimburse such LC Disbursement by paying to the Administrative Agent an amount equal to such LC Disbursement not later than 2:00 p.m. two Business Days immediately following the date on which the Borrower receives notice of such LC Disbursement; </w:t>
      </w:r>
      <w:r>
        <w:rPr>
          <w:rFonts w:ascii="Times New Roman" w:hAnsi="Times New Roman"/>
          <w:sz w:val="20"/>
          <w:u w:val="single"/>
        </w:rPr>
        <w:t>provided</w:t>
      </w:r>
      <w:r>
        <w:rPr>
          <w:rFonts w:ascii="Times New Roman" w:hAnsi="Times New Roman"/>
          <w:sz w:val="20"/>
        </w:rPr>
        <w:t xml:space="preserve">, that the Borrower may, without satisfying the conditions to borrowing set forth herein, request in accordance with </w:t>
      </w:r>
      <w:r>
        <w:rPr>
          <w:rFonts w:ascii="Times New Roman" w:hAnsi="Times New Roman"/>
          <w:sz w:val="20"/>
          <w:u w:val="single"/>
        </w:rPr>
        <w:t>Section 2.03</w:t>
      </w:r>
      <w:r>
        <w:rPr>
          <w:rFonts w:ascii="Times New Roman" w:hAnsi="Times New Roman"/>
          <w:sz w:val="20"/>
        </w:rPr>
        <w:t xml:space="preserv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be financed with an ABR Revolving Loan Borrowing (any such Revolving Loan Borrowing, a “</w:t>
      </w:r>
      <w:r>
        <w:rPr>
          <w:rFonts w:ascii="Times New Roman" w:hAnsi="Times New Roman"/>
          <w:sz w:val="20"/>
          <w:u w:val="single"/>
        </w:rPr>
        <w:t>Letter of Credit Reimbursement Loan</w:t>
      </w:r>
      <w:r>
        <w:rPr>
          <w:rFonts w:ascii="Times New Roman" w:hAnsi="Times New Roman"/>
          <w:sz w:val="20"/>
        </w:rPr>
        <w:t xml:space="preserve">”) in an equivalent amount and, to the extent so financed, the obligation of the Borrower to make such payment shall be discharged and replaced by the resulting ABR Revolving Loan Borrowing.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Revolving Credit Percentage of the payment then due from the Borrower, in the same manner as provided in </w:t>
      </w:r>
      <w:r>
        <w:rPr>
          <w:rFonts w:ascii="Times New Roman" w:hAnsi="Times New Roman"/>
          <w:sz w:val="20"/>
          <w:u w:val="single"/>
        </w:rPr>
        <w:t>Section 2.07</w:t>
      </w:r>
      <w:r>
        <w:rPr>
          <w:rFonts w:ascii="Times New Roman" w:hAnsi="Times New Roman"/>
          <w:sz w:val="20"/>
        </w:rPr>
        <w:t xml:space="preserve"> with respect to Loans made by such Revolving Lender (and </w:t>
      </w:r>
      <w:r>
        <w:rPr>
          <w:rFonts w:ascii="Times New Roman" w:hAnsi="Times New Roman"/>
          <w:sz w:val="20"/>
          <w:u w:val="single"/>
        </w:rPr>
        <w:t>Section 2.07</w:t>
      </w:r>
      <w:r>
        <w:rPr>
          <w:rFonts w:ascii="Times New Roman" w:hAnsi="Times New Roman"/>
          <w:sz w:val="20"/>
        </w:rPr>
        <w:t xml:space="preserve"> shall apply, </w:t>
      </w:r>
      <w:r>
        <w:rPr>
          <w:rFonts w:ascii="Times New Roman" w:hAnsi="Times New Roman"/>
          <w:i/>
          <w:sz w:val="20"/>
        </w:rPr>
        <w:t>mutatis mutandis</w:t>
      </w:r>
      <w:r>
        <w:rPr>
          <w:rFonts w:ascii="Times New Roman" w:hAnsi="Times New Roman"/>
          <w:sz w:val="20"/>
        </w:rPr>
        <w:t xml:space="preserve">,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w:t>
      </w:r>
    </w:p>
    <w:p>
      <w:pPr>
        <w:pStyle w:val="TextBody"/>
        <w:bidi w:val="0"/>
        <w:spacing w:before="240" w:after="0"/>
        <w:jc w:val="left"/>
        <w:rPr>
          <w:rFonts w:ascii="Times New Roman" w:hAnsi="Times New Roman"/>
          <w:sz w:val="20"/>
        </w:rPr>
      </w:pPr>
      <w:r>
        <w:rPr>
          <w:rFonts w:ascii="Times New Roman" w:hAnsi="Times New Roman"/>
          <w:sz w:val="20"/>
        </w:rPr>
        <w:t xml:space="preserve">(ii) If any Revolving Lender fails to make available to the Administrative Agent for the account of the applicable Issuing Bank any amount required to be paid by such Revolving Lender pursuant to the foregoing provisions of this </w:t>
      </w:r>
      <w:r>
        <w:rPr>
          <w:rFonts w:ascii="Times New Roman" w:hAnsi="Times New Roman"/>
          <w:sz w:val="20"/>
          <w:u w:val="single"/>
        </w:rPr>
        <w:t>Section 2.05(e)</w:t>
      </w:r>
      <w:r>
        <w:rPr>
          <w:rFonts w:ascii="Times New Roman" w:hAnsi="Times New Roman"/>
          <w:sz w:val="20"/>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 owing under this </w:t>
      </w:r>
      <w:r>
        <w:rPr>
          <w:rFonts w:ascii="Times New Roman" w:hAnsi="Times New Roman"/>
          <w:sz w:val="20"/>
          <w:u w:val="single"/>
        </w:rPr>
        <w:t>clause (ii)</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Obligations Absolute</w:t>
      </w:r>
      <w:r>
        <w:rPr>
          <w:rFonts w:ascii="Times New Roman" w:hAnsi="Times New Roman"/>
          <w:sz w:val="20"/>
        </w:rPr>
        <w:t xml:space="preserve">. The obligation of the Borrower to reimburse LC Disbursements as provided in </w:t>
      </w:r>
      <w:r>
        <w:rPr>
          <w:rFonts w:ascii="Times New Roman" w:hAnsi="Times New Roman"/>
          <w:sz w:val="20"/>
          <w:u w:val="single"/>
        </w:rPr>
        <w:t>paragraph (e)</w:t>
      </w:r>
      <w:r>
        <w:rPr>
          <w:rFonts w:ascii="Times New Roman" w:hAnsi="Times New Roman"/>
          <w:sz w:val="20"/>
        </w:rPr>
        <w:t xml:space="preserve"> 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hAnsi="Times New Roman"/>
          <w:sz w:val="20"/>
          <w:u w:val="single"/>
        </w:rPr>
        <w:t>provided</w:t>
      </w:r>
      <w:r>
        <w:rPr>
          <w:rFonts w:ascii="Times New Roman" w:hAnsi="Times New Roman"/>
          <w:sz w:val="20"/>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any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Disbursement Procedures</w:t>
      </w:r>
      <w:r>
        <w:rPr>
          <w:rFonts w:ascii="Times New Roman" w:hAnsi="Times New Roman"/>
          <w:sz w:val="20"/>
        </w:rPr>
        <w:t xml:space="preserve">. The applicable Issuing Bank shall, promptly following its receipt thereof, examine all documents purporting to represent a demand for payment under a Letter of Credit. Such Issuing Bank shall promptly notify the Administrative Agent and the Borrower by electronic means upon any LC Disbursement thereunder; </w:t>
      </w:r>
      <w:r>
        <w:rPr>
          <w:rFonts w:ascii="Times New Roman" w:hAnsi="Times New Roman"/>
          <w:sz w:val="20"/>
          <w:u w:val="single"/>
        </w:rPr>
        <w:t>provided</w:t>
      </w:r>
      <w:r>
        <w:rPr>
          <w:rFonts w:ascii="Times New Roman" w:hAnsi="Times New Roman"/>
          <w:sz w:val="20"/>
        </w:rPr>
        <w:t xml:space="preserve">, that no failure to give or delay in giving such notice shall relieve the Borrower of its obligation to reimburse such Issuing Bank and the Revolving Lenders with respect to any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Interim Interest</w:t>
      </w:r>
      <w:r>
        <w:rPr>
          <w:rFonts w:ascii="Times New Roman" w:hAnsi="Times New Roman"/>
          <w:sz w:val="20"/>
        </w:rPr>
        <w:t xml:space="preserve">. If any Issuing Bank makes any LC Disbursement,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Revolving Loans that are ABR Loans (or, to the extent of the participation in such LC Disbursement by any Revolving Lender of another Class, the rate per annum then applicable to the Revolving Loans of such other Class); </w:t>
      </w:r>
      <w:r>
        <w:rPr>
          <w:rFonts w:ascii="Times New Roman" w:hAnsi="Times New Roman"/>
          <w:sz w:val="20"/>
          <w:u w:val="single"/>
        </w:rPr>
        <w:t>provided</w:t>
      </w:r>
      <w:r>
        <w:rPr>
          <w:rFonts w:ascii="Times New Roman" w:hAnsi="Times New Roman"/>
          <w:sz w:val="20"/>
        </w:rPr>
        <w:t xml:space="preserve">, that if the Borrower fails to reimburse such LC Disbursement when due pursuant to </w:t>
      </w:r>
      <w:r>
        <w:rPr>
          <w:rFonts w:ascii="Times New Roman" w:hAnsi="Times New Roman"/>
          <w:sz w:val="20"/>
          <w:u w:val="single"/>
        </w:rPr>
        <w:t>paragraph (e)</w:t>
      </w:r>
      <w:r>
        <w:rPr>
          <w:rFonts w:ascii="Times New Roman" w:hAnsi="Times New Roman"/>
          <w:sz w:val="20"/>
        </w:rPr>
        <w:t xml:space="preserve"> of this Section, then </w:t>
      </w:r>
      <w:r>
        <w:rPr>
          <w:rFonts w:ascii="Times New Roman" w:hAnsi="Times New Roman"/>
          <w:sz w:val="20"/>
          <w:u w:val="single"/>
        </w:rPr>
        <w:t>Section 2.13(d)</w:t>
      </w:r>
      <w:r>
        <w:rPr>
          <w:rFonts w:ascii="Times New Roman" w:hAnsi="Times New Roman"/>
          <w:sz w:val="20"/>
        </w:rPr>
        <w:t xml:space="preserve"> shall apply. Interest accrued pursuant to this paragraph shall be for the account of the applicable Issuing Bank, except that interest accrued on and after the date of payment by any Revolving Lender pursuant to </w:t>
      </w:r>
      <w:r>
        <w:rPr>
          <w:rFonts w:ascii="Times New Roman" w:hAnsi="Times New Roman"/>
          <w:sz w:val="20"/>
          <w:u w:val="single"/>
        </w:rPr>
        <w:t>paragraph (e)</w:t>
      </w:r>
      <w:r>
        <w:rPr>
          <w:rFonts w:ascii="Times New Roman" w:hAnsi="Times New Roman"/>
          <w:sz w:val="20"/>
        </w:rPr>
        <w:t xml:space="preserve"> of this Section to reimburse such Issuing Bank shall be for the account of such Revolving Lender to the extent of such payment and shall be payable on the date on which the Borrower is required to reimburse the applicable LC Disbursement in full (and, thereafter, on demand).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Replacement or Resignation of an Issuing Bank. Designation of New Issuing Banks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Issuing Bank may be replaced with the consent of the Administrative Agent (not to be unreasonably withheld or delayed) and the Borrower at any time by written agreement among the Borrower, the Administrative Agent and the successor Issuing Bank. The Administrative Agent shall notify the Revolving Lenders of any such replacement of an Issuing Bank. At the time any such replacement becomes effective, unless otherwise agreed by the replaced Issuing Bank, the Borrower shall pay all unpaid fees accrued prior to such date for the account of the replaced Issuing Bank pursuant to </w:t>
      </w:r>
      <w:r>
        <w:rPr>
          <w:rFonts w:ascii="Times New Roman" w:hAnsi="Times New Roman"/>
          <w:sz w:val="20"/>
          <w:u w:val="single"/>
        </w:rPr>
        <w:t>Section 2.12(b)(ii)</w:t>
      </w:r>
      <w:r>
        <w:rPr>
          <w:rFonts w:ascii="Times New Roman" w:hAnsi="Times New Roman"/>
          <w:sz w:val="20"/>
        </w:rPr>
        <w:t xml:space="preserve">.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paragraph (ii) who agrees in writing to such designation shall be deemed to be an “Issuing Bank” (in addition to being a Revolving Lender) in respect of Letters of Credit issued or to be issued by such Revolving Lender in respect of its Letter of Credit Commitment (the amount of which Letter of Credit Commitment shall be specified in the agreement pursuant to which such Revolving Lender becomes an Issuing Bank), and, with respect to such Letters of Credit, such term shall thereafter apply to the other Issuing Banks and such Revolving Lender; </w:t>
      </w:r>
      <w:r>
        <w:rPr>
          <w:rFonts w:ascii="Times New Roman" w:hAnsi="Times New Roman"/>
          <w:sz w:val="20"/>
          <w:u w:val="single"/>
        </w:rPr>
        <w:t>provided</w:t>
      </w:r>
      <w:r>
        <w:rPr>
          <w:rFonts w:ascii="Times New Roman" w:hAnsi="Times New Roman"/>
          <w:sz w:val="20"/>
        </w:rPr>
        <w:t xml:space="preserve">, that for the avoidance of doubt, it is understood and agreed that the Letter of Credit Commitment of the other Issuing Banks shall not be reduced or otherwise be affected by the appointment of any additional Revolving Lender as an Issuing Bank pursuant to this </w:t>
      </w:r>
      <w:r>
        <w:rPr>
          <w:rFonts w:ascii="Times New Roman" w:hAnsi="Times New Roman"/>
          <w:sz w:val="20"/>
          <w:u w:val="single"/>
        </w:rPr>
        <w:t>paragraph (ii)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anything to the contrary contained herein, each Issuing Bank may, upon thirty days’ prior written notice to the Borrower, each other Issuing Bank and the Lenders, resign as Issuing Bank, which resignation shall be effective as of the date referenced in such notice (but in no event less than thirty days (or such later date as the relevant Issuing Bank may agree) after the delivery of such written notice); </w:t>
      </w:r>
      <w:r>
        <w:rPr>
          <w:rFonts w:ascii="Times New Roman" w:hAnsi="Times New Roman"/>
          <w:sz w:val="20"/>
          <w:u w:val="single"/>
        </w:rPr>
        <w:t>provided</w:t>
      </w:r>
      <w:r>
        <w:rPr>
          <w:rFonts w:ascii="Times New Roman" w:hAnsi="Times New Roman"/>
          <w:sz w:val="20"/>
        </w:rPr>
        <w:t xml:space="preserve">, that the effectiveness of such resignation shall be conditioned on and subject to the appointment of a replacement Issuing Bank reasonably satisfactory to the Borrower who agrees to assume the entire Letter of Credit Commitment of the resigning Issuing Bank, and no such resignation shall become effective unless and until such replacement Issuing Bank shall have accepted such appointment and agreed to provide such Letter of Credit Commitment on terms acceptable to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it is understood and agreed that in the event of any such resignation, any Letter of Credit then outstanding shall remain outstanding (irrespective of whether any amount have been drawn at such time). In the event of any such resignation of any Issuing Bank, the Borrower shall be entitled, but shall not be obligated, to appoint another Revolving Lender that is willing, in its sole discretion to accept such appointment in writing as successor Issuing Bank in respect of such resigning Issuing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any Event of Default exists and the Loans have been declared due and payable in accordance with </w:t>
      </w:r>
      <w:r>
        <w:rPr>
          <w:rFonts w:ascii="Times New Roman" w:hAnsi="Times New Roman"/>
          <w:sz w:val="20"/>
          <w:u w:val="single"/>
        </w:rPr>
        <w:t>Article 7</w:t>
      </w:r>
      <w:r>
        <w:rPr>
          <w:rFonts w:ascii="Times New Roman" w:hAnsi="Times New Roman"/>
          <w:sz w:val="20"/>
        </w:rPr>
        <w:t xml:space="preserve"> hereof, then on the Business Day on which the Borrower receives notice from the Administrative Agent at the direction of the Required Revolving Lenders demanding the deposit of Cash collateral pursuant to this </w:t>
      </w:r>
      <w:r>
        <w:rPr>
          <w:rFonts w:ascii="Times New Roman" w:hAnsi="Times New Roman"/>
          <w:sz w:val="20"/>
          <w:u w:val="single"/>
        </w:rPr>
        <w:t>clause (i)</w:t>
      </w:r>
      <w:r>
        <w:rPr>
          <w:rFonts w:ascii="Times New Roman" w:hAnsi="Times New Roman"/>
          <w:sz w:val="20"/>
        </w:rPr>
        <w:t>, the Borrower shall deposit, in an interest-bearing account with the Administrative Agent, in the name of the Administrative Agent and for the benefit of the Revolving Lenders (the “</w:t>
      </w:r>
      <w:r>
        <w:rPr>
          <w:rFonts w:ascii="Times New Roman" w:hAnsi="Times New Roman"/>
          <w:sz w:val="20"/>
          <w:u w:val="single"/>
        </w:rPr>
        <w:t>LC Collateral Account</w:t>
      </w:r>
      <w:r>
        <w:rPr>
          <w:rFonts w:ascii="Times New Roman" w:hAnsi="Times New Roman"/>
          <w:sz w:val="20"/>
        </w:rPr>
        <w:t>”), an amount in Cash equal to 101% of the LC Exposure as of such date (</w:t>
      </w:r>
      <w:r>
        <w:rPr>
          <w:rFonts w:ascii="Times New Roman" w:hAnsi="Times New Roman"/>
          <w:sz w:val="20"/>
          <w:u w:val="single"/>
        </w:rPr>
        <w:t>minus</w:t>
      </w:r>
      <w:r>
        <w:rPr>
          <w:rFonts w:ascii="Times New Roman" w:hAnsi="Times New Roman"/>
          <w:sz w:val="20"/>
        </w:rPr>
        <w:t xml:space="preserve"> the amount then on deposit in the LC Collateral Account);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hAnsi="Times New Roman"/>
          <w:sz w:val="20"/>
          <w:u w:val="single"/>
        </w:rPr>
        <w:t>Section 7.01(f)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such deposit under </w:t>
      </w:r>
      <w:r>
        <w:rPr>
          <w:rFonts w:ascii="Times New Roman" w:hAnsi="Times New Roman"/>
          <w:sz w:val="20"/>
          <w:u w:val="single"/>
        </w:rPr>
        <w:t>clause (i)</w:t>
      </w:r>
      <w:r>
        <w:rPr>
          <w:rFonts w:ascii="Times New Roman" w:hAnsi="Times New Roman"/>
          <w:sz w:val="20"/>
        </w:rPr>
        <w:t xml:space="preserve"> above shall be held by the Administrative Agent as collateral for the payment and performance of the Secured Obligations in accordance with the provisions of this </w:t>
      </w:r>
      <w:r>
        <w:rPr>
          <w:rFonts w:ascii="Times New Roman" w:hAnsi="Times New Roman"/>
          <w:sz w:val="20"/>
          <w:u w:val="single"/>
        </w:rPr>
        <w:t>paragraph (j)</w:t>
      </w:r>
      <w:r>
        <w:rPr>
          <w:rFonts w:ascii="Times New Roman" w:hAnsi="Times New Roman"/>
          <w:sz w:val="20"/>
        </w:rPr>
        <w:t xml:space="preserve">.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shall make each Loan in Dollars to be made by it hereunder not later than (i) 12:00 p.m., in the case of SOFR Loans, and (ii) 12:00 p.m., in the case of ABR Loans, in each case, on the Business Day specified in the applicable Borrowing Request by wire transfer of Same Day Funds to the account of the Administrative Agent most recently designated by it for such purpose by notice to the Lenders in an amount equal to such Lender’s respective Applicable Percentage; </w:t>
      </w:r>
      <w:r>
        <w:rPr>
          <w:rFonts w:ascii="Times New Roman" w:hAnsi="Times New Roman"/>
          <w:sz w:val="20"/>
          <w:u w:val="single"/>
        </w:rPr>
        <w:t>provided</w:t>
      </w:r>
      <w:r>
        <w:rPr>
          <w:rFonts w:ascii="Times New Roman" w:hAnsi="Times New Roman"/>
          <w:sz w:val="20"/>
        </w:rPr>
        <w:t xml:space="preserve">, that Swingline Loans shall be made as provided in </w:t>
      </w:r>
      <w:r>
        <w:rPr>
          <w:rFonts w:ascii="Times New Roman" w:hAnsi="Times New Roman"/>
          <w:sz w:val="20"/>
          <w:u w:val="single"/>
        </w:rPr>
        <w:t>Section 2.04</w:t>
      </w:r>
      <w:r>
        <w:rPr>
          <w:rFonts w:ascii="Times New Roman" w:hAnsi="Times New Roman"/>
          <w:sz w:val="20"/>
        </w:rPr>
        <w:t xml:space="preserve">. The Administrative Agent will make such Loans available to the Borrower by promptly crediting the amounts so received on the same Business Day, in like funds, to the account designated in the relevant Borrowing Request or as otherwise directed by the Borrower; </w:t>
      </w:r>
      <w:r>
        <w:rPr>
          <w:rFonts w:ascii="Times New Roman" w:hAnsi="Times New Roman"/>
          <w:sz w:val="20"/>
          <w:u w:val="single"/>
        </w:rPr>
        <w:t>provided</w:t>
      </w:r>
      <w:r>
        <w:rPr>
          <w:rFonts w:ascii="Times New Roman" w:hAnsi="Times New Roman"/>
          <w:sz w:val="20"/>
        </w:rPr>
        <w:t xml:space="preserve">, that ABR Revolving Loans made to finance the reimbursement of any LC Disbursement as provided in </w:t>
      </w:r>
      <w:r>
        <w:rPr>
          <w:rFonts w:ascii="Times New Roman" w:hAnsi="Times New Roman"/>
          <w:sz w:val="20"/>
          <w:u w:val="single"/>
        </w:rPr>
        <w:t>Section 2.05(e)</w:t>
      </w:r>
      <w:r>
        <w:rPr>
          <w:rFonts w:ascii="Times New Roman" w:hAnsi="Times New Roman"/>
          <w:sz w:val="20"/>
        </w:rPr>
        <w:t xml:space="preserve"> shall be remitted by the Administrative Agent to the applicable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the Administrative Agent has received notice from any Lender that such Lender will not make available to the Administrative Agent such Lender’s share of any Borrowing prior to the proposed date of such Borrowing, the Administrative Agent may assume that such Lender has made such share available on such date in accordance with </w:t>
      </w:r>
      <w:r>
        <w:rPr>
          <w:rFonts w:ascii="Times New Roman" w:hAnsi="Times New Roman"/>
          <w:sz w:val="20"/>
          <w:u w:val="single"/>
        </w:rPr>
        <w:t>paragraph (a)</w:t>
      </w:r>
      <w:r>
        <w:rPr>
          <w:rFonts w:ascii="Times New Roman" w:hAnsi="Times New Roman"/>
          <w:sz w:val="20"/>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Times New Roman" w:hAnsi="Times New Roman"/>
          <w:sz w:val="20"/>
          <w:u w:val="single"/>
        </w:rPr>
        <w:t>Section 2.07(b)</w:t>
      </w:r>
      <w:r>
        <w:rPr>
          <w:rFonts w:ascii="Times New Roman" w:hAnsi="Times New Roman"/>
          <w:sz w:val="20"/>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Type; Interest Elections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Borrowing shall initially be of the Type specified in the applicable Borrowing Request and, in the case of any SOFR Borrowing, shall have an initial Interest Period as specified in such Borrowing Request. Thereafter, the Borrower may elect to convert any Borrowing to a Borrowing of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converted or continued.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w:t>
      </w:r>
      <w:r>
        <w:rPr>
          <w:rFonts w:ascii="Times New Roman" w:hAnsi="Times New Roman"/>
          <w:sz w:val="20"/>
          <w:u w:val="single"/>
        </w:rPr>
        <w:t>Section 2.08</w:t>
      </w:r>
      <w:r>
        <w:rPr>
          <w:rFonts w:ascii="Times New Roman" w:hAnsi="Times New Roman"/>
          <w:sz w:val="20"/>
        </w:rPr>
        <w:t xml:space="preserve">, the Borrower shall deliver an Interest Election Request, in accordance with </w:t>
      </w:r>
      <w:r>
        <w:rPr>
          <w:rFonts w:ascii="Times New Roman" w:hAnsi="Times New Roman"/>
          <w:sz w:val="20"/>
          <w:u w:val="single"/>
        </w:rPr>
        <w:t>Section 2.03</w:t>
      </w:r>
      <w:r>
        <w:rPr>
          <w:rFonts w:ascii="Times New Roman" w:hAnsi="Times New Roman"/>
          <w:sz w:val="20"/>
        </w:rPr>
        <w:t xml:space="preserve">, appropriately completed and signed by a Responsible Officer of the Borrower of the applicable election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If any such Interest Election Request requests a SOFR Borrowing but does not specify an Interest Period, then the Borrower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applicable Lender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the Borrower fails to deliver a timely Interest Election Request with respect to a SOFR Borrowing prior to the end of the Interest Period applicable thereto, then, unless such Borrowing is repaid as provided herein, such Borrowing shall be converted at the end of such Interest Period to an ABR Borrowing. Notwithstanding anything to the contrary herein, if an Event of Default exists and the Administrative Agent, at the request of the Required Lenders, so notifies the Borrower, then, so long as such Event of Default exists (i) no outstanding Borrowing may be converted to or continued as a SOFR Borrowing and (ii) unless repaid, each SOFR Borrowing shall be converted to an ABR Borrowing at the end of the then-current Interest Period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Termination and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previously terminated, (i) the Initial Revolving Credit Commitments shall automatically terminate on the Initial Revolving Credit Maturity Date, (ii) the Additional Commitments of any Class of Incremental Term Loans shall automatically terminate upon the making of the Incremental Term Loans of such Class and, if any such Additional Commitment is not drawn on the date that such Additional Commitment is required to be drawn pursuant to the applicable Incremental Facility Amendment, the undrawn amount thereof shall automatically terminate on such date (or, in the case of any delayed draw commitments, the termination date of such commitments pursuant to the terms of the applicable Incremental Facility Amendment) and (iii) the Additional Revolving Credit Commitments of any Class shall automatically terminate on the Maturity Date specified therefor in the applicable Refinancing Amendment, Extension Amendment or Incremental Facility Amendment,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Upon delivery of the notice required by </w:t>
      </w:r>
      <w:r>
        <w:rPr>
          <w:rFonts w:ascii="Times New Roman" w:hAnsi="Times New Roman"/>
          <w:sz w:val="20"/>
          <w:u w:val="single"/>
        </w:rPr>
        <w:t>Section 2.09(c)</w:t>
      </w:r>
      <w:r>
        <w:rPr>
          <w:rFonts w:ascii="Times New Roman" w:hAnsi="Times New Roman"/>
          <w:sz w:val="20"/>
        </w:rPr>
        <w:t xml:space="preserve">, the Borrower may at any time terminate or from time to time reduce, the Revolving Commitments of any Class; </w:t>
      </w:r>
      <w:r>
        <w:rPr>
          <w:rFonts w:ascii="Times New Roman" w:hAnsi="Times New Roman"/>
          <w:sz w:val="20"/>
          <w:u w:val="single"/>
        </w:rPr>
        <w:t>provided</w:t>
      </w:r>
      <w:r>
        <w:rPr>
          <w:rFonts w:ascii="Times New Roman" w:hAnsi="Times New Roman"/>
          <w:sz w:val="20"/>
        </w:rPr>
        <w:t xml:space="preserve">, that (i) each reduction of the Revolving Commitments shall be in an amount that is an integral multiple of $1,000,000 and not less than $1,000,000 and (ii) the Borrower shall not terminate or reduce the Revolving Commitments of any Class if, after giving effect to any concurrent prepayment of Revolving Loans and Swingline Loans, the aggregate amount of the Revolving Credit Exposure attributable to the Revolving Commitments of such Class would exceed the aggregate amount of the Revolving Commitments of such Class. If, after giving effect to any reduction of the Revolving Commitments, the Letter of Credit Sublimit exceeds the amount of the Revolving Facility, the Letter of Credit Sublimit shall be automatically reduced by the amount of such excess.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notify the Administrative Agent of any election to terminate or reduce any Revolving Commitment under </w:t>
      </w:r>
      <w:r>
        <w:rPr>
          <w:rFonts w:ascii="Times New Roman" w:hAnsi="Times New Roman"/>
          <w:sz w:val="20"/>
          <w:u w:val="single"/>
        </w:rPr>
        <w:t>paragraph (b)</w:t>
      </w:r>
      <w:r>
        <w:rPr>
          <w:rFonts w:ascii="Times New Roman" w:hAnsi="Times New Roman"/>
          <w:sz w:val="20"/>
        </w:rPr>
        <w:t xml:space="preserve"> of this Section in writing at least three Business Days prior to the effective date of such termination or reduction (or such later date to which the Administrative Agent may agree), specifying such election and the effective date thereof. Promptly following receipt of any such notice, the Administrative Agent shall advise the Revolving Lenders of each applicable Class of the contents thereof. Each notice delivered by the Borrower pursuant to this Section shall be irrevocable; </w:t>
      </w:r>
      <w:r>
        <w:rPr>
          <w:rFonts w:ascii="Times New Roman" w:hAnsi="Times New Roman"/>
          <w:sz w:val="20"/>
          <w:u w:val="single"/>
        </w:rPr>
        <w:t>provided</w:t>
      </w:r>
      <w:r>
        <w:rPr>
          <w:rFonts w:ascii="Times New Roman" w:hAnsi="Times New Roman"/>
          <w:sz w:val="20"/>
        </w:rPr>
        <w:t xml:space="preserve">, that any such notice may state that it is conditioned upon the effectiveness of other transactions, in which case such notice may be revoked by the Borrower (by written notice to the Administrative Agent on or prior to the specified effective date) if such condition is not satisfied. Any termination or reduction of any Revolving Commitment pursuant to this </w:t>
      </w:r>
      <w:r>
        <w:rPr>
          <w:rFonts w:ascii="Times New Roman" w:hAnsi="Times New Roman"/>
          <w:sz w:val="20"/>
          <w:u w:val="single"/>
        </w:rPr>
        <w:t>Section 2.09</w:t>
      </w:r>
      <w:r>
        <w:rPr>
          <w:rFonts w:ascii="Times New Roman" w:hAnsi="Times New Roman"/>
          <w:sz w:val="20"/>
        </w:rPr>
        <w:t xml:space="preserve"> shall be permanent. Upon any reduction of any Revolving Commitment, the Revolving Commitment of each Revolving Lender of the relevant Class shall be reduced by such Revolving Lender’s Applicable Percentage of the amount of such reduction.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Repayment of Loans;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hereby unconditionally promises to pay in Dollars (I) to the Administrative Agent for the account of each applicable Initial Revolving Lender, the then-unpaid principal amount of the applicable Initial Revolving Loans of such Lender on the Initial Revolving Credit Maturity Date, (II) to the Administrative Agent for the account of each applicable Additional Revolving Lender, the then-unpaid principal amount of each applicable Additional Revolving Loan of such Additional Lender on the Maturity Date applicable thereto and (III) to the Swingline Lender, the then unpaid principal amount of each Swingline Loan on the Initial Revolving Credit Maturity Date. </w:t>
      </w:r>
    </w:p>
    <w:p>
      <w:pPr>
        <w:pStyle w:val="TextBody"/>
        <w:bidi w:val="0"/>
        <w:spacing w:before="120" w:after="0"/>
        <w:jc w:val="left"/>
        <w:rPr>
          <w:rFonts w:ascii="Times New Roman" w:hAnsi="Times New Roman"/>
          <w:sz w:val="20"/>
        </w:rPr>
      </w:pPr>
      <w:r>
        <w:rPr>
          <w:rFonts w:ascii="Times New Roman" w:hAnsi="Times New Roman"/>
          <w:sz w:val="20"/>
        </w:rPr>
        <w:t>(ii) On the Maturity Date applicable to the Revolving Commitments of any Class, the Borrower shall (A) cancel and return outstanding applicable Letters of Credit (or alternatively, with respect to each outstanding Letter of Credit, furnish to the Administrative Agent a Cash deposit (or if reasonably satisfactory to the relevant Issuing Bank, a “backstop” letter of credit or the deemed issuance of such Letter of Credit under a new credit facility) equal to 101% of the amount of the LC Exposure (</w:t>
      </w:r>
      <w:r>
        <w:rPr>
          <w:rFonts w:ascii="Times New Roman" w:hAnsi="Times New Roman"/>
          <w:sz w:val="20"/>
          <w:u w:val="single"/>
        </w:rPr>
        <w:t>minus</w:t>
      </w:r>
      <w:r>
        <w:rPr>
          <w:rFonts w:ascii="Times New Roman" w:hAnsi="Times New Roman"/>
          <w:sz w:val="20"/>
        </w:rPr>
        <w:t xml:space="preserve"> any amount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deposit in any Cash collateral account established for the benefit of the relevant Issuing Bank) as of such date, in each case to the extent necessary so that, after giving effect thereto, the aggregate amount of the Revolving Credit Exposure attributable to the Revolving Commitments shall not exceed the Revolving Commitments then in effect and (B) prepay Swingline Loans to the extent necessary so that, after giving effect thereto, the aggregate amount of the Revolving Credit Exposure attributable to the Revolving Commitments shall not exceed the Revolving Commitments then in effect and (C) make payment in full in Cash of all accrued and unpaid fees and all applicable reimbursable expenses and other Obligations with respect to the Revolving Facility then due, together with accrued and unpaid interest (if any) thereon. </w:t>
      </w:r>
    </w:p>
    <w:p>
      <w:pPr>
        <w:pStyle w:val="TextBody"/>
        <w:bidi w:val="0"/>
        <w:spacing w:before="24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accounts of the Lenders or the Issuing Banks and each Lender’s or Issuing Bank’s share thereof. </w:t>
      </w:r>
    </w:p>
    <w:p>
      <w:pPr>
        <w:pStyle w:val="TextBody"/>
        <w:bidi w:val="0"/>
        <w:spacing w:before="240" w:after="0"/>
        <w:jc w:val="left"/>
        <w:rPr>
          <w:rFonts w:ascii="Times New Roman" w:hAnsi="Times New Roman"/>
          <w:sz w:val="20"/>
        </w:rPr>
      </w:pPr>
      <w:r>
        <w:rPr>
          <w:rFonts w:ascii="Times New Roman" w:hAnsi="Times New Roman"/>
          <w:sz w:val="20"/>
        </w:rPr>
        <w:t xml:space="preserve">(e) The entries made in the accounts maintained pursuant to </w:t>
      </w:r>
      <w:r>
        <w:rPr>
          <w:rFonts w:ascii="Times New Roman" w:hAnsi="Times New Roman"/>
          <w:sz w:val="20"/>
          <w:u w:val="single"/>
        </w:rPr>
        <w:t>paragraphs (c)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of this Section shall be prima facie evidence of the existence and amounts of the obligations recorded therein (absent manifest error);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manifest error therein shall not in any manner affect the obligation of the Borrower to repay the Loans and other amounts in accordance with the terms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any inconsistency between the accounts maintained by the Administrative Agent pursuant to </w:t>
      </w:r>
      <w:r>
        <w:rPr>
          <w:rFonts w:ascii="Times New Roman" w:hAnsi="Times New Roman"/>
          <w:sz w:val="20"/>
          <w:u w:val="single"/>
        </w:rPr>
        <w:t>paragraph (d)</w:t>
      </w:r>
      <w:r>
        <w:rPr>
          <w:rFonts w:ascii="Times New Roman" w:hAnsi="Times New Roman"/>
          <w:sz w:val="20"/>
        </w:rPr>
        <w:t xml:space="preserve"> of this Section and any Lender’s records, the accounts of the Administrative Agent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(f) Any Lender may request that any Loan made by it be evidenced by a Promissory Note. In such event, the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in accordance with </w:t>
      </w:r>
      <w:r>
        <w:rPr>
          <w:rFonts w:ascii="Times New Roman" w:hAnsi="Times New Roman"/>
          <w:sz w:val="20"/>
          <w:u w:val="single"/>
        </w:rPr>
        <w:t>Section 9.05(b)(iii)</w:t>
      </w:r>
      <w:r>
        <w:rPr>
          <w:rFonts w:ascii="Times New Roman" w:hAnsi="Times New Roman"/>
          <w:sz w:val="20"/>
        </w:rPr>
        <w:t xml:space="preserve"> and upon the occurrence of the Termination Date (or as promptly thereafter as practicable). If any Lender loses the original copy of its Promissory Note, it shall execute an affidavit of loss containing an indemnification provision reasonably satisfactory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prior notice in accordance with </w:t>
      </w:r>
      <w:r>
        <w:rPr>
          <w:rFonts w:ascii="Times New Roman" w:hAnsi="Times New Roman"/>
          <w:sz w:val="20"/>
          <w:u w:val="single"/>
        </w:rPr>
        <w:t>paragraph (a)(iii)</w:t>
      </w:r>
      <w:r>
        <w:rPr>
          <w:rFonts w:ascii="Times New Roman" w:hAnsi="Times New Roman"/>
          <w:sz w:val="20"/>
        </w:rPr>
        <w:t xml:space="preserve"> of this </w:t>
      </w:r>
      <w:r>
        <w:rPr>
          <w:rFonts w:ascii="Times New Roman" w:hAnsi="Times New Roman"/>
          <w:sz w:val="20"/>
          <w:u w:val="single"/>
        </w:rPr>
        <w:t>Section 2.11</w:t>
      </w:r>
      <w:r>
        <w:rPr>
          <w:rFonts w:ascii="Times New Roman" w:hAnsi="Times New Roman"/>
          <w:sz w:val="20"/>
        </w:rPr>
        <w:t xml:space="preserve">, the Borrower shall have the right at any time and from time to time to prepay any Borrowing of Revolving Loans of any Class or any Borrowing of Swingline Loans, in whole or in part without premium or penalty (but subject, if applicable, to </w:t>
      </w:r>
      <w:r>
        <w:rPr>
          <w:rFonts w:ascii="Times New Roman" w:hAnsi="Times New Roman"/>
          <w:sz w:val="20"/>
          <w:u w:val="single"/>
        </w:rPr>
        <w:t>Section 2.16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after the establishment of any Class of Additional Revolving Loans, any such prepayment of any Borrowing of Revolving Loans of any Class shall be subject to the provisions set forth in </w:t>
      </w:r>
      <w:r>
        <w:rPr>
          <w:rFonts w:ascii="Times New Roman" w:hAnsi="Times New Roman"/>
          <w:sz w:val="20"/>
          <w:u w:val="single"/>
        </w:rPr>
        <w:t>Section 2.</w:t>
      </w:r>
      <w:r>
        <w:rPr>
          <w:rFonts w:ascii="Times New Roman" w:hAnsi="Times New Roman"/>
          <w:sz w:val="20"/>
        </w:rPr>
        <w:t xml:space="preserve">22, </w:t>
      </w:r>
      <w:r>
        <w:rPr>
          <w:rFonts w:ascii="Times New Roman" w:hAnsi="Times New Roman"/>
          <w:sz w:val="20"/>
          <w:u w:val="single"/>
        </w:rPr>
        <w:t>2.23</w:t>
      </w:r>
      <w:r>
        <w:rPr>
          <w:rFonts w:ascii="Times New Roman" w:hAnsi="Times New Roman"/>
          <w:sz w:val="20"/>
        </w:rPr>
        <w:t xml:space="preserve"> and/or </w:t>
      </w:r>
      <w:r>
        <w:rPr>
          <w:rFonts w:ascii="Times New Roman" w:hAnsi="Times New Roman"/>
          <w:sz w:val="20"/>
          <w:u w:val="single"/>
        </w:rPr>
        <w:t>9.02</w:t>
      </w:r>
      <w:r>
        <w:rPr>
          <w:rFonts w:ascii="Times New Roman" w:hAnsi="Times New Roman"/>
          <w:sz w:val="20"/>
        </w:rPr>
        <w:t xml:space="preserve">, as applicable, and (B) no Borrowing of Revolving Loans may be prepaid unless all Swingline Loans then outstanding, if any, are prepaid concurrently therewith. Each such prepayment shall be paid to the Revolving Lenders in accordance with their respective Applicable Percentages of the relevant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shall notify the Administrative Agent (and the Swingline Lender, as applicable) in writing of any prepayment under this </w:t>
      </w:r>
      <w:r>
        <w:rPr>
          <w:rFonts w:ascii="Times New Roman" w:hAnsi="Times New Roman"/>
          <w:sz w:val="20"/>
          <w:u w:val="single"/>
        </w:rPr>
        <w:t>Section 2.11(a)</w:t>
      </w:r>
      <w:r>
        <w:rPr>
          <w:rFonts w:ascii="Times New Roman" w:hAnsi="Times New Roman"/>
          <w:sz w:val="20"/>
        </w:rPr>
        <w:t xml:space="preserve"> (1) in the case of any prepayment of any SOFR Borrowing, not later than 1:00 p.m. three Business Days before the date of prepayment (or such shorter notice as the Administrative Agent may reasonably agree), (2) in the case of any prepayment of an ABR Borrowing, not later than 11:00 a.m. one Business Day before the date of prepayment or (3) in the case of any prepayment of a Swingline Loan, not later than 1:00 p.m. on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or each relevant Class to be prepaid; </w:t>
      </w:r>
      <w:r>
        <w:rPr>
          <w:rFonts w:ascii="Times New Roman" w:hAnsi="Times New Roman"/>
          <w:sz w:val="20"/>
          <w:u w:val="single"/>
        </w:rPr>
        <w:t>provided</w:t>
      </w:r>
      <w:r>
        <w:rPr>
          <w:rFonts w:ascii="Times New Roman" w:hAnsi="Times New Roman"/>
          <w:sz w:val="20"/>
        </w:rPr>
        <w:t xml:space="preserve">, that any notice of prepayment delivered by the Borrower may be conditioned upon the effectiveness of other transactions, in which case such notice may be revoked by the Borrower (by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Times New Roman" w:hAnsi="Times New Roman"/>
          <w:sz w:val="20"/>
          <w:u w:val="single"/>
        </w:rPr>
        <w:t>Section 2.02(c)</w:t>
      </w:r>
      <w:r>
        <w:rPr>
          <w:rFonts w:ascii="Times New Roman" w:hAnsi="Times New Roman"/>
          <w:sz w:val="20"/>
        </w:rPr>
        <w:t xml:space="preserve">, or such lesser amount that is then outstanding with respect to such Borrowing being repaid (and in increments of $100,000 in excess thereof or such lesser incremental amount that is then outstanding with respect to such Borrowing being repaid).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the Revolving Credit Exposure of any Class exceeds the amount of the Revolving Commitments of such Class then in effect, the Borrower shall, within one Business Day of receipt of notice from the Administrative Agent, prepay the Revolving Loans or Swingline Loans and/or reduce LC Exposure in an aggregate amount sufficient to reduce such Revolving Credit Exposure as of the date of such payment to an amount not to exceed the Revolving Commitments of such Class then in effect by taking any of the following actions as the Borrower shall determine at its sole discretion: (x) prepaying Revolving Loans or Swingline Loans or (y) with respect to any excess LC Exposure, depositing Cash in a Cash collateral account established for the benefit of the relevant Issuing Bank or “backstopping” or replacing the relevant Letters of Credit, in each case, in an amount equal to 101% of such excess LC Exposure (minus any amount then on deposit in any Cash collateral account established for the benefit of the relevant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 Each prepayment of any Borrowing under this </w:t>
      </w:r>
      <w:r>
        <w:rPr>
          <w:rFonts w:ascii="Times New Roman" w:hAnsi="Times New Roman"/>
          <w:sz w:val="20"/>
          <w:u w:val="single"/>
        </w:rPr>
        <w:t>Section 2.11(b)</w:t>
      </w:r>
      <w:r>
        <w:rPr>
          <w:rFonts w:ascii="Times New Roman" w:hAnsi="Times New Roman"/>
          <w:sz w:val="20"/>
        </w:rPr>
        <w:t xml:space="preserve"> shall be paid to the Lenders in accordance with their respective Applicable Percentages of the applicable Class. </w:t>
      </w:r>
    </w:p>
    <w:p>
      <w:pPr>
        <w:pStyle w:val="TextBody"/>
        <w:bidi w:val="0"/>
        <w:spacing w:before="120" w:after="0"/>
        <w:jc w:val="left"/>
        <w:rPr>
          <w:rFonts w:ascii="Times New Roman" w:hAnsi="Times New Roman"/>
          <w:sz w:val="20"/>
        </w:rPr>
      </w:pPr>
      <w:r>
        <w:rPr>
          <w:rFonts w:ascii="Times New Roman" w:hAnsi="Times New Roman"/>
          <w:sz w:val="20"/>
        </w:rPr>
        <w:t xml:space="preserve">(iii) Prepayments made under this </w:t>
      </w:r>
      <w:r>
        <w:rPr>
          <w:rFonts w:ascii="Times New Roman" w:hAnsi="Times New Roman"/>
          <w:sz w:val="20"/>
          <w:u w:val="single"/>
        </w:rPr>
        <w:t>Section 2.11(b)</w:t>
      </w:r>
      <w:r>
        <w:rPr>
          <w:rFonts w:ascii="Times New Roman" w:hAnsi="Times New Roman"/>
          <w:sz w:val="20"/>
        </w:rPr>
        <w:t xml:space="preserve"> shall be (A) accompanied by accrued interest as required by </w:t>
      </w:r>
      <w:r>
        <w:rPr>
          <w:rFonts w:ascii="Times New Roman" w:hAnsi="Times New Roman"/>
          <w:sz w:val="20"/>
          <w:u w:val="single"/>
        </w:rPr>
        <w:t>Section 2.13</w:t>
      </w:r>
      <w:r>
        <w:rPr>
          <w:rFonts w:ascii="Times New Roman" w:hAnsi="Times New Roman"/>
          <w:sz w:val="20"/>
        </w:rPr>
        <w:t xml:space="preserve"> and (B) subject to </w:t>
      </w:r>
      <w:r>
        <w:rPr>
          <w:rFonts w:ascii="Times New Roman" w:hAnsi="Times New Roman"/>
          <w:sz w:val="20"/>
          <w:u w:val="single"/>
        </w:rPr>
        <w:t>Section 2.16</w:t>
      </w:r>
      <w:r>
        <w:rPr>
          <w:rFonts w:ascii="Times New Roman" w:hAnsi="Times New Roman"/>
          <w:sz w:val="20"/>
        </w:rPr>
        <w:t xml:space="preserve"> but shall otherwise be without premium or penalty.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agrees to pay to the Administrative Agent for the account of each Revolving Lender of any Class (other than any Defaulting Lender) a commitment fee, which shall accrue at a rate equal to the Commitment Fee Rate per annum applicable to the Revolving Commitments of such Class on the average daily amount of the unused Revolving Commitment of such Class of such Revolving Lender during the period from and including the Closing Date to the date on which such Revolving Lender’s Revolving Commitment terminates. Accrued commitment fees shall be payable in arrears on the first Business Day of each January, April, July and October for the quarterly period then ended (or, in the case of the payment made on April 1, 2026, for the period from the Closing Date to such date), and on the date on which the Revolving Commitments of the applicable Class terminate. For purposes of calculating the commitment fee only, the Revolving Commitment of any Class of any Revolving Lender shall be deemed to be used to the extent of Revolving Loans of such class of such Revolving Lender and the LC Exposure of such Revolving Lender attributable to its Revolving Commitment of such Class, and no portion of the Revolving Commitment shall be deemed used as a result of outstanding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agrees to pay (i) to the Administrative Agent for the account of each Revolving Lender of any applicable Class a participation fee with respect to its participations in Letters of Credit, which shall accrue at the Applicable Rate used to determine the interest rate applicable to Revolving Loans of such Class that are SOFR Loans on the daily Stated Amount of such Revolving Lender’s LC Exposure attributable to its Revolving Commitment (excluding any portion thereof that is attributable to unreimbursed LC Disbursements), during the period from and including the Closing Date to the earlier of (A) the later of the date on which such Revolving Lender’s Revolving Commitment of such Class terminates and the date on which such Revolving Lender ceases to have any LC Exposure attributable to its Revolving Commitment of such Class and (B) the Termination Date, and (ii) to each Issuing Bank, for its own account, a fronting fee, in respect of each Letter of Credit issued (but, for the avoidance of doubt, not subject to Letter of Credit Support) by such Issuing Bank for the period from the date of issuance of such Letter of Credit to the earliest of (A) the expiration date of such Letter of Credit, (B) the date on which such Letter of Credit terminates and (C) the Termination Date), computed at a rate equal to 0.125% per annum or the rate agreed by such Issuing Bank and the Borrower of the daily Stated Amount of such Letter of Credit, as well as such Issuing Bank’s standard fees with respect to the issuance, amendment, renewal or extension of any Letter of Credit or processing of drawings thereunder. Participation fees and fronting fees shall accrue to but excluding the first Business Day of each January, April, July and October and be payable in arrears for the quarterly period then ended (or, in the case of the payment made on April 1, 2026, for the period from the Closing Date to such date) on the first Business Day of each January, April, July and October;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of the applicable Class terminate, and any such fees accruing after the date on which the Revolving Commitments of the applicable Class terminate shall be payable on demand. Any other fees payable to any Issuing Bank pursuant to this paragraph shall be payable within 30 days after receipt of a written demand (accompanied by reasonable back-up documentation) therefor.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shall pay to the Administrative Agent or applicable Lender such fees as shall have been separately agreed upon in writing (including the Fee Letters) in the amounts and at the times so specified. Such fees shall be fully earned when paid and shall not be refundable for any reason whatsoever (except as expressly agreed between the Borrower and the Administrative Agent or applicable Lender). </w:t>
      </w:r>
    </w:p>
    <w:p>
      <w:pPr>
        <w:pStyle w:val="TextBody"/>
        <w:bidi w:val="0"/>
        <w:spacing w:before="240" w:after="0"/>
        <w:jc w:val="left"/>
        <w:rPr>
          <w:rFonts w:ascii="Times New Roman" w:hAnsi="Times New Roman"/>
          <w:sz w:val="20"/>
        </w:rPr>
      </w:pPr>
      <w:r>
        <w:rPr>
          <w:rFonts w:ascii="Times New Roman" w:hAnsi="Times New Roman"/>
          <w:sz w:val="20"/>
        </w:rPr>
        <w:t xml:space="preserve">(e) All fees payable hereunder shall be paid on the dates due, in Dollars and in immediately available funds, to the Administrative Agent (or to the applicable Issuing Bank, in the case of fees payable to any Issuing Bank). Fees paid shall not be refundable under any circumstances, except as otherwise provided in the Fee Letters. Fees payable hereunder shall accrue through and including the last day of the month immediately preceding the applicable fee payment date.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indicated herein, all computations of fees shall be made on the basis of a 360-day year and shall be payable for the actual days elapsed (including the first day but excluding the last day). The determination by the Administrative Agent of the amount of any fee hereunder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Revolving Loans and Swingline Loans comprising each ABR Borrowing shall bear interest at the Alternate Base Rate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(b) The Revolving Loans comprising each SOFR Borrowing shall bear interest at Term SOFR for the Interest Period in effect for such Borrowing </w:t>
      </w:r>
      <w:r>
        <w:rPr>
          <w:rFonts w:ascii="Times New Roman" w:hAnsi="Times New Roman"/>
          <w:sz w:val="20"/>
          <w:u w:val="single"/>
        </w:rPr>
        <w:t>plus</w:t>
      </w:r>
      <w:r>
        <w:rPr>
          <w:rFonts w:ascii="Times New Roman" w:hAnsi="Times New Roman"/>
          <w:sz w:val="20"/>
        </w:rPr>
        <w:t xml:space="preserve">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the foregoing but in all cases subject to </w:t>
      </w:r>
      <w:r>
        <w:rPr>
          <w:rFonts w:ascii="Times New Roman" w:hAnsi="Times New Roman"/>
          <w:sz w:val="20"/>
          <w:u w:val="single"/>
        </w:rPr>
        <w:t>Section 9.05(f)</w:t>
      </w:r>
      <w:r>
        <w:rPr>
          <w:rFonts w:ascii="Times New Roman" w:hAnsi="Times New Roman"/>
          <w:sz w:val="20"/>
        </w:rPr>
        <w:t xml:space="preserve">, if an Event of Default exists pursuant to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and any principal of or interest on any Loan, any LC Disbursement or any fee or premium payable by the Borrower hereunder is not, in each case, paid when due, whether at stated maturity, upon acceleration or otherwise, the relevant overdue amount shall, at the direction of the Required Lenders, bear interest, to the fullest extent permitted by applicable Requirements of Law, after as well as before judgment, at a rate per annum equal to (i) in the case of overdue principal or interest of any Loan, 2.00% </w:t>
      </w:r>
      <w:r>
        <w:rPr>
          <w:rFonts w:ascii="Times New Roman" w:hAnsi="Times New Roman"/>
          <w:sz w:val="20"/>
          <w:u w:val="single"/>
        </w:rPr>
        <w:t>plus</w:t>
      </w:r>
      <w:r>
        <w:rPr>
          <w:rFonts w:ascii="Times New Roman" w:hAnsi="Times New Roman"/>
          <w:sz w:val="20"/>
        </w:rPr>
        <w:t xml:space="preserve"> the rate otherwise applicable to such Loan, as provided in the preceding paragraphs of this </w:t>
      </w:r>
      <w:r>
        <w:rPr>
          <w:rFonts w:ascii="Times New Roman" w:hAnsi="Times New Roman"/>
          <w:sz w:val="20"/>
          <w:u w:val="single"/>
        </w:rPr>
        <w:t>Section 2.13</w:t>
      </w:r>
      <w:r>
        <w:rPr>
          <w:rFonts w:ascii="Times New Roman" w:hAnsi="Times New Roman"/>
          <w:sz w:val="20"/>
        </w:rPr>
        <w:t xml:space="preserve"> or (ii) in the case of any other amount, 2.00% </w:t>
      </w:r>
      <w:r>
        <w:rPr>
          <w:rFonts w:ascii="Times New Roman" w:hAnsi="Times New Roman"/>
          <w:sz w:val="20"/>
          <w:u w:val="single"/>
        </w:rPr>
        <w:t>plus</w:t>
      </w:r>
      <w:r>
        <w:rPr>
          <w:rFonts w:ascii="Times New Roman" w:hAnsi="Times New Roman"/>
          <w:sz w:val="20"/>
        </w:rPr>
        <w:t xml:space="preserve"> the rate applicable to Loans that are ABR Loans as provided in </w:t>
      </w:r>
      <w:r>
        <w:rPr>
          <w:rFonts w:ascii="Times New Roman" w:hAnsi="Times New Roman"/>
          <w:sz w:val="20"/>
          <w:u w:val="single"/>
        </w:rPr>
        <w:t>Section 2.13(a)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amount shall accrue pursuant to this </w:t>
      </w:r>
      <w:r>
        <w:rPr>
          <w:rFonts w:ascii="Times New Roman" w:hAnsi="Times New Roman"/>
          <w:sz w:val="20"/>
          <w:u w:val="single"/>
        </w:rPr>
        <w:t>Section 2.13(d)</w:t>
      </w:r>
      <w:r>
        <w:rPr>
          <w:rFonts w:ascii="Times New Roman" w:hAnsi="Times New Roman"/>
          <w:sz w:val="20"/>
        </w:rPr>
        <w:t xml:space="preserve"> on any overdue amount or other amount that is payable to any Defaulting Lender so long as such Lender is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(e) Accrued interest on each Revolving Loan and Swingline Loan shall be payable in arrears on each Interest Payment Date for such Revolving Loan or Swingline Loan and (i) on the Maturity Date applicable to such Loan, (ii) in the case of a Revolving Loan of any Class, upon the termination of the Revolving Commitments of such Class and (iii) in the case of any Swingline Loans, upon termination of all of the Initial Revolving Credit Commitments, as applicable; </w:t>
      </w:r>
      <w:r>
        <w:rPr>
          <w:rFonts w:ascii="Times New Roman" w:hAnsi="Times New Roman"/>
          <w:sz w:val="20"/>
          <w:u w:val="single"/>
        </w:rPr>
        <w:t>provided</w:t>
      </w:r>
      <w:r>
        <w:rPr>
          <w:rFonts w:ascii="Times New Roman" w:hAnsi="Times New Roman"/>
          <w:sz w:val="20"/>
        </w:rPr>
        <w:t xml:space="preserve">, that (A) interest accrued pursuant to </w:t>
      </w:r>
      <w:r>
        <w:rPr>
          <w:rFonts w:ascii="Times New Roman" w:hAnsi="Times New Roman"/>
          <w:sz w:val="20"/>
          <w:u w:val="single"/>
        </w:rPr>
        <w:t>paragraph (d)</w:t>
      </w:r>
      <w:r>
        <w:rPr>
          <w:rFonts w:ascii="Times New Roman" w:hAnsi="Times New Roman"/>
          <w:sz w:val="20"/>
        </w:rPr>
        <w:t xml:space="preserve"> of this </w:t>
      </w:r>
      <w:r>
        <w:rPr>
          <w:rFonts w:ascii="Times New Roman" w:hAnsi="Times New Roman"/>
          <w:sz w:val="20"/>
          <w:u w:val="single"/>
        </w:rPr>
        <w:t>Section 2.13</w:t>
      </w:r>
      <w:r>
        <w:rPr>
          <w:rFonts w:ascii="Times New Roman" w:hAnsi="Times New Roman"/>
          <w:sz w:val="20"/>
        </w:rPr>
        <w:t xml:space="preserve"> shall be payable on demand, (B) in the event of any repayment or prepayment of any Revolving Loan (other than an ABR Revolving Loan of any Class prior to the termination of the Revolving Commitment of such Class) or Swingline Loan, accrued interest on the principal amount repaid or prepaid shall be payable on the date of such repayment or prepayment and (C) in the event of any conversion of any SOFR Loan prior to the end of the current Interest Period therefor, accrued interest on such Revolving Loan shall be payable on the effective date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(f) All computations of interest for ABR Loans determined by reference to the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The applicable Alternate Base Rate or Term SOFR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Times New Roman" w:hAnsi="Times New Roman"/>
          <w:sz w:val="20"/>
          <w:u w:val="single"/>
        </w:rPr>
        <w:t>provided</w:t>
      </w:r>
      <w:r>
        <w:rPr>
          <w:rFonts w:ascii="Times New Roman" w:hAnsi="Times New Roman"/>
          <w:sz w:val="20"/>
        </w:rPr>
        <w:t xml:space="preserve">, that any Loan that is repaid on the same day on which it is made shall bear interest for one day.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Alternate Rate of Interest; 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2.14(b)</w:t>
      </w:r>
      <w:r>
        <w:rPr>
          <w:rFonts w:ascii="Times New Roman" w:hAnsi="Times New Roman"/>
          <w:sz w:val="20"/>
        </w:rPr>
        <w:t xml:space="preserve"> hereof, if prior to the commencement of any Interest Period for a SOFR Borrowing: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or the Required Lenders (who shall provide notice thereof to the Administrative Agent) determine (which determination shall be conclusive absent manifest error) that, by reason of circumstances affecting the relevant market, adequate and reasonable means do not exist for ascertaining Term SOFR for such Interest Period;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that the Term SOFR for such Interest Period will not adequately and fairly reflect the cost to such Lenders (as conclusively certified by such Lenders) of making or maintaining their Loans included in such Borrowing for such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the Administrative Agent shall promptly give notice thereof to the Borrower and the Lenders by electronic mail or, in the case of the Lenders, by posting to the Platform as promptly as practicable thereafter and, until the Administrative Agent or the Required Lenders, as applicable, notifies the Borrower, the Administrative Agent (if applicable) and the Lenders that the circumstances giving rise to such notice no longer exist, which the Administrative Agent or the Lenders, as applicable, agree to do promptly, (x) the obligation of the Lenders to make or maintain SOFR Loans in the affected currency or currencies shall be suspended and (y) in the event of a determination described in the preceding sentence with respect to Term SOFR component of the Alternate Base Rate, the utilization of the Term SOFR component in determining the Alternate Base Rate shall be suspended. Upon receipt of such notice, (1) the Borrower may revoke any pending request for a Borrowing of, conversion to or continuation of SOFR Loans (to the extent of the affected SOFR Loans or Interest Periods) or, (2) failing that, the Borrower will be deemed to have converted such request into a request for a Borrowing of ABR Loans (subject to the foregoing </w:t>
      </w:r>
      <w:r>
        <w:rPr>
          <w:rFonts w:ascii="Times New Roman" w:hAnsi="Times New Roman"/>
          <w:sz w:val="20"/>
          <w:u w:val="single"/>
        </w:rPr>
        <w:t>clause (y)</w:t>
      </w:r>
      <w:r>
        <w:rPr>
          <w:rFonts w:ascii="Times New Roman" w:hAnsi="Times New Roman"/>
          <w:sz w:val="20"/>
        </w:rPr>
        <w:t xml:space="preserve">) in the amount specified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no such election is made by the Borrower within three days after receipt of such notice, the Borrower shall be deemed to have elected </w:t>
      </w:r>
      <w:r>
        <w:rPr>
          <w:rFonts w:ascii="Times New Roman" w:hAnsi="Times New Roman"/>
          <w:sz w:val="20"/>
          <w:u w:val="single"/>
        </w:rPr>
        <w:t>clause (1)</w:t>
      </w:r>
      <w:r>
        <w:rPr>
          <w:rFonts w:ascii="Times New Roman" w:hAnsi="Times New Roman"/>
          <w:sz w:val="20"/>
        </w:rPr>
        <w:t xml:space="preserve"> above. Upon any such conversion, the Borrower shall also pay accrued interest on the amount so converted, together with any additional amounts required pursuant to </w:t>
      </w:r>
      <w:r>
        <w:rPr>
          <w:rFonts w:ascii="Times New Roman" w:hAnsi="Times New Roman"/>
          <w:sz w:val="20"/>
          <w:u w:val="single"/>
        </w:rPr>
        <w:t>Section 2.16</w:t>
      </w:r>
      <w:r>
        <w:rPr>
          <w:rFonts w:ascii="Times New Roman" w:hAnsi="Times New Roman"/>
          <w:sz w:val="20"/>
        </w:rPr>
        <w:t xml:space="preserve">. Subject to </w:t>
      </w:r>
      <w:r>
        <w:rPr>
          <w:rFonts w:ascii="Times New Roman" w:hAnsi="Times New Roman"/>
          <w:sz w:val="20"/>
          <w:u w:val="single"/>
        </w:rPr>
        <w:t>Section 2.14(b)</w:t>
      </w:r>
      <w:r>
        <w:rPr>
          <w:rFonts w:ascii="Times New Roman" w:hAnsi="Times New Roman"/>
          <w:sz w:val="20"/>
        </w:rPr>
        <w:t xml:space="preserve">,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“Alternate Base Rate” until the Administrative Agent revokes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Setting</w:t>
      </w:r>
      <w:r>
        <w:rPr>
          <w:rFonts w:ascii="Times New Roman" w:hAnsi="Times New Roman"/>
          <w:sz w:val="20"/>
        </w:rPr>
        <w:t xml:space="preserve">: (i)(A)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based upon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(B) No Hedge Agreement shall constitute a “Loan Document” for purposes of this </w:t>
      </w:r>
      <w:r>
        <w:rPr>
          <w:rFonts w:ascii="Times New Roman" w:hAnsi="Times New Roman"/>
          <w:sz w:val="20"/>
          <w:u w:val="single"/>
        </w:rPr>
        <w:t>Section 2.14(b)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sz w:val="20"/>
          <w:u w:val="single"/>
        </w:rPr>
        <w:t>Section 2.14(b)(v)</w:t>
      </w:r>
      <w:r>
        <w:rPr>
          <w:rFonts w:ascii="Times New Roman" w:hAnsi="Times New Roman"/>
          <w:sz w:val="20"/>
        </w:rPr>
        <w:t xml:space="preserve"> and (v)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2.14(b)</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sz w:val="20"/>
          <w:u w:val="single"/>
        </w:rPr>
        <w:t>Section 2.14(b)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(I)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(II)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or any Issuing Bank;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Lender or Issuing Bank to any Taxes (other than (A) Indemnified Taxes, (B) Excluded Taxes, and (C) Other Taxes) on or with respect to its loans,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any Issuing Bank any other condition, cost or expense (other than Taxes) affecting this Agreement or Loans made by such Lender or any Letter of Credit or participation in any such Loan or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such Issuing Bank or such other Recipient of making, converting to, continuing or maintaining any Loan or of maintaining its obligation to make any such Loan, or to increase the cost to such Lender, such Issuing Bank or such other Recipient of participating in, issuing or maintaining any Letter of Credit (or of maintaining its obligation to participate in or to issue any Letter of Credit), or to reduce the amount of any sum received or receivable by such Lender, Issuing Bank or other Recipient hereunder (whether of principal, interest or any other amount) then, upon request of such Lender, Issuing Bank or other Recipient, the Borrower will pay to such Lender, Issuing Bank or other Recipient, as the case may be, such additional amount or amounts as will compensate such Lender, Issuing Bank or other Recipient, as the case may be, for such additional costs incurred or reduction suffered; </w:t>
      </w:r>
      <w:r>
        <w:rPr>
          <w:rFonts w:ascii="Times New Roman" w:hAnsi="Times New Roman"/>
          <w:sz w:val="20"/>
          <w:u w:val="single"/>
        </w:rPr>
        <w:t>provided</w:t>
      </w:r>
      <w:r>
        <w:rPr>
          <w:rFonts w:ascii="Times New Roman" w:hAnsi="Times New Roman"/>
          <w:sz w:val="20"/>
        </w:rPr>
        <w:t xml:space="preserv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shall not be liable for such compensation if (x) the relevant Change in Law occurs on a date that is prior to the date such Lender becomes a party hereto, (y) such Lender invokes Section 2.20 or (z) in the case of any requests for reimbursement under clause (iii) above resulting from a market disruption, (A) the relevant circumstances do not generally affect the banking market or (B) the applicable request has not been made by Lenders constituting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(b) If any Lender or Issuing Bank determines that any Change in Law affecting such Lender or Issuing Bank or any lending office of such Lender or such Lender’s or Issuing Bank’s holding company, if any, regarding capital or liquidity requirements, has or would have the effect of reducing the rate of return on such Lender’s or Issuing Bank’s capital or on the capital of such Lender’s or Issuing Bank’s holding company, if any, as a consequence of this Agreement, the Commitments of such Lender or the Loans made by, or participations in Letters of Credit or Swingline Loans held by, such Lender, or the Letters of Credit issued by any Issuing Bank, to a level below that which such Lender or Issuing Bank or such Lender’s or Issuing Bank’s holding company could have achieved but for such Change in Law other than due to Taxes (taking into consideration such Lender’s or Issuing Bank’s policies and the policies of such Lender’s or Issuing Bank’s holding company with respect to capital adequacy and liquidity), then within 30 days of receipt by the Borrower of the certificate contemplated by paragraph(c) of this </w:t>
      </w:r>
      <w:r>
        <w:rPr>
          <w:rFonts w:ascii="Times New Roman" w:hAnsi="Times New Roman"/>
          <w:sz w:val="20"/>
          <w:u w:val="single"/>
        </w:rPr>
        <w:t>Section 2.15</w:t>
      </w:r>
      <w:r>
        <w:rPr>
          <w:rFonts w:ascii="Times New Roman" w:hAnsi="Times New Roman"/>
          <w:sz w:val="20"/>
        </w:rPr>
        <w:t xml:space="preserve"> the Borrower will pay to such Lender or Issuing Bank, as the case may be, such additional amount or amounts as will compensate such Lender or Issuing Bank or such Lender’s or Issuing Bank’s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(c) Any Lender or Issuing Bank requesting compensation under this </w:t>
      </w:r>
      <w:r>
        <w:rPr>
          <w:rFonts w:ascii="Times New Roman" w:hAnsi="Times New Roman"/>
          <w:sz w:val="20"/>
          <w:u w:val="single"/>
        </w:rPr>
        <w:t>Section 2.15</w:t>
      </w:r>
      <w:r>
        <w:rPr>
          <w:rFonts w:ascii="Times New Roman" w:hAnsi="Times New Roman"/>
          <w:sz w:val="20"/>
        </w:rPr>
        <w:t xml:space="preserve"> shall be required to deliver a certificate to the Borrower that (i) sets forth the amount or amounts necessary to compensate such Lender or Issuing Bank or the holding company thereof, as applicable, as specified in </w:t>
      </w:r>
      <w:r>
        <w:rPr>
          <w:rFonts w:ascii="Times New Roman" w:hAnsi="Times New Roman"/>
          <w:sz w:val="20"/>
          <w:u w:val="single"/>
        </w:rPr>
        <w:t>paragraph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w:t>
      </w:r>
      <w:r>
        <w:rPr>
          <w:rFonts w:ascii="Times New Roman" w:hAnsi="Times New Roman"/>
          <w:sz w:val="20"/>
          <w:u w:val="single"/>
        </w:rPr>
        <w:t>Section 2.15</w:t>
      </w:r>
      <w:r>
        <w:rPr>
          <w:rFonts w:ascii="Times New Roman" w:hAnsi="Times New Roman"/>
          <w:sz w:val="20"/>
        </w:rPr>
        <w:t xml:space="preserve">, (ii) sets forth, in reasonable detail, the manner in which such amount or amounts were determined and (iii) certifies that such Lender or Issuing Bank is generally charging such amounts to similarly situated borrowers, which certificate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Failure or delay on the part of any Lender or Issuing Bank to demand compensation pursuant to this Section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any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(except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Subject to </w:t>
      </w:r>
      <w:r>
        <w:rPr>
          <w:rFonts w:ascii="Times New Roman" w:hAnsi="Times New Roman"/>
          <w:sz w:val="20"/>
          <w:u w:val="single"/>
        </w:rPr>
        <w:t>Section 9.05(f)</w:t>
      </w:r>
      <w:r>
        <w:rPr>
          <w:rFonts w:ascii="Times New Roman" w:hAnsi="Times New Roman"/>
          <w:sz w:val="20"/>
        </w:rPr>
        <w:t xml:space="preserve">, in the event of (a) the conversion or prepayment of any principal of any SOFR Loan other than on the last day of an Interest Period applicable thereto (whether voluntary, mandatory, automatic, by reason of acceleration or otherwise), (b) the failure to borrow, convert, continue or prepay any SOFR Loan on the date or in the amount specified in any notice delivered pursuant hereto or (c) the assignment of any SOFR Loan of any Lender other than on the last day of the Interest Period applicable thereto as a result of a request by the Borrower pursuant to </w:t>
      </w:r>
      <w:r>
        <w:rPr>
          <w:rFonts w:ascii="Times New Roman" w:hAnsi="Times New Roman"/>
          <w:sz w:val="20"/>
          <w:u w:val="single"/>
        </w:rPr>
        <w:t>Section 2.19</w:t>
      </w:r>
      <w:r>
        <w:rPr>
          <w:rFonts w:ascii="Times New Roman" w:hAnsi="Times New Roman"/>
          <w:sz w:val="20"/>
        </w:rPr>
        <w:t xml:space="preserve">, then, in any such event, the Borrower shall compensate each Lender for the actual amount of any actual out-of-pocket loss, expense and/or liability (including any loss, expense or liability incurred by reason of the liquidation or reemployment of deposits or other funds required by such Lender to fund or maintain SOFR Loans, but excluding loss of anticipated profit) that such Lender may incur or sustain as a result of such event. Any Lender requesting compensation under this </w:t>
      </w:r>
      <w:r>
        <w:rPr>
          <w:rFonts w:ascii="Times New Roman" w:hAnsi="Times New Roman"/>
          <w:sz w:val="20"/>
          <w:u w:val="single"/>
        </w:rPr>
        <w:t>Section 2.16</w:t>
      </w:r>
      <w:r>
        <w:rPr>
          <w:rFonts w:ascii="Times New Roman" w:hAnsi="Times New Roman"/>
          <w:sz w:val="20"/>
        </w:rPr>
        <w:t xml:space="preserve"> shall be required to deliver a certificate to the Borrower that (A) sets forth any amount or amounts that such Lender is entitled to receive pursuant to this Section,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and all payments by or on account of any obligation of any Loan Party under any Loan Document shall be made free and clear of and without deduction or withholding for any Taxes, except as required by applicable Requirements of Law. If any applicable Requirement of Law requires the deduction or withholding of any Tax from any such payment, then (i) if such Tax is an Indemnified Tax and/or Other Tax, the amount payable by the applicable Loan Party shall be increased as necessary so that after all required deductions or withholdings have been made (including deductions or withholdings applicable to additional sums payable under this </w:t>
      </w:r>
      <w:r>
        <w:rPr>
          <w:rFonts w:ascii="Times New Roman" w:hAnsi="Times New Roman"/>
          <w:sz w:val="20"/>
          <w:u w:val="single"/>
        </w:rPr>
        <w:t>Section 2.17</w:t>
      </w:r>
      <w:r>
        <w:rPr>
          <w:rFonts w:ascii="Times New Roman" w:hAnsi="Times New Roman"/>
          <w:sz w:val="20"/>
        </w:rPr>
        <w:t xml:space="preserve">) each Lender (or, in the case of any payment made to the Administrative Agent for its own account, the Administrative Agent) receives an amount equal to the sum it would have received had no such deductions or withholdings been made, (ii) the applicable withholding agent shall be entitled to make such deductions or withholdings and (iii) the applicable withholding agent shall timely pay the full amount deducted or withheld to the relevant Governmental Authority in accordance with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(b) In addition (but without duplication), the Loan Parties shall pay any Other Taxes to the relevant Governmental Authority in accordance with applicable Requirements of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Without duplication, 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or required to be withheld or deducted from a payment to the Administrative Agent or such Lender, as applicable (including Indemnified Taxes or Other Taxes imposed or asserted on or attributable to amounts payable under this </w:t>
      </w:r>
      <w:r>
        <w:rPr>
          <w:rFonts w:ascii="Times New Roman" w:hAnsi="Times New Roman"/>
          <w:sz w:val="20"/>
          <w:u w:val="single"/>
        </w:rPr>
        <w:t>Section 2.17</w:t>
      </w:r>
      <w:r>
        <w:rPr>
          <w:rFonts w:ascii="Times New Roman" w:hAnsi="Times New Roman"/>
          <w:sz w:val="20"/>
        </w:rPr>
        <w:t xml:space="preserve">), and, in each case, any reasonable expenses arising therefrom or with respect thereto, whether or not correctly or legally imposed or asserted; </w:t>
      </w:r>
      <w:r>
        <w:rPr>
          <w:rFonts w:ascii="Times New Roman" w:hAnsi="Times New Roman"/>
          <w:sz w:val="20"/>
          <w:u w:val="single"/>
        </w:rPr>
        <w:t>provided</w:t>
      </w:r>
      <w:r>
        <w:rPr>
          <w:rFonts w:ascii="Times New Roman" w:hAnsi="Times New Roman"/>
          <w:sz w:val="20"/>
        </w:rPr>
        <w:t xml:space="preserve">, that if the Borrower reasonably believes that such Taxes were not correctly or legally asserted, the Administrative Agent or such Lender, as applicable, will use commercially reasonable efforts to cooperate with the Borrower to obtain a refund of such Taxes (which shall be repaid to the Borrower in accordance with </w:t>
      </w:r>
      <w:r>
        <w:rPr>
          <w:rFonts w:ascii="Times New Roman" w:hAnsi="Times New Roman"/>
          <w:sz w:val="20"/>
          <w:u w:val="single"/>
        </w:rPr>
        <w:t>Section 2.17(g)</w:t>
      </w:r>
      <w:r>
        <w:rPr>
          <w:rFonts w:ascii="Times New Roman" w:hAnsi="Times New Roman"/>
          <w:sz w:val="20"/>
        </w:rPr>
        <w:t xml:space="preserve">) so long as such efforts would not, in the reasonable determination of the Administrative Agent or such Lender, result in any additional out-of-pocket costs or expenses not reimbursed by the relevant Loan Party or be otherwise materially disadvantageous to the Administrative Agent or such Lender, as applicable. In connection with any request for reimbursement under this </w:t>
      </w:r>
      <w:r>
        <w:rPr>
          <w:rFonts w:ascii="Times New Roman" w:hAnsi="Times New Roman"/>
          <w:sz w:val="20"/>
          <w:u w:val="single"/>
        </w:rPr>
        <w:t>Section 2.17(c)</w:t>
      </w:r>
      <w:r>
        <w:rPr>
          <w:rFonts w:ascii="Times New Roman" w:hAnsi="Times New Roman"/>
          <w:sz w:val="20"/>
        </w:rPr>
        <w:t xml:space="preserve">, the relevant Lender or the Administrative Agent, as applicable, shall deliver a certificate to the Borrower setting forth, in reasonable detail, the basis and calculation of the amount of the relevant payment or liability. Notwithstanding anything to the contrary contained in this </w:t>
      </w:r>
      <w:r>
        <w:rPr>
          <w:rFonts w:ascii="Times New Roman" w:hAnsi="Times New Roman"/>
          <w:sz w:val="20"/>
          <w:u w:val="single"/>
        </w:rPr>
        <w:t>Section 2.17</w:t>
      </w:r>
      <w:r>
        <w:rPr>
          <w:rFonts w:ascii="Times New Roman" w:hAnsi="Times New Roman"/>
          <w:sz w:val="20"/>
        </w:rPr>
        <w:t xml:space="preserve">, the Borrower shall not be required to indemnify the Administrative Agent or any Lender pursuant to this </w:t>
      </w:r>
      <w:r>
        <w:rPr>
          <w:rFonts w:ascii="Times New Roman" w:hAnsi="Times New Roman"/>
          <w:sz w:val="20"/>
          <w:u w:val="single"/>
        </w:rPr>
        <w:t>Section 2.17</w:t>
      </w:r>
      <w:r>
        <w:rPr>
          <w:rFonts w:ascii="Times New Roman" w:hAnsi="Times New Roman"/>
          <w:sz w:val="20"/>
        </w:rPr>
        <w:t xml:space="preserve"> for any amount to the extent the Administrative Agent or such Lender fails to notify the Borrower of such possible indemnification claim within 180 days after the Administrative Agent or such Lender receives written notice from the applicable taxing authority of the specific tax assessment giving rise to such indemnification claim.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As soon as reasonably practicable after any payment of any Taxes pursuant to this </w:t>
      </w:r>
      <w:r>
        <w:rPr>
          <w:rFonts w:ascii="Times New Roman" w:hAnsi="Times New Roman"/>
          <w:sz w:val="20"/>
          <w:u w:val="single"/>
        </w:rPr>
        <w:t>Section 2.17</w:t>
      </w:r>
      <w:r>
        <w:rPr>
          <w:rFonts w:ascii="Times New Roman" w:hAnsi="Times New Roman"/>
          <w:sz w:val="20"/>
        </w:rPr>
        <w:t xml:space="preserve"> by any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that is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any withholding Tax with respect to any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paragraphs (f)(ii)(A)</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(ii)(D)</w:t>
      </w:r>
      <w:r>
        <w:rPr>
          <w:rFonts w:ascii="Times New Roman" w:hAnsi="Times New Roman"/>
          <w:sz w:val="20"/>
        </w:rPr>
        <w:t xml:space="preserve"> of this </w:t>
      </w:r>
      <w:r>
        <w:rPr>
          <w:rFonts w:ascii="Times New Roman" w:hAnsi="Times New Roman"/>
          <w:sz w:val="20"/>
          <w:u w:val="single"/>
        </w:rPr>
        <w:t>Section 2.17</w:t>
      </w:r>
      <w:r>
        <w:rPr>
          <w:rFonts w:ascii="Times New Roman" w:hAnsi="Times New Roman"/>
          <w:sz w:val="20"/>
        </w:rPr>
        <w:t xml:space="preserve">) shall not be required if in the Lender’s reasonable judgment such completion, execution or submission would subject such Lender to any material unreimbursed cost or expense or would materially prejudice the legal or commercial position of such Lender. Each Lender hereby authorizes the Administrative Agent to deliver to the Borrower and to any successor Administrative Agent any documentation provided to the Administrative Agent pursuant to this </w:t>
      </w:r>
      <w:r>
        <w:rPr>
          <w:rFonts w:ascii="Times New Roman" w:hAnsi="Times New Roman"/>
          <w:sz w:val="20"/>
          <w:u w:val="single"/>
        </w:rPr>
        <w:t>Section 2.17(f)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U.S. Lender shall deliver to the Borrower and the Administrative Agent on or prior to the date on which such U.S. Lender becomes a Lender under this Agreement (and from time to time thereafter upon the reasonable request of the Borrower or the Administrative Agent), executed copies of IRS Form W-9 certifying that such Lender is exempt from U.S. federal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(B) 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any Foreign Lender claiming the benefits of an income tax treaty to which the U.S. is a party, executed copies of IRS Form W-8BEN or W-8BEN-E, as applicable, establishing any available exemption from, or reduction of, U.S. federal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(2) executed copies of IRS Form W-8ECI (or any successor forms);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any Foreign Lender claiming the benefits of the exemption for portfolio interest under Section 871(h) or 881(c) of the Code, (x) two executed copies of a certificate substantially in the form of </w:t>
      </w:r>
      <w:r>
        <w:rPr>
          <w:rFonts w:ascii="Times New Roman" w:hAnsi="Times New Roman"/>
          <w:sz w:val="20"/>
          <w:u w:val="single"/>
        </w:rPr>
        <w:t>Exhibit N-1</w:t>
      </w:r>
      <w:r>
        <w:rPr>
          <w:rFonts w:ascii="Times New Roman" w:hAnsi="Times New Roman"/>
          <w:sz w:val="20"/>
        </w:rPr>
        <w:t xml:space="preserve"> to the effect that such Foreign Lender is not a “bank” within the meaning of Section 881(c)(3)(A) of the Code, a “10 percent shareholder” of the Borrower (or its regarded owner for U.S. federal income tax purposes) within the meaning of Section 871(h)(3)(B) of the Code, or a “controlled foreign corporation” related to the Borrower (or its regarded owner for U.S. federal income tax purposes) as described in Section 881(c)(3)(C) of the Code, and that no payments payable to such Lender are effectively connected with the conduct of a U.S. trade or business (a “</w:t>
      </w:r>
      <w:r>
        <w:rPr>
          <w:rFonts w:ascii="Times New Roman" w:hAnsi="Times New Roman"/>
          <w:sz w:val="20"/>
          <w:u w:val="single"/>
        </w:rPr>
        <w:t>U.S. Tax Compliance Certificate</w:t>
      </w:r>
      <w:r>
        <w:rPr>
          <w:rFonts w:ascii="Times New Roman" w:hAnsi="Times New Roman"/>
          <w:sz w:val="20"/>
        </w:rPr>
        <w:t xml:space="preserve">”) and (y) executed copies of IRS Form W-8BEN or W-8BEN-E, as applicable (or any successor forms); or </w:t>
      </w:r>
    </w:p>
    <w:p>
      <w:pPr>
        <w:pStyle w:val="TextBody"/>
        <w:bidi w:val="0"/>
        <w:spacing w:before="120" w:after="0"/>
        <w:jc w:val="left"/>
        <w:rPr>
          <w:rFonts w:ascii="Times New Roman" w:hAnsi="Times New Roman"/>
          <w:sz w:val="20"/>
        </w:rPr>
      </w:pPr>
      <w:r>
        <w:rPr>
          <w:rFonts w:ascii="Times New Roman" w:hAnsi="Times New Roman"/>
          <w:sz w:val="20"/>
        </w:rPr>
        <w:t>(4) to the extent any Foreign Lender is not the beneficial owner (</w:t>
      </w:r>
      <w:r>
        <w:rPr>
          <w:rFonts w:ascii="Times New Roman" w:hAnsi="Times New Roman"/>
          <w:i/>
          <w:sz w:val="20"/>
        </w:rPr>
        <w:t>e.g.</w:t>
      </w:r>
      <w:r>
        <w:rPr>
          <w:rFonts w:ascii="Times New Roman" w:hAnsi="Times New Roman"/>
          <w:sz w:val="20"/>
        </w:rPr>
        <w:t xml:space="preserve">, where the Foreign Lender is a partnership), executed copies of IRS Form W-8IMY (or any successor forms), accompanied by IRS Form W-8ECI, IRS Form W-8EXP, IRS Form W-8BEN or W-8BEN-E, a U.S. Tax Compliance Certificate substantially in the form of </w:t>
      </w:r>
      <w:r>
        <w:rPr>
          <w:rFonts w:ascii="Times New Roman" w:hAnsi="Times New Roman"/>
          <w:sz w:val="20"/>
          <w:u w:val="single"/>
        </w:rPr>
        <w:t>Exhibit N-2</w:t>
      </w:r>
      <w:r>
        <w:rPr>
          <w:rFonts w:ascii="Times New Roman" w:hAnsi="Times New Roman"/>
          <w:sz w:val="20"/>
        </w:rPr>
        <w:t xml:space="preserve"> or </w:t>
      </w:r>
      <w:r>
        <w:rPr>
          <w:rFonts w:ascii="Times New Roman" w:hAnsi="Times New Roman"/>
          <w:sz w:val="20"/>
          <w:u w:val="single"/>
        </w:rPr>
        <w:t>Exhibit N-4</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such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N-3</w:t>
      </w:r>
      <w:r>
        <w:rPr>
          <w:rFonts w:ascii="Times New Roman" w:hAnsi="Times New Roman"/>
          <w:sz w:val="20"/>
        </w:rPr>
        <w:t xml:space="preserve"> on behalf of each such direct or indirect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Foreign Lender shall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and such additional documentation reasonably requested by the Borrower or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hAnsi="Times New Roman"/>
          <w:sz w:val="20"/>
          <w:u w:val="single"/>
        </w:rPr>
        <w:t>clause (D)</w:t>
      </w:r>
      <w:r>
        <w:rPr>
          <w:rFonts w:ascii="Times New Roman" w:hAnsi="Times New Roman"/>
          <w:sz w:val="20"/>
        </w:rPr>
        <w:t xml:space="preserve">,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a Lender is an entity disregarded from its owner for U.S. federal income tax purposes, references to the foregoing documentation are intended to refer to documentation with respect to such Lender’s owner and, as applicable, such Lender.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documentation (including any specific documentation required above in this </w:t>
      </w:r>
      <w:r>
        <w:rPr>
          <w:rFonts w:ascii="Times New Roman" w:hAnsi="Times New Roman"/>
          <w:sz w:val="20"/>
          <w:u w:val="single"/>
        </w:rPr>
        <w:t>Section 2.17(f)</w:t>
      </w:r>
      <w:r>
        <w:rPr>
          <w:rFonts w:ascii="Times New Roman" w:hAnsi="Times New Roman"/>
          <w:sz w:val="20"/>
        </w:rPr>
        <w:t xml:space="preserve">) it previously delivered expires or becomes obsolete or inaccurate in any respect,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2.17(f)</w:t>
      </w:r>
      <w:r>
        <w:rPr>
          <w:rFonts w:ascii="Times New Roman" w:hAnsi="Times New Roman"/>
          <w:sz w:val="20"/>
        </w:rPr>
        <w:t xml:space="preserve">, no Lender shall be required to provide any documentation that such Lender is not legally eligible to deliver. </w:t>
      </w:r>
    </w:p>
    <w:p>
      <w:pPr>
        <w:pStyle w:val="TextBody"/>
        <w:bidi w:val="0"/>
        <w:spacing w:before="240" w:after="0"/>
        <w:jc w:val="left"/>
        <w:rPr>
          <w:rFonts w:ascii="Times New Roman" w:hAnsi="Times New Roman"/>
          <w:sz w:val="20"/>
        </w:rPr>
      </w:pPr>
      <w:r>
        <w:rPr>
          <w:rFonts w:ascii="Times New Roman" w:hAnsi="Times New Roman"/>
          <w:sz w:val="20"/>
        </w:rPr>
        <w:t xml:space="preserve">(g) If the Administrative Agent or any Lender determines, in its sole discretion exercised in good faith, that it has received a refund (whether received in cash or applied as a credit against any cash taxes payable) of any Indemnified Taxes or Other Taxes as to which it has been indemnified by the Borrower or with respect to which the Borrower has paid additional amounts pursuant to this </w:t>
      </w:r>
      <w:r>
        <w:rPr>
          <w:rFonts w:ascii="Times New Roman" w:hAnsi="Times New Roman"/>
          <w:sz w:val="20"/>
          <w:u w:val="single"/>
        </w:rPr>
        <w:t>Section 2.17</w:t>
      </w:r>
      <w:r>
        <w:rPr>
          <w:rFonts w:ascii="Times New Roman" w:hAnsi="Times New Roman"/>
          <w:sz w:val="20"/>
        </w:rPr>
        <w:t xml:space="preserve">, it shall pay over such refund to the Borrower (but only to the extent of indemnity payments made, or additional amounts paid, by the Borrower under this </w:t>
      </w:r>
      <w:r>
        <w:rPr>
          <w:rFonts w:ascii="Times New Roman" w:hAnsi="Times New Roman"/>
          <w:sz w:val="20"/>
          <w:u w:val="single"/>
        </w:rPr>
        <w:t>Section 2.17</w:t>
      </w:r>
      <w:r>
        <w:rPr>
          <w:rFonts w:ascii="Times New Roman" w:hAnsi="Times New Roman"/>
          <w:sz w:val="20"/>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that the Borrower, upon the request of the Administrative Agent or such Lender, agrees to repay the amount paid over to the relevant Loan Party (</w:t>
      </w:r>
      <w:r>
        <w:rPr>
          <w:rFonts w:ascii="Times New Roman" w:hAnsi="Times New Roman"/>
          <w:sz w:val="20"/>
          <w:u w:val="single"/>
        </w:rPr>
        <w:t>plus</w:t>
      </w:r>
      <w:r>
        <w:rPr>
          <w:rFonts w:ascii="Times New Roman" w:hAnsi="Times New Roman"/>
          <w:sz w:val="20"/>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hAnsi="Times New Roman"/>
          <w:sz w:val="20"/>
          <w:u w:val="single"/>
        </w:rPr>
        <w:t>paragraph (g)</w:t>
      </w:r>
      <w:r>
        <w:rPr>
          <w:rFonts w:ascii="Times New Roman" w:hAnsi="Times New Roman"/>
          <w:sz w:val="20"/>
        </w:rPr>
        <w:t xml:space="preserve">, in no event will the Administrative Agent or any Lender be required to pay any amount to the Borrower pursuant to this </w:t>
      </w:r>
      <w:r>
        <w:rPr>
          <w:rFonts w:ascii="Times New Roman" w:hAnsi="Times New Roman"/>
          <w:sz w:val="20"/>
          <w:u w:val="single"/>
        </w:rPr>
        <w:t>paragraph (g)</w:t>
      </w:r>
      <w:r>
        <w:rPr>
          <w:rFonts w:ascii="Times New Roman" w:hAnsi="Times New Roman"/>
          <w:sz w:val="20"/>
        </w:rPr>
        <w:t xml:space="preserve"> to the extent that the payment thereof would place the Administrative Agent or such Lender in a less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after-Tax position than the position that the Administrative Agent or such Lender would have been in if such Tax subject to indemnification and giving rise to such refund had not been deducted, withheld or otherwise imposed and the indemnification payments or additional amounts giving rise to such refund had never been paid. This </w:t>
      </w:r>
      <w:r>
        <w:rPr>
          <w:rFonts w:ascii="Times New Roman" w:hAnsi="Times New Roman"/>
          <w:sz w:val="20"/>
          <w:u w:val="single"/>
        </w:rPr>
        <w:t>Section 2.17(g)</w:t>
      </w:r>
      <w:r>
        <w:rPr>
          <w:rFonts w:ascii="Times New Roman" w:hAnsi="Times New Roman"/>
          <w:sz w:val="20"/>
        </w:rPr>
        <w:t xml:space="preserve"> shall not be construed to require the Administrative Agent or any Lender to make available its Tax returns (or any other information relating to its Taxes which it deems confidential) to the relevant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2.17</w:t>
      </w:r>
      <w:r>
        <w:rPr>
          <w:rFonts w:ascii="Times New Roman" w:hAnsi="Times New Roman"/>
          <w:sz w:val="20"/>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Administrative Agent Documentation</w:t>
      </w:r>
      <w:r>
        <w:rPr>
          <w:rFonts w:ascii="Times New Roman" w:hAnsi="Times New Roman"/>
          <w:sz w:val="20"/>
        </w:rPr>
        <w:t xml:space="preserve">. On or before the Closing Date, the Administrative Agent shall (and any successor or replacement Administrative Agent shall on or before the date on which it becomes the Administrative Agent hereunder) deliver to the Borrower duly executed copies of either (i) IRS Form W-9 or (ii) IRS Form W-8ECI (with respect to any payments to be received on its own behalf) and IRS Form W-8IMY (for all other payments), establishing that the Borrower can make payments to the Administrative Agent without deduction or withholding of any Taxes imposed by the U.S., including Taxes imposed under FATCA.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Definition of “Lender”</w:t>
      </w:r>
      <w:r>
        <w:rPr>
          <w:rFonts w:ascii="Times New Roman" w:hAnsi="Times New Roman"/>
          <w:sz w:val="20"/>
        </w:rPr>
        <w:t xml:space="preserve">. For the avoidance of doubt, the term “Lender” shall, for all purposes of this </w:t>
      </w:r>
      <w:r>
        <w:rPr>
          <w:rFonts w:ascii="Times New Roman" w:hAnsi="Times New Roman"/>
          <w:sz w:val="20"/>
          <w:u w:val="single"/>
        </w:rPr>
        <w:t>Section 2.17</w:t>
      </w:r>
      <w:r>
        <w:rPr>
          <w:rFonts w:ascii="Times New Roman" w:hAnsi="Times New Roman"/>
          <w:sz w:val="20"/>
        </w:rPr>
        <w:t xml:space="preserve">, include any Issuing Bank and any Swingline Lender unless the context otherwise indicates.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Allocation of Proceeds; Sharing of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the Borrower shall make each payment required to be made by it hereunder (whether of principal, interest or fees, reimbursements of LC Disbursements or of amounts payable under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or </w:t>
      </w:r>
      <w:r>
        <w:rPr>
          <w:rFonts w:ascii="Times New Roman" w:hAnsi="Times New Roman"/>
          <w:sz w:val="20"/>
          <w:u w:val="single"/>
        </w:rPr>
        <w:t>2.17</w:t>
      </w:r>
      <w:r>
        <w:rPr>
          <w:rFonts w:ascii="Times New Roman" w:hAnsi="Times New Roman"/>
          <w:sz w:val="20"/>
        </w:rPr>
        <w:t xml:space="preserve">, or otherwise) prior to 2:00 p.m. on the date when due, in Same Day Funds, without set-off or counterclaim. All payments received by the Administrative Agent after 2:00 p.m. shall be deemed received on the next succeeding Business Day and any applicable interest or fee shall continue to accrue. Each such payment shall be made to the Administrative Agent to the applicable account designated by the Administrative Agent to the Borrower, except that any payment made pursuant to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w:t>
      </w:r>
      <w:r>
        <w:rPr>
          <w:rFonts w:ascii="Times New Roman" w:hAnsi="Times New Roman"/>
          <w:sz w:val="20"/>
          <w:u w:val="single"/>
        </w:rPr>
        <w:t>2.17</w:t>
      </w:r>
      <w:r>
        <w:rPr>
          <w:rFonts w:ascii="Times New Roman" w:hAnsi="Times New Roman"/>
          <w:sz w:val="20"/>
        </w:rPr>
        <w:t xml:space="preserve"> or </w:t>
      </w:r>
      <w:r>
        <w:rPr>
          <w:rFonts w:ascii="Times New Roman" w:hAnsi="Times New Roman"/>
          <w:sz w:val="20"/>
          <w:u w:val="single"/>
        </w:rPr>
        <w:t>9.03</w:t>
      </w:r>
      <w:r>
        <w:rPr>
          <w:rFonts w:ascii="Times New Roman" w:hAnsi="Times New Roman"/>
          <w:sz w:val="20"/>
        </w:rPr>
        <w:t xml:space="preserve"> shall be made directly to the Person or Persons entitled thereto. The Administrative Agent shall distribute any such payment received by it for the account of any other Person to the appropriate recipient promptly following receipt thereof. Except as provided in </w:t>
      </w:r>
      <w:r>
        <w:rPr>
          <w:rFonts w:ascii="Times New Roman" w:hAnsi="Times New Roman"/>
          <w:sz w:val="20"/>
          <w:u w:val="single"/>
        </w:rPr>
        <w:t>Sections 2.19(b)</w:t>
      </w:r>
      <w:r>
        <w:rPr>
          <w:rFonts w:ascii="Times New Roman" w:hAnsi="Times New Roman"/>
          <w:sz w:val="20"/>
        </w:rPr>
        <w:t xml:space="preserve"> and </w:t>
      </w:r>
      <w:r>
        <w:rPr>
          <w:rFonts w:ascii="Times New Roman" w:hAnsi="Times New Roman"/>
          <w:sz w:val="20"/>
          <w:u w:val="single"/>
        </w:rPr>
        <w:t>2.21</w:t>
      </w:r>
      <w:r>
        <w:rPr>
          <w:rFonts w:ascii="Times New Roman" w:hAnsi="Times New Roman"/>
          <w:sz w:val="20"/>
        </w:rPr>
        <w:t xml:space="preserve">, each Borrowing, each payment or prepayment of principal of any Borrowing, each payment of interest in respect of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Subject to </w:t>
      </w:r>
      <w:r>
        <w:rPr>
          <w:rFonts w:ascii="Times New Roman" w:hAnsi="Times New Roman"/>
          <w:sz w:val="20"/>
          <w:u w:val="single"/>
        </w:rPr>
        <w:t>Section 1.09</w:t>
      </w:r>
      <w:r>
        <w:rPr>
          <w:rFonts w:ascii="Times New Roman" w:hAnsi="Times New Roman"/>
          <w:sz w:val="20"/>
        </w:rPr>
        <w:t xml:space="preserve">, all payments hereunder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w:t>
      </w:r>
    </w:p>
    <w:p>
      <w:pPr>
        <w:pStyle w:val="TextBody"/>
        <w:bidi w:val="0"/>
        <w:spacing w:before="240" w:after="0"/>
        <w:jc w:val="left"/>
        <w:rPr>
          <w:rFonts w:ascii="Times New Roman" w:hAnsi="Times New Roman"/>
          <w:sz w:val="20"/>
        </w:rPr>
      </w:pPr>
      <w:r>
        <w:rPr>
          <w:rFonts w:ascii="Times New Roman" w:hAnsi="Times New Roman"/>
          <w:sz w:val="20"/>
        </w:rPr>
        <w:t xml:space="preserve">(b) Subject in all respects to the provisions of each applicable Intercreditor Agreement, all proceeds of Collateral and any proceeds realized with respect to guarantees by any Loan Party received by the Administrative Agent while an Event of Default exists and all or any portion of the Loans have been accelerated hereunder pursuant to </w:t>
      </w:r>
      <w:r>
        <w:rPr>
          <w:rFonts w:ascii="Times New Roman" w:hAnsi="Times New Roman"/>
          <w:sz w:val="20"/>
          <w:u w:val="single"/>
        </w:rPr>
        <w:t>Section 7.01</w:t>
      </w:r>
      <w:r>
        <w:rPr>
          <w:rFonts w:ascii="Times New Roman" w:hAnsi="Times New Roman"/>
          <w:sz w:val="20"/>
        </w:rPr>
        <w:t xml:space="preserve">, shall be applied, </w:t>
      </w:r>
      <w:r>
        <w:rPr>
          <w:rFonts w:ascii="Times New Roman" w:hAnsi="Times New Roman"/>
          <w:sz w:val="20"/>
          <w:u w:val="single"/>
        </w:rPr>
        <w:t>first</w:t>
      </w:r>
      <w:r>
        <w:rPr>
          <w:rFonts w:ascii="Times New Roman" w:hAnsi="Times New Roman"/>
          <w:sz w:val="20"/>
        </w:rPr>
        <w:t xml:space="preserve">, to the payment of all fees,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the Administrative Agent’s agents and legal counsel, the repayment of all advances made by the Administrative Agent hereunder or under any other Loan Document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any Loan Party and any other costs or expenses incurred in connection with the exercise of any right or remedy hereunder or under any other Loan Document, </w:t>
      </w:r>
      <w:r>
        <w:rPr>
          <w:rFonts w:ascii="Times New Roman" w:hAnsi="Times New Roman"/>
          <w:sz w:val="20"/>
          <w:u w:val="single"/>
        </w:rPr>
        <w:t>second</w:t>
      </w:r>
      <w:r>
        <w:rPr>
          <w:rFonts w:ascii="Times New Roman" w:hAnsi="Times New Roman"/>
          <w:sz w:val="20"/>
        </w:rPr>
        <w:t xml:space="preserve">, on a pro rata basis, to pay any fees, indemnities or expense reimbursements then due to the Administrative Agent (other than those covered in clause first above) or to the Swingline Lender or any Issuing Bank from the Borrower constituting Secured Obligations, </w:t>
      </w:r>
      <w:r>
        <w:rPr>
          <w:rFonts w:ascii="Times New Roman" w:hAnsi="Times New Roman"/>
          <w:sz w:val="20"/>
          <w:u w:val="single"/>
        </w:rPr>
        <w:t>third</w:t>
      </w:r>
      <w:r>
        <w:rPr>
          <w:rFonts w:ascii="Times New Roman" w:hAnsi="Times New Roman"/>
          <w:sz w:val="20"/>
        </w:rPr>
        <w:t xml:space="preserve">,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101% of the LC Exposure (minus the amount then on deposit in the LC Collateral Account) on such date, to be held in the LC Collateral Account as Cash collateral for such Obligations); </w:t>
      </w:r>
      <w:r>
        <w:rPr>
          <w:rFonts w:ascii="Times New Roman" w:hAnsi="Times New Roman"/>
          <w:sz w:val="20"/>
          <w:u w:val="single"/>
        </w:rPr>
        <w:t>provided</w:t>
      </w:r>
      <w:r>
        <w:rPr>
          <w:rFonts w:ascii="Times New Roman" w:hAnsi="Times New Roman"/>
          <w:sz w:val="20"/>
        </w:rPr>
        <w:t xml:space="preserve">, that if any Letter of Credit expires undrawn, then any Cash collateral held to secure the related LC Exposure shall be applied in accordance with this </w:t>
      </w:r>
      <w:r>
        <w:rPr>
          <w:rFonts w:ascii="Times New Roman" w:hAnsi="Times New Roman"/>
          <w:sz w:val="20"/>
          <w:u w:val="single"/>
        </w:rPr>
        <w:t>Section 2.18(b)</w:t>
      </w:r>
      <w:r>
        <w:rPr>
          <w:rFonts w:ascii="Times New Roman" w:hAnsi="Times New Roman"/>
          <w:sz w:val="20"/>
        </w:rPr>
        <w:t xml:space="preserve">, beginning with clause first above, </w:t>
      </w:r>
      <w:r>
        <w:rPr>
          <w:rFonts w:ascii="Times New Roman" w:hAnsi="Times New Roman"/>
          <w:sz w:val="20"/>
          <w:u w:val="single"/>
        </w:rPr>
        <w:t>fourth</w:t>
      </w:r>
      <w:r>
        <w:rPr>
          <w:rFonts w:ascii="Times New Roman" w:hAnsi="Times New Roman"/>
          <w:sz w:val="20"/>
        </w:rPr>
        <w:t xml:space="preserve">, as provided in each applicable Intercreditor Agreement, and </w:t>
      </w:r>
      <w:r>
        <w:rPr>
          <w:rFonts w:ascii="Times New Roman" w:hAnsi="Times New Roman"/>
          <w:sz w:val="20"/>
          <w:u w:val="single"/>
        </w:rPr>
        <w:t>fifth</w:t>
      </w:r>
      <w:r>
        <w:rPr>
          <w:rFonts w:ascii="Times New Roman" w:hAnsi="Times New Roman"/>
          <w:sz w:val="20"/>
        </w:rPr>
        <w:t xml:space="preserve">, to, or at the direction of, the Borrower or as a court of competent jurisdiction may otherwise direct.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obtains payment (whether voluntary, involuntary, through the exercise of any right of set-off or otherwise) in respect of any principal of or interest on any of its Loans of any Class or participations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of such Class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(A) any payment made by the Borrower pursuant to and in accordance with the express terms of this Agreement or (B) any payment obtained by any Lender as consideration for the assignment of or sale of a participation in any of its Loans to any permitted assignee or participant, including any payment made or deemed made in connection with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w:t>
      </w:r>
      <w:r>
        <w:rPr>
          <w:rFonts w:ascii="Times New Roman" w:hAnsi="Times New Roman"/>
          <w:sz w:val="20"/>
          <w:u w:val="single"/>
        </w:rPr>
        <w:t>9.02(c)</w:t>
      </w:r>
      <w:r>
        <w:rPr>
          <w:rFonts w:ascii="Times New Roman" w:hAnsi="Times New Roman"/>
          <w:sz w:val="20"/>
        </w:rPr>
        <w:t xml:space="preserve"> and/or </w:t>
      </w:r>
      <w:r>
        <w:rPr>
          <w:rFonts w:ascii="Times New Roman" w:hAnsi="Times New Roman"/>
          <w:sz w:val="20"/>
          <w:u w:val="single"/>
        </w:rPr>
        <w:t>9.05</w:t>
      </w:r>
      <w:r>
        <w:rPr>
          <w:rFonts w:ascii="Times New Roman" w:hAnsi="Times New Roman"/>
          <w:sz w:val="20"/>
        </w:rPr>
        <w:t xml:space="preserve">. The Borrower consents to the foregoing and agrees, to the extent it may effectively do so under applicable Requirements of Law, that any Lender acquiring a participation pursuant to the foregoing arrangements may exercise rights of set-off and counterclaim against the Borrower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Times New Roman" w:hAnsi="Times New Roman"/>
          <w:sz w:val="20"/>
          <w:u w:val="single"/>
        </w:rPr>
        <w:t>Section 2.18(c)</w:t>
      </w:r>
      <w:r>
        <w:rPr>
          <w:rFonts w:ascii="Times New Roman" w:hAnsi="Times New Roman"/>
          <w:sz w:val="20"/>
        </w:rPr>
        <w:t xml:space="preserve"> and will, in each case, notify the Lenders following any such purchases or repayments. Each Lender that purchases a participation pursuant to this </w:t>
      </w:r>
      <w:r>
        <w:rPr>
          <w:rFonts w:ascii="Times New Roman" w:hAnsi="Times New Roman"/>
          <w:sz w:val="20"/>
          <w:u w:val="single"/>
        </w:rPr>
        <w:t>Section 2.18(c)</w:t>
      </w:r>
      <w:r>
        <w:rPr>
          <w:rFonts w:ascii="Times New Roman" w:hAnsi="Times New Roman"/>
          <w:sz w:val="20"/>
        </w:rPr>
        <w:t xml:space="preserve">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has received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In such event, if the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(i) the Federal Funds Effective Rate and (ii) a rate determined by the Administrative Agent in accordance with banking industry rules on interbank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Unless the Administrative Agent shall have received notice from a Lender prior to the proposed date in a Borrowing Request of any Borrowing of SOFR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sz w:val="20"/>
          <w:u w:val="single"/>
        </w:rPr>
        <w:t>Section 2.03</w:t>
      </w:r>
      <w:r>
        <w:rPr>
          <w:rFonts w:ascii="Times New Roman" w:hAnsi="Times New Roman"/>
          <w:sz w:val="20"/>
        </w:rPr>
        <w:t xml:space="preserve">. If any Lender fails to make any payment required to be made by it pursuant to </w:t>
      </w:r>
      <w:r>
        <w:rPr>
          <w:rFonts w:ascii="Times New Roman" w:hAnsi="Times New Roman"/>
          <w:sz w:val="20"/>
          <w:u w:val="single"/>
        </w:rPr>
        <w:t>Section 2.07(b)</w:t>
      </w:r>
      <w:r>
        <w:rPr>
          <w:rFonts w:ascii="Times New Roman" w:hAnsi="Times New Roman"/>
          <w:sz w:val="20"/>
        </w:rPr>
        <w:t xml:space="preserve"> or </w:t>
      </w:r>
      <w:r>
        <w:rPr>
          <w:rFonts w:ascii="Times New Roman" w:hAnsi="Times New Roman"/>
          <w:sz w:val="20"/>
          <w:u w:val="single"/>
        </w:rPr>
        <w:t>Section 2.18(d)</w:t>
      </w:r>
      <w:r>
        <w:rPr>
          <w:rFonts w:ascii="Times New Roman" w:hAnsi="Times New Roman"/>
          <w:sz w:val="20"/>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Lender requests compensation under </w:t>
      </w:r>
      <w:r>
        <w:rPr>
          <w:rFonts w:ascii="Times New Roman" w:hAnsi="Times New Roman"/>
          <w:sz w:val="20"/>
          <w:u w:val="single"/>
        </w:rPr>
        <w:t>Section 2.15</w:t>
      </w:r>
      <w:r>
        <w:rPr>
          <w:rFonts w:ascii="Times New Roman" w:hAnsi="Times New Roman"/>
          <w:sz w:val="20"/>
        </w:rPr>
        <w:t xml:space="preserve"> or determines it can no longer make or maintain SOFR Loans pursuant to </w:t>
      </w:r>
      <w:r>
        <w:rPr>
          <w:rFonts w:ascii="Times New Roman" w:hAnsi="Times New Roman"/>
          <w:sz w:val="20"/>
          <w:u w:val="single"/>
        </w:rPr>
        <w:t>Section 2.20</w:t>
      </w:r>
      <w:r>
        <w:rPr>
          <w:rFonts w:ascii="Times New Roman" w:hAnsi="Times New Roman"/>
          <w:sz w:val="20"/>
        </w:rPr>
        <w:t xml:space="preserve">, or any Loan Party is required to pay any additional amount to or indemnify any Lender or any Governmental Authority for the account of any Lender pursuant to </w:t>
      </w:r>
      <w:r>
        <w:rPr>
          <w:rFonts w:ascii="Times New Roman" w:hAnsi="Times New Roman"/>
          <w:sz w:val="20"/>
          <w:u w:val="single"/>
        </w:rPr>
        <w:t>Section 2.17</w:t>
      </w:r>
      <w:r>
        <w:rPr>
          <w:rFonts w:ascii="Times New Roman" w:hAnsi="Times New Roman"/>
          <w:sz w:val="20"/>
        </w:rPr>
        <w:t xml:space="preserve">, then such Lender shall (at the request of the Borrower)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sz w:val="20"/>
          <w:u w:val="single"/>
        </w:rPr>
        <w:t>Section 2.15</w:t>
      </w:r>
      <w:r>
        <w:rPr>
          <w:rFonts w:ascii="Times New Roman" w:hAnsi="Times New Roman"/>
          <w:sz w:val="20"/>
        </w:rPr>
        <w:t xml:space="preserve"> or </w:t>
      </w:r>
      <w:r>
        <w:rPr>
          <w:rFonts w:ascii="Times New Roman" w:hAnsi="Times New Roman"/>
          <w:sz w:val="20"/>
          <w:u w:val="single"/>
        </w:rPr>
        <w:t>2.17</w:t>
      </w:r>
      <w:r>
        <w:rPr>
          <w:rFonts w:ascii="Times New Roman" w:hAnsi="Times New Roman"/>
          <w:sz w:val="20"/>
        </w:rPr>
        <w:t xml:space="preserve">, as applicable, in the future or mitigate the impact of </w:t>
      </w:r>
      <w:r>
        <w:rPr>
          <w:rFonts w:ascii="Times New Roman" w:hAnsi="Times New Roman"/>
          <w:sz w:val="20"/>
          <w:u w:val="single"/>
        </w:rPr>
        <w:t>Section 2.20</w:t>
      </w:r>
      <w:r>
        <w:rPr>
          <w:rFonts w:ascii="Times New Roman" w:hAnsi="Times New Roman"/>
          <w:sz w:val="20"/>
        </w:rPr>
        <w:t xml:space="preserve">,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If (i) any Lender requests compensation under </w:t>
      </w:r>
      <w:r>
        <w:rPr>
          <w:rFonts w:ascii="Times New Roman" w:hAnsi="Times New Roman"/>
          <w:sz w:val="20"/>
          <w:u w:val="single"/>
        </w:rPr>
        <w:t>Section 2.15</w:t>
      </w:r>
      <w:r>
        <w:rPr>
          <w:rFonts w:ascii="Times New Roman" w:hAnsi="Times New Roman"/>
          <w:sz w:val="20"/>
        </w:rPr>
        <w:t xml:space="preserve"> or determines it can no longer make or maintain SOFR Loans pursuant to </w:t>
      </w:r>
      <w:r>
        <w:rPr>
          <w:rFonts w:ascii="Times New Roman" w:hAnsi="Times New Roman"/>
          <w:sz w:val="20"/>
          <w:u w:val="single"/>
        </w:rPr>
        <w:t>Section 2.20</w:t>
      </w:r>
      <w:r>
        <w:rPr>
          <w:rFonts w:ascii="Times New Roman" w:hAnsi="Times New Roman"/>
          <w:sz w:val="20"/>
        </w:rPr>
        <w:t xml:space="preserve">, (ii) any Loan Party is required to pay any additional amount to or indemnify any Lender or any Governmental Authority for the account of any Lender pursuant to </w:t>
      </w:r>
      <w:r>
        <w:rPr>
          <w:rFonts w:ascii="Times New Roman" w:hAnsi="Times New Roman"/>
          <w:sz w:val="20"/>
          <w:u w:val="single"/>
        </w:rPr>
        <w:t>Section 2.17</w:t>
      </w:r>
      <w:r>
        <w:rPr>
          <w:rFonts w:ascii="Times New Roman" w:hAnsi="Times New Roman"/>
          <w:sz w:val="20"/>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w:t>
      </w:r>
      <w:r>
        <w:rPr>
          <w:rFonts w:ascii="Times New Roman" w:hAnsi="Times New Roman"/>
          <w:sz w:val="20"/>
          <w:u w:val="single"/>
        </w:rPr>
        <w:t>provided</w:t>
      </w:r>
      <w:r>
        <w:rPr>
          <w:rFonts w:ascii="Times New Roman" w:hAnsi="Times New Roman"/>
          <w:sz w:val="20"/>
        </w:rPr>
        <w:t xml:space="preserve">, that, if, after giving effect such termination and repayment, the aggregate amount of the Revolving Credit Exposure of any Class exceeds the aggregate amount of the Revolving Commitments of such Class then in effect, then the Borrower shall, not later than the next Business Day, prepay one or more Borrowings or Swingline Loans (and, if no Revolving Loan Borrowings of the applicable Class or Swingline Loans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w:t>
      </w:r>
      <w:r>
        <w:rPr>
          <w:rFonts w:ascii="Times New Roman" w:hAnsi="Times New Roman"/>
          <w:sz w:val="20"/>
          <w:u w:val="single"/>
        </w:rPr>
        <w:t>Section 9.05</w:t>
      </w:r>
      <w:r>
        <w:rPr>
          <w:rFonts w:ascii="Times New Roman" w:hAnsi="Times New Roman"/>
          <w:sz w:val="20"/>
        </w:rPr>
        <w:t xml:space="preserve">), all of its interests, rights and obligations (other than its existing rights to payments pursuant to </w:t>
      </w:r>
      <w:r>
        <w:rPr>
          <w:rFonts w:ascii="Times New Roman" w:hAnsi="Times New Roman"/>
          <w:sz w:val="20"/>
          <w:u w:val="single"/>
        </w:rPr>
        <w:t>Section 2.15</w:t>
      </w:r>
      <w:r>
        <w:rPr>
          <w:rFonts w:ascii="Times New Roman" w:hAnsi="Times New Roman"/>
          <w:sz w:val="20"/>
        </w:rPr>
        <w:t xml:space="preserve"> or </w:t>
      </w:r>
      <w:r>
        <w:rPr>
          <w:rFonts w:ascii="Times New Roman" w:hAnsi="Times New Roman"/>
          <w:sz w:val="20"/>
          <w:u w:val="single"/>
        </w:rPr>
        <w:t>Section 2.17</w:t>
      </w:r>
      <w:r>
        <w:rPr>
          <w:rFonts w:ascii="Times New Roman" w:hAnsi="Times New Roman"/>
          <w:sz w:val="20"/>
        </w:rPr>
        <w:t xml:space="preserve">) under this Agreement to an Eligible Assignee that shall assume such obligations (which Eligible Assignee may be another Lender, if any Lender accepts such assignment); </w:t>
      </w:r>
      <w:r>
        <w:rPr>
          <w:rFonts w:ascii="Times New Roman" w:hAnsi="Times New Roman"/>
          <w:sz w:val="20"/>
          <w:u w:val="single"/>
        </w:rPr>
        <w:t>provided</w:t>
      </w:r>
      <w:r>
        <w:rPr>
          <w:rFonts w:ascii="Times New Roman" w:hAnsi="Times New Roman"/>
          <w:sz w:val="20"/>
        </w:rPr>
        <w:t xml:space="preserve">, that (A) such Lender has received payment of an amount equal to the outstanding principal amount of its Loans of such Class and, if applicable, participations in LC Disbursements or Swingline Loans, in each case, of Loans and/or Commitments, accrued interest thereon, accrued fees and all other amounts (including any amounts under </w:t>
      </w:r>
      <w:r>
        <w:rPr>
          <w:rFonts w:ascii="Times New Roman" w:hAnsi="Times New Roman"/>
          <w:sz w:val="20"/>
          <w:u w:val="single"/>
        </w:rPr>
        <w:t>Section 2.16</w:t>
      </w:r>
      <w:r>
        <w:rPr>
          <w:rFonts w:ascii="Times New Roman" w:hAnsi="Times New Roman"/>
          <w:sz w:val="20"/>
        </w:rPr>
        <w:t xml:space="preserve">) payable to it under any Loan Document with respect to such Class of Loans and/or Commitments, (B) in the case of any assignment resulting from a claim for compensation under </w:t>
      </w:r>
      <w:r>
        <w:rPr>
          <w:rFonts w:ascii="Times New Roman" w:hAnsi="Times New Roman"/>
          <w:sz w:val="20"/>
          <w:u w:val="single"/>
        </w:rPr>
        <w:t>Section 2.15</w:t>
      </w:r>
      <w:r>
        <w:rPr>
          <w:rFonts w:ascii="Times New Roman" w:hAnsi="Times New Roman"/>
          <w:sz w:val="20"/>
        </w:rPr>
        <w:t xml:space="preserve"> or payment required to be made pursuant to </w:t>
      </w:r>
      <w:r>
        <w:rPr>
          <w:rFonts w:ascii="Times New Roman" w:hAnsi="Times New Roman"/>
          <w:sz w:val="20"/>
          <w:u w:val="single"/>
        </w:rPr>
        <w:t>Section 2.17</w:t>
      </w:r>
      <w:r>
        <w:rPr>
          <w:rFonts w:ascii="Times New Roman" w:hAnsi="Times New Roman"/>
          <w:sz w:val="20"/>
        </w:rPr>
        <w:t xml:space="preserve">, such assignment would result in a reduction in such compensation or payment, (C) in the case of an assignment resulting from a Lender becoming a non-consenting Lender,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assignee shall have consented to the applicable amendment, waiver or consent, and (D) such assignment does not conflict with applicable Requirements of Law. No Lender (other than a Defaulting Lender) shall be required to make any such assignment and delegation, and the Borrower may not repay the Obligations of such Lender or terminate its Commitments, in each case, if, prior thereto, as a result of a waiver by such Lender or otherwise, the circumstances entitling the Borrower to require such assignment and delegation cease to apply. Each Lender agrees that if it is replaced pursuant to this </w:t>
      </w:r>
      <w:r>
        <w:rPr>
          <w:rFonts w:ascii="Times New Roman" w:hAnsi="Times New Roman"/>
          <w:sz w:val="20"/>
          <w:u w:val="single"/>
        </w:rPr>
        <w:t>Section 2.19</w:t>
      </w:r>
      <w:r>
        <w:rPr>
          <w:rFonts w:ascii="Times New Roman" w:hAnsi="Times New Roman"/>
          <w:sz w:val="20"/>
        </w:rPr>
        <w:t>, it shall execute and deliver to the Administrative Agent an Assignment Agreement to evidence such sale and purchase and deliver to the Administrative Agent any Promissory Note (if the assigning Lender’s Loans are evidenced by one or more Promissory Notes) subject to such Assignment Agreement (</w:t>
      </w:r>
      <w:r>
        <w:rPr>
          <w:rFonts w:ascii="Times New Roman" w:hAnsi="Times New Roman"/>
          <w:sz w:val="20"/>
          <w:u w:val="single"/>
        </w:rPr>
        <w:t>provided</w:t>
      </w:r>
      <w:r>
        <w:rPr>
          <w:rFonts w:ascii="Times New Roman" w:hAnsi="Times New Roman"/>
          <w:sz w:val="20"/>
        </w:rPr>
        <w:t xml:space="preserve">, that the failure of any Lender replaced pursuant to this </w:t>
      </w:r>
      <w:r>
        <w:rPr>
          <w:rFonts w:ascii="Times New Roman" w:hAnsi="Times New Roman"/>
          <w:sz w:val="20"/>
          <w:u w:val="single"/>
        </w:rPr>
        <w:t>Section 2.19</w:t>
      </w:r>
      <w:r>
        <w:rPr>
          <w:rFonts w:ascii="Times New Roman" w:hAnsi="Times New Roman"/>
          <w:sz w:val="20"/>
        </w:rPr>
        <w:t xml:space="preserve"> 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reasonable discretion with prior written notice to such Lender, to take any action and to execute any such Assignment Agreement or other instrument that the Administrative Agent may deem reasonably necessary to carry out the provisions of this </w:t>
      </w:r>
      <w:r>
        <w:rPr>
          <w:rFonts w:ascii="Times New Roman" w:hAnsi="Times New Roman"/>
          <w:sz w:val="20"/>
          <w:u w:val="single"/>
        </w:rPr>
        <w:t>clause (b)</w:t>
      </w:r>
      <w:r>
        <w:rPr>
          <w:rFonts w:ascii="Times New Roman" w:hAnsi="Times New Roman"/>
          <w:sz w:val="20"/>
        </w:rPr>
        <w:t xml:space="preserve">. Any Lender that acts as an Issuing Bank may not be replaced hereunder solely in its capacity as Issuing Bank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The Lender that acts as Administrative Agent cannot be replaced solely in its capacity as Administrative Agent other than in accordance with </w:t>
      </w:r>
      <w:r>
        <w:rPr>
          <w:rFonts w:ascii="Times New Roman" w:hAnsi="Times New Roman"/>
          <w:sz w:val="20"/>
          <w:u w:val="single"/>
        </w:rPr>
        <w:t>Section 8.07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Illegality</w:t>
      </w:r>
      <w:r>
        <w:rPr>
          <w:rFonts w:ascii="Times New Roman" w:hAnsi="Times New Roman"/>
          <w:sz w:val="20"/>
        </w:rPr>
        <w:t>. If any Lender reasonably determines that any Change in Law has made it unlawful, or that any Governmental Authority has asserted after the Closing Date that it is unlawful, for any Lender or its applicable lending office to make, maintain or fund Loans whose interest is determined by reference to SOFR, the Term SOFR Reference Rate or Term SOFR, or to determine or charge interest based upon SOFR, the Term SOFR Reference Rate or Term SOFR, then, upon notice thereof by such Lender to the Borrower (through the Administrative Agent) (an “</w:t>
      </w:r>
      <w:r>
        <w:rPr>
          <w:rFonts w:ascii="Times New Roman" w:hAnsi="Times New Roman"/>
          <w:sz w:val="20"/>
          <w:u w:val="single"/>
        </w:rPr>
        <w:t>Illegality Notice</w:t>
      </w:r>
      <w:r>
        <w:rPr>
          <w:rFonts w:ascii="Times New Roman" w:hAnsi="Times New Roman"/>
          <w:sz w:val="20"/>
        </w:rPr>
        <w:t xml:space="preserve">”), (a) any obligation of the Lenders to make SOFR Loans, and any right of the Borrower to continue SOFR Loans or to convert ABR Loans to SOFR Loans, shall be suspended, and (b) the interest rate on which ABR Loans shall, if necessary to avoid such illegality, be determined by the Administrative Agent without reference to clause (c) of the definition of “Alternate Base Rate”,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Section 2.16.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Defaulting Lenders</w:t>
      </w:r>
      <w:r>
        <w:rPr>
          <w:rFonts w:ascii="Times New Roman" w:hAnsi="Times New Roman"/>
          <w:sz w:val="20"/>
        </w:rPr>
        <w:t xml:space="preserve">. Notwithstanding any provision of this Agreement to the contrary, if any Person becomes a Defaulting Lender, then until such time as such Lender is no longer a Defaulting Lender, to the extent permitted by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(a) Fees shall cease to accrue on the unfunded portion of any Commitment of such Defaulting Lender for any period during which that Lender is a Defaulting Lender pursuant to </w:t>
      </w:r>
      <w:r>
        <w:rPr>
          <w:rFonts w:ascii="Times New Roman" w:hAnsi="Times New Roman"/>
          <w:sz w:val="20"/>
          <w:u w:val="single"/>
        </w:rPr>
        <w:t>Section 2.12(a)</w:t>
      </w:r>
      <w:r>
        <w:rPr>
          <w:rFonts w:ascii="Times New Roman" w:hAnsi="Times New Roman"/>
          <w:sz w:val="20"/>
        </w:rPr>
        <w:t xml:space="preserve"> and, subject to </w:t>
      </w:r>
      <w:r>
        <w:rPr>
          <w:rFonts w:ascii="Times New Roman" w:hAnsi="Times New Roman"/>
          <w:sz w:val="20"/>
          <w:u w:val="single"/>
        </w:rPr>
        <w:t>clause (d)(iv)</w:t>
      </w:r>
      <w:r>
        <w:rPr>
          <w:rFonts w:ascii="Times New Roman" w:hAnsi="Times New Roman"/>
          <w:sz w:val="20"/>
        </w:rPr>
        <w:t xml:space="preserve"> below, on the participation of such Defaulting Lender in Letters of Credit pursuant to </w:t>
      </w:r>
      <w:r>
        <w:rPr>
          <w:rFonts w:ascii="Times New Roman" w:hAnsi="Times New Roman"/>
          <w:sz w:val="20"/>
          <w:u w:val="single"/>
        </w:rPr>
        <w:t>Section 2.12(b)</w:t>
      </w:r>
      <w:r>
        <w:rPr>
          <w:rFonts w:ascii="Times New Roman" w:hAnsi="Times New Roman"/>
          <w:sz w:val="20"/>
        </w:rPr>
        <w:t xml:space="preserve"> and pursuant to any other provisions of this Agreement or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Loans,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(c) Any payment of principal, interest, fees or other amounts received by the Administrative Agent for the account of any Defaulting Lender (whether voluntary or mandatory, at maturity, pursuant to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Section 2.16</w:t>
      </w:r>
      <w:r>
        <w:rPr>
          <w:rFonts w:ascii="Times New Roman" w:hAnsi="Times New Roman"/>
          <w:sz w:val="20"/>
        </w:rPr>
        <w:t xml:space="preserve">, </w:t>
      </w:r>
      <w:r>
        <w:rPr>
          <w:rFonts w:ascii="Times New Roman" w:hAnsi="Times New Roman"/>
          <w:sz w:val="20"/>
          <w:u w:val="single"/>
        </w:rPr>
        <w:t>Section 2.17</w:t>
      </w:r>
      <w:r>
        <w:rPr>
          <w:rFonts w:ascii="Times New Roman" w:hAnsi="Times New Roman"/>
          <w:sz w:val="20"/>
        </w:rPr>
        <w:t xml:space="preserve">, </w:t>
      </w:r>
      <w:r>
        <w:rPr>
          <w:rFonts w:ascii="Times New Roman" w:hAnsi="Times New Roman"/>
          <w:sz w:val="20"/>
          <w:u w:val="single"/>
        </w:rPr>
        <w:t>Section 2.18</w:t>
      </w:r>
      <w:r>
        <w:rPr>
          <w:rFonts w:ascii="Times New Roman" w:hAnsi="Times New Roman"/>
          <w:sz w:val="20"/>
        </w:rPr>
        <w:t xml:space="preserve">, </w:t>
      </w:r>
      <w:r>
        <w:rPr>
          <w:rFonts w:ascii="Times New Roman" w:hAnsi="Times New Roman"/>
          <w:sz w:val="20"/>
          <w:u w:val="single"/>
        </w:rPr>
        <w:t>Article 7</w:t>
      </w:r>
      <w:r>
        <w:rPr>
          <w:rFonts w:ascii="Times New Roman" w:hAnsi="Times New Roman"/>
          <w:sz w:val="20"/>
        </w:rPr>
        <w:t xml:space="preserve">, </w:t>
      </w:r>
      <w:r>
        <w:rPr>
          <w:rFonts w:ascii="Times New Roman" w:hAnsi="Times New Roman"/>
          <w:sz w:val="20"/>
          <w:u w:val="single"/>
        </w:rPr>
        <w:t>Section 9.05</w:t>
      </w:r>
      <w:r>
        <w:rPr>
          <w:rFonts w:ascii="Times New Roman" w:hAnsi="Times New Roman"/>
          <w:sz w:val="20"/>
        </w:rPr>
        <w:t xml:space="preserve"> or otherwise, and including any amounts made available to the Administrative Agent by such Defaulting Lender pursuant to </w:t>
      </w:r>
      <w:r>
        <w:rPr>
          <w:rFonts w:ascii="Times New Roman" w:hAnsi="Times New Roman"/>
          <w:sz w:val="20"/>
          <w:u w:val="single"/>
        </w:rPr>
        <w:t>Section 9.09</w:t>
      </w:r>
      <w:r>
        <w:rPr>
          <w:rFonts w:ascii="Times New Roman" w:hAnsi="Times New Roman"/>
          <w:sz w:val="20"/>
        </w:rPr>
        <w:t xml:space="preserv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 owing by such Defaulting Lender to the Administrative Agent hereunder; </w:t>
      </w:r>
      <w:r>
        <w:rPr>
          <w:rFonts w:ascii="Times New Roman" w:hAnsi="Times New Roman"/>
          <w:sz w:val="20"/>
          <w:u w:val="single"/>
        </w:rPr>
        <w:t>second</w:t>
      </w:r>
      <w:r>
        <w:rPr>
          <w:rFonts w:ascii="Times New Roman" w:hAnsi="Times New Roman"/>
          <w:sz w:val="20"/>
        </w:rPr>
        <w:t xml:space="preserve">, to the payment on a pro rata basis of any amounts owing by such Defaulting Lender to any applicable Issuing Bank hereunder; </w:t>
      </w:r>
      <w:r>
        <w:rPr>
          <w:rFonts w:ascii="Times New Roman" w:hAnsi="Times New Roman"/>
          <w:sz w:val="20"/>
          <w:u w:val="single"/>
        </w:rPr>
        <w:t>third</w:t>
      </w:r>
      <w:r>
        <w:rPr>
          <w:rFonts w:ascii="Times New Roman" w:hAnsi="Times New Roman"/>
          <w:sz w:val="20"/>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hAnsi="Times New Roman"/>
          <w:sz w:val="20"/>
          <w:u w:val="single"/>
        </w:rPr>
        <w:t>fourth</w:t>
      </w:r>
      <w:r>
        <w:rPr>
          <w:rFonts w:ascii="Times New Roman" w:hAnsi="Times New Roman"/>
          <w:sz w:val="20"/>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hAnsi="Times New Roman"/>
          <w:sz w:val="20"/>
          <w:u w:val="single"/>
        </w:rPr>
        <w:t>fifth</w:t>
      </w:r>
      <w:r>
        <w:rPr>
          <w:rFonts w:ascii="Times New Roman" w:hAnsi="Times New Roman"/>
          <w:sz w:val="20"/>
        </w:rPr>
        <w:t xml:space="preserve">, if the Administrative Agent or the Borrower so determine, to be held in a deposit account and released pro rata in order (x) to satisfy obligations of such Defaulting Lender to fund Loans under this Agreement and (y) to hold as Cash collateral the Issuing Banks’ future LC Exposure with respect to such Defaulting Lender with respect to future Letters of Credit issued under this Agreement; </w:t>
      </w:r>
      <w:r>
        <w:rPr>
          <w:rFonts w:ascii="Times New Roman" w:hAnsi="Times New Roman"/>
          <w:sz w:val="20"/>
          <w:u w:val="single"/>
        </w:rPr>
        <w:t>sixth</w:t>
      </w:r>
      <w:r>
        <w:rPr>
          <w:rFonts w:ascii="Times New Roman" w:hAnsi="Times New Roman"/>
          <w:sz w:val="20"/>
        </w:rPr>
        <w:t xml:space="preserve">, to the payment of any amounts owing to the non-Defaulting Lenders, Issuing Banks or Swingline Lenders as a result of any judgment of a court of competent jurisdiction obtained by any non-Defaulting Lender, the Issuing Banks or Swingline Lenders against such Defaulting Lender as a result of such Defaulting Lender’s breach of its obligations under this Agreement; </w:t>
      </w:r>
      <w:r>
        <w:rPr>
          <w:rFonts w:ascii="Times New Roman" w:hAnsi="Times New Roman"/>
          <w:sz w:val="20"/>
          <w:u w:val="single"/>
        </w:rPr>
        <w:t>seventh</w:t>
      </w:r>
      <w:r>
        <w:rPr>
          <w:rFonts w:ascii="Times New Roman" w:hAnsi="Times New Roman"/>
          <w:sz w:val="20"/>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 or LC Exposure in respect of which such Defaulting Lender has not fully funded its appropriate share and (y) such Loans were made or the related Letters of Credit were issued at a time when the conditions set forth in </w:t>
      </w:r>
      <w:r>
        <w:rPr>
          <w:rFonts w:ascii="Times New Roman" w:hAnsi="Times New Roman"/>
          <w:sz w:val="20"/>
          <w:u w:val="single"/>
        </w:rPr>
        <w:t>Section 4.02</w:t>
      </w:r>
      <w:r>
        <w:rPr>
          <w:rFonts w:ascii="Times New Roman" w:hAnsi="Times New Roman"/>
          <w:sz w:val="20"/>
        </w:rPr>
        <w:t xml:space="preserve"> were satisfied or waived, such payment shall be applied solely to pay the Loans of, and LC Exposure owed to, all non-Defaulting Lenders on a pro rata basis prior to being applied to the payment of any Loans of, or LC Exposure owed to, such Defaulting Lender until such time as all Loans and funded and unfunded participations in LC Exposure and Swingline Loans are held by the applicable Lenders pro rata in accordance with the applicable Commitments without giving effect to </w:t>
      </w:r>
      <w:r>
        <w:rPr>
          <w:rFonts w:ascii="Times New Roman" w:hAnsi="Times New Roman"/>
          <w:sz w:val="20"/>
          <w:u w:val="single"/>
        </w:rPr>
        <w:t>clause (d)</w:t>
      </w:r>
      <w:r>
        <w:rPr>
          <w:rFonts w:ascii="Times New Roman" w:hAnsi="Times New Roman"/>
          <w:sz w:val="20"/>
        </w:rPr>
        <w:t xml:space="preserve"> below. Any payments, prepayments or other amounts paid or payable to any Defaulting Lender that are applied (or held) to pay amounts owed by any Defaulting Lender or to post Cash collateral pursuant to this </w:t>
      </w:r>
      <w:r>
        <w:rPr>
          <w:rFonts w:ascii="Times New Roman" w:hAnsi="Times New Roman"/>
          <w:sz w:val="20"/>
          <w:u w:val="single"/>
        </w:rPr>
        <w:t>Section 2.21</w:t>
      </w:r>
      <w:r>
        <w:rPr>
          <w:rFonts w:ascii="Times New Roman" w:hAnsi="Times New Roman"/>
          <w:sz w:val="20"/>
        </w:rPr>
        <w:t xml:space="preserve">(c)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(d) If any Swingline Exposure or LC Exposure exists at the time any Revolving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(i) the Swingline Exposure and LC Exposure of such Defaulting Lender shall be reallocated among the non-Defaulting Lenders under the Revolving Facility (the “</w:t>
      </w:r>
      <w:r>
        <w:rPr>
          <w:rFonts w:ascii="Times New Roman" w:hAnsi="Times New Roman"/>
          <w:sz w:val="20"/>
          <w:u w:val="single"/>
        </w:rPr>
        <w:t>Non-Defaulting Revolving Lenders</w:t>
      </w:r>
      <w:r>
        <w:rPr>
          <w:rFonts w:ascii="Times New Roman" w:hAnsi="Times New Roman"/>
          <w:sz w:val="20"/>
        </w:rPr>
        <w:t xml:space="preserve">”) in accordance with their respective Applicable Revolving Credit Percentages but only to the extent that (A) the sum of the Revolving Credit Exposures of all non-Defaulting Lenders attributable to the Revolving Commitments of any Class does not exceed the total of the Revolving Commitments of all Non-Defaulting Revolving Lenders of such Class and (B) the Revolving Credit Exposure of any non-Defaulting Lender that is attributable to its Revolving Commitment of such Class does not exceed such non-Defaulting Lender’s Revolving Commitment of such Class; it being understood and agreed that, subject to </w:t>
      </w:r>
      <w:r>
        <w:rPr>
          <w:rFonts w:ascii="Times New Roman" w:hAnsi="Times New Roman"/>
          <w:sz w:val="20"/>
          <w:u w:val="single"/>
        </w:rPr>
        <w:t>Section 9.23</w:t>
      </w:r>
      <w:r>
        <w:rPr>
          <w:rFonts w:ascii="Times New Roman" w:hAnsi="Times New Roman"/>
          <w:sz w:val="20"/>
        </w:rPr>
        <w:t xml:space="preserve">, no reallocation hereunder shall constitute a waiver or release of any claim of any party hereunder, including any claim of any non-Defaulting Lender, against any Defaulting Lender arising from such Lender’s having become a Defaulting Lender as a result of such non-Defaulting Lender’s increased exposure following such reallocation;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reallocation described in </w:t>
      </w:r>
      <w:r>
        <w:rPr>
          <w:rFonts w:ascii="Times New Roman" w:hAnsi="Times New Roman"/>
          <w:sz w:val="20"/>
          <w:u w:val="single"/>
        </w:rPr>
        <w:t>clause (i)</w:t>
      </w:r>
      <w:r>
        <w:rPr>
          <w:rFonts w:ascii="Times New Roman" w:hAnsi="Times New Roman"/>
          <w:sz w:val="20"/>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101% of such Defaulting Lender’s LC Exposure and any obligations of such Defaulting Lender to fund participations in any Swingline Loans (after giving effect to any partial reallocation pursuant to </w:t>
      </w:r>
      <w:r>
        <w:rPr>
          <w:rFonts w:ascii="Times New Roman" w:hAnsi="Times New Roman"/>
          <w:sz w:val="20"/>
          <w:u w:val="single"/>
        </w:rPr>
        <w:t>clause (i)</w:t>
      </w:r>
      <w:r>
        <w:rPr>
          <w:rFonts w:ascii="Times New Roman" w:hAnsi="Times New Roman"/>
          <w:sz w:val="20"/>
        </w:rPr>
        <w:t xml:space="preserve"> above and any Cash collateral provided by such Defaulting Lender or pursuant to </w:t>
      </w:r>
      <w:r>
        <w:rPr>
          <w:rFonts w:ascii="Times New Roman" w:hAnsi="Times New Roman"/>
          <w:sz w:val="20"/>
          <w:u w:val="single"/>
        </w:rPr>
        <w:t>Section 2.21(c)</w:t>
      </w:r>
      <w:r>
        <w:rPr>
          <w:rFonts w:ascii="Times New Roman" w:hAnsi="Times New Roman"/>
          <w:sz w:val="20"/>
        </w:rPr>
        <w:t xml:space="preserve"> above) or make other arrangements reasonably satisfactory to the Administrative Agent and to the applicable Issuing Bank and/or the Swingline Lender with respect to such LC Exposure and/or Swingline Loans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hAnsi="Times New Roman"/>
          <w:sz w:val="20"/>
          <w:u w:val="single"/>
        </w:rPr>
        <w:t>Section 2.19</w:t>
      </w:r>
      <w:r>
        <w:rPr>
          <w:rFonts w:ascii="Times New Roman" w:hAnsi="Times New Roman"/>
          <w:sz w:val="20"/>
        </w:rPr>
        <w:t xml:space="preserve">)) or (B) the Administrative Agent’s good faith determination that there exists excess Cash collateral (including as a result of any subsequent reallocation of Swingline Loans and LC Exposure among non-Defaulting Lender described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(iii) if the LC Exposure of the non-Defaulting Lenders is reallocated pursuant to this </w:t>
      </w:r>
      <w:r>
        <w:rPr>
          <w:rFonts w:ascii="Times New Roman" w:hAnsi="Times New Roman"/>
          <w:sz w:val="20"/>
          <w:u w:val="single"/>
        </w:rPr>
        <w:t>Section 2.21(d)</w:t>
      </w:r>
      <w:r>
        <w:rPr>
          <w:rFonts w:ascii="Times New Roman" w:hAnsi="Times New Roman"/>
          <w:sz w:val="20"/>
        </w:rPr>
        <w:t xml:space="preserve">, then the fees payable to the Revolving Lenders pursuant to </w:t>
      </w:r>
      <w:r>
        <w:rPr>
          <w:rFonts w:ascii="Times New Roman" w:hAnsi="Times New Roman"/>
          <w:sz w:val="20"/>
          <w:u w:val="single"/>
        </w:rPr>
        <w:t>Sections 2.12(a)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the case may be, shall be adjusted to give effect to such reallocation; and </w:t>
      </w:r>
    </w:p>
    <w:p>
      <w:pPr>
        <w:pStyle w:val="TextBody"/>
        <w:bidi w:val="0"/>
        <w:spacing w:before="120" w:after="0"/>
        <w:jc w:val="left"/>
        <w:rPr>
          <w:rFonts w:ascii="Times New Roman" w:hAnsi="Times New Roman"/>
          <w:sz w:val="20"/>
        </w:rPr>
      </w:pPr>
      <w:r>
        <w:rPr>
          <w:rFonts w:ascii="Times New Roman" w:hAnsi="Times New Roman"/>
          <w:sz w:val="20"/>
        </w:rPr>
        <w:t xml:space="preserve">(iv) if any Defaulting Lender’s LC Exposure is not Cash collateralized, prepaid or reallocated pursuant to this </w:t>
      </w:r>
      <w:r>
        <w:rPr>
          <w:rFonts w:ascii="Times New Roman" w:hAnsi="Times New Roman"/>
          <w:sz w:val="20"/>
          <w:u w:val="single"/>
        </w:rPr>
        <w:t>Section 2.21(d)</w:t>
      </w:r>
      <w:r>
        <w:rPr>
          <w:rFonts w:ascii="Times New Roman" w:hAnsi="Times New Roman"/>
          <w:sz w:val="20"/>
        </w:rPr>
        <w:t xml:space="preserve">, then, without prejudice to any rights or remedies of the applicable Issuing Bank or any Revolving Lender hereunder, all letter of credit fees payable under </w:t>
      </w:r>
      <w:r>
        <w:rPr>
          <w:rFonts w:ascii="Times New Roman" w:hAnsi="Times New Roman"/>
          <w:sz w:val="20"/>
          <w:u w:val="single"/>
        </w:rPr>
        <w:t>Section 2.12(b)</w:t>
      </w:r>
      <w:r>
        <w:rPr>
          <w:rFonts w:ascii="Times New Roman" w:hAnsi="Times New Roman"/>
          <w:sz w:val="20"/>
        </w:rPr>
        <w:t xml:space="preserve"> with respect to such Defaulting Lender’s LC Exposure shall be payable to the applicable Issuing Bank until such Defaulting Lender’s LC Exposure is Cash collateralized or reallocated. </w:t>
      </w:r>
    </w:p>
    <w:p>
      <w:pPr>
        <w:pStyle w:val="TextBody"/>
        <w:bidi w:val="0"/>
        <w:spacing w:before="240" w:after="0"/>
        <w:jc w:val="left"/>
        <w:rPr>
          <w:rFonts w:ascii="Times New Roman" w:hAnsi="Times New Roman"/>
          <w:sz w:val="20"/>
        </w:rPr>
      </w:pPr>
      <w:r>
        <w:rPr>
          <w:rFonts w:ascii="Times New Roman" w:hAnsi="Times New Roman"/>
          <w:sz w:val="20"/>
        </w:rPr>
        <w:t xml:space="preserve">(e) So long as any Revolving Lender is a Defaulting Lender, the Swingline Lender shall not be required to fund any Swingline Loan, and no Issuing Bank shall be required to issue, extend, create, incur, amend or increase any Letter of Credit unless it is reasonably satisfied that the related exposure will be 100% covered by the Revolving Commitments of the non-Defaulting Lenders, Cash collateral provided pursuant to </w:t>
      </w:r>
      <w:r>
        <w:rPr>
          <w:rFonts w:ascii="Times New Roman" w:hAnsi="Times New Roman"/>
          <w:sz w:val="20"/>
          <w:u w:val="single"/>
        </w:rPr>
        <w:t>Section 2.21(c)</w:t>
      </w:r>
      <w:r>
        <w:rPr>
          <w:rFonts w:ascii="Times New Roman" w:hAnsi="Times New Roman"/>
          <w:sz w:val="20"/>
        </w:rPr>
        <w:t xml:space="preserve"> and/or Cash collateral provided in accordance with </w:t>
      </w:r>
      <w:r>
        <w:rPr>
          <w:rFonts w:ascii="Times New Roman" w:hAnsi="Times New Roman"/>
          <w:sz w:val="20"/>
          <w:u w:val="single"/>
        </w:rPr>
        <w:t>Section 2.21(d)</w:t>
      </w:r>
      <w:r>
        <w:rPr>
          <w:rFonts w:ascii="Times New Roman" w:hAnsi="Times New Roman"/>
          <w:sz w:val="20"/>
        </w:rPr>
        <w:t xml:space="preserve">, and participating interests in any such or newly issued, extended or created Letter of Credit or newly made Swingline Loan shall be allocated among Non-Defaulting Revolving Lenders in a manner consistent with </w:t>
      </w:r>
      <w:r>
        <w:rPr>
          <w:rFonts w:ascii="Times New Roman" w:hAnsi="Times New Roman"/>
          <w:sz w:val="20"/>
          <w:u w:val="single"/>
        </w:rPr>
        <w:t>Section 2.21(d)(i)</w:t>
      </w:r>
      <w:r>
        <w:rPr>
          <w:rFonts w:ascii="Times New Roman" w:hAnsi="Times New Roman"/>
          <w:sz w:val="20"/>
        </w:rPr>
        <w:t xml:space="preserve"> (it being understood that Defaulting Lenders shall not participate therein). </w:t>
      </w:r>
    </w:p>
    <w:p>
      <w:pPr>
        <w:pStyle w:val="TextBody"/>
        <w:bidi w:val="0"/>
        <w:spacing w:before="240" w:after="0"/>
        <w:jc w:val="left"/>
        <w:rPr>
          <w:rFonts w:ascii="Times New Roman" w:hAnsi="Times New Roman"/>
          <w:sz w:val="20"/>
        </w:rPr>
      </w:pPr>
      <w:r>
        <w:rPr>
          <w:rFonts w:ascii="Times New Roman" w:hAnsi="Times New Roman"/>
          <w:sz w:val="20"/>
        </w:rPr>
        <w:t xml:space="preserve">(f) In the event that the Administrative Agent and the Borrower agree that any Defaulting Lender has adequately remedied all matters that caused such Lender to be a Defaulting Lender, the Administrative Agent will so notify the parties hereto, whereupon as of the effective date specified in such notice and subject to any conditions set forth therein (which may include arrangements with respect to any Cash collateral), then the Applicable Revolving Credit Percentage of Swingline Exposure and LC Exposure of the Revolving Lenders shall be readjusted to reflect the inclusion of such Lender’s Revolving Commitment, and on such date such Revolving Lender shall purchase at par such of the Revolving Loans of the applicable Class of the other Revolving Lenders or participations in Revolving Loans or take such other actions as the Administrative Agent determines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Lender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Incremental Credit Extensions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Borrower may, at any time, on one or more occasions pursuant to an Incremental Facility Amendment (i) add one or more Classes of term facilities by requesting new commitments to provide such term loans (any such new Class, an “</w:t>
      </w:r>
      <w:r>
        <w:rPr>
          <w:rFonts w:ascii="Times New Roman" w:hAnsi="Times New Roman"/>
          <w:sz w:val="20"/>
          <w:u w:val="single"/>
        </w:rPr>
        <w:t>Incremental Term Facility</w:t>
      </w:r>
      <w:r>
        <w:rPr>
          <w:rFonts w:ascii="Times New Roman" w:hAnsi="Times New Roman"/>
          <w:sz w:val="20"/>
        </w:rPr>
        <w:t>” and any loans made pursuant to an Incremental Term Facility, “</w:t>
      </w:r>
      <w:r>
        <w:rPr>
          <w:rFonts w:ascii="Times New Roman" w:hAnsi="Times New Roman"/>
          <w:sz w:val="20"/>
          <w:u w:val="single"/>
        </w:rPr>
        <w:t>Incremental Term Loans</w:t>
      </w:r>
      <w:r>
        <w:rPr>
          <w:rFonts w:ascii="Times New Roman" w:hAnsi="Times New Roman"/>
          <w:sz w:val="20"/>
        </w:rPr>
        <w:t>”) and/or (ii) increase the aggregate principal amount of the Revolving Loans of any existing Class by requesting new commitments to provide such Revolving Loans (any such increase, an “</w:t>
      </w:r>
      <w:r>
        <w:rPr>
          <w:rFonts w:ascii="Times New Roman" w:hAnsi="Times New Roman"/>
          <w:sz w:val="20"/>
          <w:u w:val="single"/>
        </w:rPr>
        <w:t>Incremental Revolving Facility</w:t>
      </w:r>
      <w:r>
        <w:rPr>
          <w:rFonts w:ascii="Times New Roman" w:hAnsi="Times New Roman"/>
          <w:sz w:val="20"/>
        </w:rPr>
        <w:t>”, and together with any Incremental Term Facility, “</w:t>
      </w:r>
      <w:r>
        <w:rPr>
          <w:rFonts w:ascii="Times New Roman" w:hAnsi="Times New Roman"/>
          <w:sz w:val="20"/>
          <w:u w:val="single"/>
        </w:rPr>
        <w:t>Incremental Facilities</w:t>
      </w:r>
      <w:r>
        <w:rPr>
          <w:rFonts w:ascii="Times New Roman" w:hAnsi="Times New Roman"/>
          <w:sz w:val="20"/>
        </w:rPr>
        <w:t>”; and any loans made pursuant to an Incremental Revolving Facility, “</w:t>
      </w:r>
      <w:r>
        <w:rPr>
          <w:rFonts w:ascii="Times New Roman" w:hAnsi="Times New Roman"/>
          <w:sz w:val="20"/>
          <w:u w:val="single"/>
        </w:rPr>
        <w:t>Incremental Revolving Loans</w:t>
      </w:r>
      <w:r>
        <w:rPr>
          <w:rFonts w:ascii="Times New Roman" w:hAnsi="Times New Roman"/>
          <w:sz w:val="20"/>
        </w:rPr>
        <w:t>” and any Incremental Revolving Loans, together with any Incremental Term Loans, “</w:t>
      </w:r>
      <w:r>
        <w:rPr>
          <w:rFonts w:ascii="Times New Roman" w:hAnsi="Times New Roman"/>
          <w:sz w:val="20"/>
          <w:u w:val="single"/>
        </w:rPr>
        <w:t>Incremental Loans</w:t>
      </w:r>
      <w:r>
        <w:rPr>
          <w:rFonts w:ascii="Times New Roman" w:hAnsi="Times New Roman"/>
          <w:sz w:val="20"/>
        </w:rPr>
        <w:t xml:space="preserve">”) in an aggregate outstanding principal amount not to exceed the Incremental Cap;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no Incremental Commitment in respect of any Incremental Facility may be in an amount that is less than $5,000,000 (or such lesser amount to which the Administrative Agent may reasonably agree), </w:t>
      </w:r>
    </w:p>
    <w:p>
      <w:pPr>
        <w:pStyle w:val="TextBody"/>
        <w:bidi w:val="0"/>
        <w:spacing w:before="120" w:after="0"/>
        <w:jc w:val="left"/>
        <w:rPr>
          <w:rFonts w:ascii="Times New Roman" w:hAnsi="Times New Roman"/>
          <w:sz w:val="20"/>
        </w:rPr>
      </w:pPr>
      <w:r>
        <w:rPr>
          <w:rFonts w:ascii="Times New Roman" w:hAnsi="Times New Roman"/>
          <w:sz w:val="20"/>
        </w:rPr>
        <w:t xml:space="preserve">(ii) except as the Borrower and any Lender may separately agree, no Lender shall be obligated to provide any Incremental Commitment, and the determination to provide any Incremental Commitment shall be within the sole and absolute discretion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(iii) no Incremental Facility or Incremental Loan (nor the creation, provision or implementation thereof) shall require the approval of any existing Lender other than in its capacity, if any, as a lender providing all or part of any Incremental Commitment or Incremental Loan, </w:t>
      </w:r>
    </w:p>
    <w:p>
      <w:pPr>
        <w:pStyle w:val="TextBody"/>
        <w:bidi w:val="0"/>
        <w:spacing w:before="120" w:after="0"/>
        <w:jc w:val="left"/>
        <w:rPr>
          <w:rFonts w:ascii="Times New Roman" w:hAnsi="Times New Roman"/>
          <w:sz w:val="20"/>
        </w:rPr>
      </w:pPr>
      <w:r>
        <w:rPr>
          <w:rFonts w:ascii="Times New Roman" w:hAnsi="Times New Roman"/>
          <w:sz w:val="20"/>
        </w:rPr>
        <w:t xml:space="preserve">(iv) except as otherwise permitted herein, (A) the representations and warranties, covenants and events of default of any Incremental Term Facility may not be materially more favorable (taken as a whole) to the relevant Incremental Lenders than the terms of any then-existing Loans or Commitments unless such terms are reasonably acceptable to the Administrative Agent (it being agreed that any terms contained in such Incremental Term Facility (x) which are applicable only after the Latest Maturity Date then in effect, (y) that are more favorable to the lenders or the agent of such Incremental Facility than those contained in the Loan Documents and are then conformed (or added) to the Loan Documents for the benefit of the Lenders or the Administrative Agent, as applicable, pursuant to the applicable Incremental Facility Amendment, and/or (z) that are consistent with current market terms and conditions (taken as a whole) at the time of incurrence or issuance (as determined by the Borrower in good faith), shall be deemed acceptable to the Administrative Agent) and (B) the terms of any Incremental Revolving Facility shall be identical to the terms of the Class being increased by such Incremental Revolving Facility (other than (x) with respect to the documentation evidencing such Incremental Revolving Facility and (y) with respect to upfront fees, OID or similar fees, it being understood that, if required to consummate such Incremental Revolving Facility increase, the interest rate margins and rate floors may be increased, any call protection provision may be made more favorable to the applicable existing Revolving Lenders and additional upfront or similar fees may be payable to the lenders providing the Incremental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(v) the final maturity date with respect to any Incremental Loans shall be no earlier than the Latest Maturity Date (or earlier than 91 days after the Latest Maturity Date then in effect in the case of any Incremental Loans that are unsecured or junior in right of payment or security to the Initial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(vi) the Weighted Average Life to Maturity of any Incremental Term Facility shall be no shorter than the remaining Weighted Average Life to Maturity of any then-existing Class of Term Loans (without giving effect to any prepayment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(vii)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subject to clauses (iv) through (vi) above, any Incremental Term Facility may otherwise have such customary terms as agreed by the Borrower and the lenders providing such Incremental Term Facility; it being understood and agreed that any Incremental Term Facility may take the form of customary term “b” loans and/or customary term “a” loans , </w:t>
      </w:r>
    </w:p>
    <w:p>
      <w:pPr>
        <w:pStyle w:val="TextBody"/>
        <w:bidi w:val="0"/>
        <w:spacing w:before="120" w:after="0"/>
        <w:jc w:val="left"/>
        <w:rPr>
          <w:rFonts w:ascii="Times New Roman" w:hAnsi="Times New Roman"/>
          <w:sz w:val="20"/>
        </w:rPr>
      </w:pPr>
      <w:r>
        <w:rPr>
          <w:rFonts w:ascii="Times New Roman" w:hAnsi="Times New Roman"/>
          <w:sz w:val="20"/>
        </w:rPr>
        <w:t xml:space="preserve">(ix) to the extent applicable, any fees payable in connection with any Incremental Facility shall be determined by the Borrower and the arrangers and/or lenders providing such Incremental Facility, </w:t>
      </w:r>
    </w:p>
    <w:p>
      <w:pPr>
        <w:pStyle w:val="TextBody"/>
        <w:bidi w:val="0"/>
        <w:spacing w:before="120" w:after="0"/>
        <w:jc w:val="left"/>
        <w:rPr>
          <w:rFonts w:ascii="Times New Roman" w:hAnsi="Times New Roman"/>
          <w:sz w:val="20"/>
        </w:rPr>
      </w:pPr>
      <w:r>
        <w:rPr>
          <w:rFonts w:ascii="Times New Roman" w:hAnsi="Times New Roman"/>
          <w:sz w:val="20"/>
        </w:rPr>
        <w:t xml:space="preserve">(x) (A) any Incremental Term Facility may rank </w:t>
      </w:r>
      <w:r>
        <w:rPr>
          <w:rFonts w:ascii="Times New Roman" w:hAnsi="Times New Roman"/>
          <w:i/>
          <w:sz w:val="20"/>
        </w:rPr>
        <w:t>pari passu</w:t>
      </w:r>
      <w:r>
        <w:rPr>
          <w:rFonts w:ascii="Times New Roman" w:hAnsi="Times New Roman"/>
          <w:sz w:val="20"/>
        </w:rPr>
        <w:t xml:space="preserve"> with or junior to any then-existing Class of Loans in right of payment and/or security or may be unsecured (and to the extent the relevant Incremental Facility is secured or unsecured and subordinated in right of payment to the Obligations, it shall be subject to an Acceptable Intercreditor Agreement) and (B) no Incremental Facility may be (x) guaranteed by any Person (it being understood that the obligations of any Person with respect to any escrow arrangement into which such Incremental Facility proceeds are deposited shall not constitute a guarantee) other than a Loan Guarantor or (y) secured by any assets other than the Collateral (other than with respect to proceeds of such Incremental Facility that are subject to (and only for so long as they are subject to) an escrow or other similar arrangements and any related deposit of Cash or Cash Equivalents to cover interest and premium with respect to such Incremental Facility), </w:t>
      </w:r>
    </w:p>
    <w:p>
      <w:pPr>
        <w:pStyle w:val="TextBody"/>
        <w:bidi w:val="0"/>
        <w:spacing w:before="120" w:after="0"/>
        <w:jc w:val="left"/>
        <w:rPr>
          <w:rFonts w:ascii="Times New Roman" w:hAnsi="Times New Roman"/>
          <w:sz w:val="20"/>
        </w:rPr>
      </w:pPr>
      <w:r>
        <w:rPr>
          <w:rFonts w:ascii="Times New Roman" w:hAnsi="Times New Roman"/>
          <w:sz w:val="20"/>
        </w:rPr>
        <w:t xml:space="preserve">(xi) [reserved], </w:t>
      </w:r>
    </w:p>
    <w:p>
      <w:pPr>
        <w:pStyle w:val="TextBody"/>
        <w:bidi w:val="0"/>
        <w:spacing w:before="120" w:after="0"/>
        <w:jc w:val="left"/>
        <w:rPr>
          <w:rFonts w:ascii="Times New Roman" w:hAnsi="Times New Roman"/>
          <w:sz w:val="20"/>
        </w:rPr>
      </w:pPr>
      <w:r>
        <w:rPr>
          <w:rFonts w:ascii="Times New Roman" w:hAnsi="Times New Roman"/>
          <w:sz w:val="20"/>
        </w:rPr>
        <w:t xml:space="preserve">(xii) subject to </w:t>
      </w:r>
      <w:r>
        <w:rPr>
          <w:rFonts w:ascii="Times New Roman" w:hAnsi="Times New Roman"/>
          <w:sz w:val="20"/>
          <w:u w:val="single"/>
        </w:rPr>
        <w:t>Section 1.10(a)</w:t>
      </w:r>
      <w:r>
        <w:rPr>
          <w:rFonts w:ascii="Times New Roman" w:hAnsi="Times New Roman"/>
          <w:sz w:val="20"/>
        </w:rPr>
        <w:t xml:space="preserve">, except as otherwise agreed by the lenders providing the relevant Incremental Facility, no Event of Default shall exist immediately prior to or after giving effect to such Incremental Facility, </w:t>
      </w:r>
    </w:p>
    <w:p>
      <w:pPr>
        <w:pStyle w:val="TextBody"/>
        <w:bidi w:val="0"/>
        <w:spacing w:before="120" w:after="0"/>
        <w:jc w:val="left"/>
        <w:rPr>
          <w:rFonts w:ascii="Times New Roman" w:hAnsi="Times New Roman"/>
          <w:sz w:val="20"/>
        </w:rPr>
      </w:pPr>
      <w:r>
        <w:rPr>
          <w:rFonts w:ascii="Times New Roman" w:hAnsi="Times New Roman"/>
          <w:sz w:val="20"/>
        </w:rPr>
        <w:t xml:space="preserve">(xiii) the proceeds of any Incremental Facility may be used for working capital and/or other general corporate purposes (including capital expenditures, acquisitions, Investments, Restricted Payments and Restricted Debt Payments and related fees and expenses) and any other use not prohibited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(xiv) if such Incremental Revolving Facility establishes Revolving Commitments of the same Class as any then-existing Class of Revolving Commitments, (1) each Revolving Lender immediately prior to the effectiveness of any Incremental Facility will automatically and without further act be deemed to have assigned to each relevant Incremental Revolving Lender, and each relevant Incremental Revolving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Lender) (x) participations hereunder in Letters of Credit and (y) participations hereunder in Swingline Loans shall be held on a pro rata basis on the basis of their respective Revolving Commitments (after giving effect to any increase in the Revolving Commitment pursuant to this </w:t>
      </w:r>
      <w:r>
        <w:rPr>
          <w:rFonts w:ascii="Times New Roman" w:hAnsi="Times New Roman"/>
          <w:sz w:val="20"/>
          <w:u w:val="single"/>
        </w:rPr>
        <w:t>Section 2.22</w:t>
      </w:r>
      <w:r>
        <w:rPr>
          <w:rFonts w:ascii="Times New Roman" w:hAnsi="Times New Roman"/>
          <w:sz w:val="20"/>
        </w:rPr>
        <w:t xml:space="preserve">) and (2)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Commitments of such Class (after giving effect to any increase in the Revolving Commitment pursuant to this </w:t>
      </w:r>
      <w:r>
        <w:rPr>
          <w:rFonts w:ascii="Times New Roman" w:hAnsi="Times New Roman"/>
          <w:sz w:val="20"/>
          <w:u w:val="single"/>
        </w:rPr>
        <w:t>Section 2.22</w:t>
      </w:r>
      <w:r>
        <w:rPr>
          <w:rFonts w:ascii="Times New Roman" w:hAnsi="Times New Roman"/>
          <w:sz w:val="20"/>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hAnsi="Times New Roman"/>
          <w:sz w:val="20"/>
          <w:u w:val="single"/>
        </w:rPr>
        <w:t>clause (xiv)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Incremental Commitment shall be reduced prior to the Termination Date, other than in connection with any prepayment and/or reduction of the Revolving Commitments as set forth in </w:t>
      </w:r>
      <w:r>
        <w:rPr>
          <w:rFonts w:ascii="Times New Roman" w:hAnsi="Times New Roman"/>
          <w:sz w:val="20"/>
          <w:u w:val="single"/>
        </w:rPr>
        <w:t>Section 2.09(b)</w:t>
      </w:r>
      <w:r>
        <w:rPr>
          <w:rFonts w:ascii="Times New Roman" w:hAnsi="Times New Roman"/>
          <w:sz w:val="20"/>
        </w:rPr>
        <w:t xml:space="preserve"> and/or </w:t>
      </w:r>
      <w:r>
        <w:rPr>
          <w:rFonts w:ascii="Times New Roman" w:hAnsi="Times New Roman"/>
          <w:sz w:val="20"/>
          <w:u w:val="single"/>
        </w:rPr>
        <w:t>Section 2.11(b)</w:t>
      </w:r>
      <w:r>
        <w:rPr>
          <w:rFonts w:ascii="Times New Roman" w:hAnsi="Times New Roman"/>
          <w:sz w:val="20"/>
        </w:rPr>
        <w:t xml:space="preserve">; it is expressly understood and agreed that such prepayment and reduction under </w:t>
      </w:r>
      <w:r>
        <w:rPr>
          <w:rFonts w:ascii="Times New Roman" w:hAnsi="Times New Roman"/>
          <w:sz w:val="20"/>
          <w:u w:val="single"/>
        </w:rPr>
        <w:t>Section 2.09(b)</w:t>
      </w:r>
      <w:r>
        <w:rPr>
          <w:rFonts w:ascii="Times New Roman" w:hAnsi="Times New Roman"/>
          <w:sz w:val="20"/>
        </w:rPr>
        <w:t xml:space="preserve"> and/or </w:t>
      </w:r>
      <w:r>
        <w:rPr>
          <w:rFonts w:ascii="Times New Roman" w:hAnsi="Times New Roman"/>
          <w:sz w:val="20"/>
          <w:u w:val="single"/>
        </w:rPr>
        <w:t>Section 2.11(b)</w:t>
      </w:r>
      <w:r>
        <w:rPr>
          <w:rFonts w:ascii="Times New Roman" w:hAnsi="Times New Roman"/>
          <w:sz w:val="20"/>
        </w:rPr>
        <w:t xml:space="preserve"> of the applicable Incremental Revolving Commitment shall be made on a pro-rata basis with the then existing Revolving Commitments;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on the date of effectiveness of any Incremental Revolving Facility, the Letter of Credit Sublimit and/or the maximum amount of LC Exposure and/or Swingline Loans, as applicable, permitted hereunder shall increase by an amount, if any, agreed upon by the Borrower, the Administrative Agent and the relevant Issuing Banks and/or Swingline Lender, as applicable; it being understood and agreed that the Borrower and any Lender providing any Incremental Revolving Facility may agree that such Lender will provide a portion of the Letter of Credit Sublimit in excess of its Applicable Percentage thereof. </w:t>
      </w:r>
    </w:p>
    <w:p>
      <w:pPr>
        <w:pStyle w:val="TextBody"/>
        <w:bidi w:val="0"/>
        <w:spacing w:before="240" w:after="0"/>
        <w:jc w:val="left"/>
        <w:rPr>
          <w:rFonts w:ascii="Times New Roman" w:hAnsi="Times New Roman"/>
          <w:sz w:val="20"/>
        </w:rPr>
      </w:pPr>
      <w:r>
        <w:rPr>
          <w:rFonts w:ascii="Times New Roman" w:hAnsi="Times New Roman"/>
          <w:sz w:val="20"/>
        </w:rPr>
        <w:t>(b) Incremental Commitments may be provided by any existing Lender, or by any other Eligible Assignee (any such other lender being called an “</w:t>
      </w:r>
      <w:r>
        <w:rPr>
          <w:rFonts w:ascii="Times New Roman" w:hAnsi="Times New Roman"/>
          <w:sz w:val="20"/>
          <w:u w:val="single"/>
        </w:rPr>
        <w:t>Incremental Lender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Administrative Agent (and, in the case of any Incremental Revolving Commitments, any Issuing Bank and the Swingline Lender) shall have a right to consent (such consent not to be unreasonably withheld or delayed) to the relevant Incremental Lender’s provision of Incremental Commitments if such consent would be required under </w:t>
      </w:r>
      <w:r>
        <w:rPr>
          <w:rFonts w:ascii="Times New Roman" w:hAnsi="Times New Roman"/>
          <w:sz w:val="20"/>
          <w:u w:val="single"/>
        </w:rPr>
        <w:t>Section 9.05(b)</w:t>
      </w:r>
      <w:r>
        <w:rPr>
          <w:rFonts w:ascii="Times New Roman" w:hAnsi="Times New Roman"/>
          <w:sz w:val="20"/>
        </w:rPr>
        <w:t xml:space="preserve"> for an assignment of Loans to such Incremental Lender. </w:t>
      </w:r>
    </w:p>
    <w:p>
      <w:pPr>
        <w:pStyle w:val="TextBody"/>
        <w:bidi w:val="0"/>
        <w:spacing w:before="240" w:after="0"/>
        <w:jc w:val="left"/>
        <w:rPr>
          <w:rFonts w:ascii="Times New Roman" w:hAnsi="Times New Roman"/>
          <w:sz w:val="20"/>
        </w:rPr>
      </w:pPr>
      <w:r>
        <w:rPr>
          <w:rFonts w:ascii="Times New Roman" w:hAnsi="Times New Roman"/>
          <w:sz w:val="20"/>
        </w:rPr>
        <w:t xml:space="preserve">(c) 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Incremental Lender shall become a Lender for all purposes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As conditions precedent to the effectiveness of any Incremental Facility or the making of any Incremental Loans, (i) upon its request, the Administrative Agent shall be entitled to receive customary written opinions of counsel, as well as such reaffirmation agreements, supplements and/or amendments as it shall reasonably require, (ii) the Administrative Agent shall be entitled to receive, from each Incremental Lender, an Administrative Questionnaire and such other documents as it shall reasonably require from such Incremental Lender, (iii) the Administrative Agent shall have received, on behalf of the Incremental Lenders, the amount of any fees payable to the Incremental Lenders in respect of such Incremental Facility or Incremental Loans, (iv) subject to </w:t>
      </w:r>
      <w:r>
        <w:rPr>
          <w:rFonts w:ascii="Times New Roman" w:hAnsi="Times New Roman"/>
          <w:sz w:val="20"/>
          <w:u w:val="single"/>
        </w:rPr>
        <w:t>Section 2.22(e)</w:t>
      </w:r>
      <w:r>
        <w:rPr>
          <w:rFonts w:ascii="Times New Roman" w:hAnsi="Times New Roman"/>
          <w:sz w:val="20"/>
        </w:rPr>
        <w:t xml:space="preserve">, the Administrative Agent shall have received a Borrowing Request as if the relevant Incremental Loans were subject to </w:t>
      </w:r>
      <w:r>
        <w:rPr>
          <w:rFonts w:ascii="Times New Roman" w:hAnsi="Times New Roman"/>
          <w:sz w:val="20"/>
          <w:u w:val="single"/>
        </w:rPr>
        <w:t>Section 2.03</w:t>
      </w:r>
      <w:r>
        <w:rPr>
          <w:rFonts w:ascii="Times New Roman" w:hAnsi="Times New Roman"/>
          <w:sz w:val="20"/>
        </w:rPr>
        <w:t xml:space="preserve"> or another written request the form of which is reasonably acceptable to the Administrative Agent (it being understood and agreed that the requirement to deliver a Borrowing Request shall not result in the imposition of any additional condition precedent to the availability of the relevant Incremental Loans) and (v) the Administrative Agent shall be entitled to receive a certificate of the Borrower signed by a Responsible Officer thereof: </w:t>
      </w:r>
    </w:p>
    <w:p>
      <w:pPr>
        <w:pStyle w:val="TextBody"/>
        <w:bidi w:val="0"/>
        <w:spacing w:before="120" w:after="0"/>
        <w:jc w:val="left"/>
        <w:rPr>
          <w:rFonts w:ascii="Times New Roman" w:hAnsi="Times New Roman"/>
          <w:sz w:val="20"/>
        </w:rPr>
      </w:pPr>
      <w:r>
        <w:rPr>
          <w:rFonts w:ascii="Times New Roman" w:hAnsi="Times New Roman"/>
          <w:sz w:val="20"/>
        </w:rPr>
        <w:t xml:space="preserve">(A) certifying and attaching a copy of the resolutions adopted by the governing body of the Borrower approving or consenting to such Incremental Facility or Incremental Loans, and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applicable, certifying that the condition set forth in </w:t>
      </w:r>
      <w:r>
        <w:rPr>
          <w:rFonts w:ascii="Times New Roman" w:hAnsi="Times New Roman"/>
          <w:sz w:val="20"/>
          <w:u w:val="single"/>
        </w:rPr>
        <w:t>Section 2.22(a)(xii)</w:t>
      </w:r>
      <w:r>
        <w:rPr>
          <w:rFonts w:ascii="Times New Roman" w:hAnsi="Times New Roman"/>
          <w:sz w:val="20"/>
        </w:rPr>
        <w:t xml:space="preserve"> above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the Administrative Agent shall have no obligation to confirm or otherwise ascertain whether any conditions precedent to the effectiveness of any Incremental Facility or the making of any Incremental Loans or the execution of any Incremental Facility Amendment have been satisfied and shall incur no liability in connection with executing any Incremental Facility Amendment. </w:t>
      </w:r>
    </w:p>
    <w:p>
      <w:pPr>
        <w:pStyle w:val="TextBody"/>
        <w:bidi w:val="0"/>
        <w:spacing w:before="240" w:after="0"/>
        <w:jc w:val="left"/>
        <w:rPr>
          <w:rFonts w:ascii="Times New Roman" w:hAnsi="Times New Roman"/>
          <w:sz w:val="20"/>
        </w:rPr>
      </w:pPr>
      <w:r>
        <w:rPr>
          <w:rFonts w:ascii="Times New Roman" w:hAnsi="Times New Roman"/>
          <w:sz w:val="20"/>
        </w:rPr>
        <w:t xml:space="preserve">(e) The Lenders hereby irrevocably authorize the Administrative Agent to enter into any Incremental Facility Amendment and/or any amendment to any other Loan Document as may be necessary in order to establish new Classes or sub-Classes in respect of Loans or Commitments pursuant to this </w:t>
      </w:r>
      <w:r>
        <w:rPr>
          <w:rFonts w:ascii="Times New Roman" w:hAnsi="Times New Roman"/>
          <w:sz w:val="20"/>
          <w:u w:val="single"/>
        </w:rPr>
        <w:t>Section 2.22</w:t>
      </w:r>
      <w:r>
        <w:rPr>
          <w:rFonts w:ascii="Times New Roman" w:hAnsi="Times New Roman"/>
          <w:sz w:val="20"/>
        </w:rPr>
        <w:t xml:space="preserve"> and such technical amendments as may be necessary or appropriate in connection with the establishment of such new Classes or sub-Classes, in each case, on terms consistent with this </w:t>
      </w:r>
      <w:r>
        <w:rPr>
          <w:rFonts w:ascii="Times New Roman" w:hAnsi="Times New Roman"/>
          <w:sz w:val="20"/>
          <w:u w:val="single"/>
        </w:rPr>
        <w:t>Section 2.22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2.22</w:t>
      </w:r>
      <w:r>
        <w:rPr>
          <w:rFonts w:ascii="Times New Roman" w:hAnsi="Times New Roman"/>
          <w:sz w:val="20"/>
        </w:rPr>
        <w:t xml:space="preserve"> or in any other provision of any Loan Document, if the proceeds of any Incremental Facility are intended to be applied to finance an acquisition or other Investment and the lenders providing such Incremental Facility so agree, the availability thereof shall be subject to customary “SunGard” or “certain funds” conditionality; </w:t>
      </w:r>
      <w:r>
        <w:rPr>
          <w:rFonts w:ascii="Times New Roman" w:hAnsi="Times New Roman"/>
          <w:sz w:val="20"/>
          <w:u w:val="single"/>
        </w:rPr>
        <w:t>provided</w:t>
      </w:r>
      <w:r>
        <w:rPr>
          <w:rFonts w:ascii="Times New Roman" w:hAnsi="Times New Roman"/>
          <w:sz w:val="20"/>
        </w:rPr>
        <w:t xml:space="preserve">, that if such Incremental Facility increases the Commitments of an existing Class, then such “SunGard” or “certain funds” conditionality shall only apply to the establishment of such Incremental Facility and not any borrowings thereunder. </w:t>
      </w:r>
    </w:p>
    <w:p>
      <w:pPr>
        <w:pStyle w:val="TextBody"/>
        <w:bidi w:val="0"/>
        <w:spacing w:before="240" w:after="0"/>
        <w:jc w:val="left"/>
        <w:rPr>
          <w:rFonts w:ascii="Times New Roman" w:hAnsi="Times New Roman"/>
          <w:sz w:val="20"/>
        </w:rPr>
      </w:pPr>
      <w:r>
        <w:rPr>
          <w:rFonts w:ascii="Times New Roman" w:hAnsi="Times New Roman"/>
          <w:sz w:val="20"/>
        </w:rPr>
        <w:t xml:space="preserve">(g) This </w:t>
      </w:r>
      <w:r>
        <w:rPr>
          <w:rFonts w:ascii="Times New Roman" w:hAnsi="Times New Roman"/>
          <w:sz w:val="20"/>
          <w:u w:val="single"/>
        </w:rPr>
        <w:t>Section 2.22</w:t>
      </w:r>
      <w:r>
        <w:rPr>
          <w:rFonts w:ascii="Times New Roman" w:hAnsi="Times New Roman"/>
          <w:sz w:val="20"/>
        </w:rPr>
        <w:t xml:space="preserve"> shall supersede any provision in </w:t>
      </w:r>
      <w:r>
        <w:rPr>
          <w:rFonts w:ascii="Times New Roman" w:hAnsi="Times New Roman"/>
          <w:sz w:val="20"/>
          <w:u w:val="single"/>
        </w:rPr>
        <w:t>Sections 2.18</w:t>
      </w:r>
      <w:r>
        <w:rPr>
          <w:rFonts w:ascii="Times New Roman" w:hAnsi="Times New Roman"/>
          <w:sz w:val="20"/>
        </w:rPr>
        <w:t xml:space="preserve"> or </w:t>
      </w:r>
      <w:r>
        <w:rPr>
          <w:rFonts w:ascii="Times New Roman" w:hAnsi="Times New Roman"/>
          <w:sz w:val="20"/>
          <w:u w:val="single"/>
        </w:rPr>
        <w:t>9.02</w:t>
      </w:r>
      <w:r>
        <w:rPr>
          <w:rFonts w:ascii="Times New Roman" w:hAnsi="Times New Roman"/>
          <w:sz w:val="20"/>
        </w:rPr>
        <w:t xml:space="preserv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Extensions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Extension of Revolving Commitments</w:t>
      </w:r>
      <w:r>
        <w:rPr>
          <w:rFonts w:ascii="Times New Roman" w:hAnsi="Times New Roman"/>
          <w:sz w:val="20"/>
        </w:rPr>
        <w:t>. The Borrower may at any time and from time to time request that (i) all or a portion of the Revolving Commitments of any Class (each, an “</w:t>
      </w:r>
      <w:r>
        <w:rPr>
          <w:rFonts w:ascii="Times New Roman" w:hAnsi="Times New Roman"/>
          <w:sz w:val="20"/>
          <w:u w:val="single"/>
        </w:rPr>
        <w:t>Existing Revolving Class</w:t>
      </w:r>
      <w:r>
        <w:rPr>
          <w:rFonts w:ascii="Times New Roman" w:hAnsi="Times New Roman"/>
          <w:sz w:val="20"/>
        </w:rPr>
        <w:t>”) be converted or exchanged to extend the scheduled Maturity Date(s) of any payment of principal with respect to all or a portion of any principal amount of such Revolving Commitments (any such Revolving Commitments which have been so extended, “</w:t>
      </w:r>
      <w:r>
        <w:rPr>
          <w:rFonts w:ascii="Times New Roman" w:hAnsi="Times New Roman"/>
          <w:sz w:val="20"/>
          <w:u w:val="single"/>
        </w:rPr>
        <w:t>Extended Revolving Commitments</w:t>
      </w:r>
      <w:r>
        <w:rPr>
          <w:rFonts w:ascii="Times New Roman" w:hAnsi="Times New Roman"/>
          <w:sz w:val="20"/>
        </w:rPr>
        <w:t xml:space="preserve">”) and (ii) to provide for other terms consistent with this </w:t>
      </w:r>
      <w:r>
        <w:rPr>
          <w:rFonts w:ascii="Times New Roman" w:hAnsi="Times New Roman"/>
          <w:sz w:val="20"/>
          <w:u w:val="single"/>
        </w:rPr>
        <w:t>Section 2.23</w:t>
      </w:r>
      <w:r>
        <w:rPr>
          <w:rFonts w:ascii="Times New Roman" w:hAnsi="Times New Roman"/>
          <w:sz w:val="20"/>
        </w:rPr>
        <w:t>. Prior to entering into any Extension Amendment with respect to any Extended Revolving Commitments the Borrower shall provide written notice to the Administrative Agent (and the Administrative Agent shall provide a copy of such notice to each of the Lenders under the applicable Existing Revolving Class, with such request offered equally to all such Lenders of such Existing Revolving Class) (each, an “</w:t>
      </w:r>
      <w:r>
        <w:rPr>
          <w:rFonts w:ascii="Times New Roman" w:hAnsi="Times New Roman"/>
          <w:sz w:val="20"/>
          <w:u w:val="single"/>
        </w:rPr>
        <w:t>Extension Request</w:t>
      </w:r>
      <w:r>
        <w:rPr>
          <w:rFonts w:ascii="Times New Roman" w:hAnsi="Times New Roman"/>
          <w:sz w:val="20"/>
        </w:rPr>
        <w:t xml:space="preserve">”) setting forth the proposed terms of the Extended Revolving Commitments to be established, which terms shall be identical in all material respects to the Revolving Commitments of the Existing Revolving Class from which they are to be extended, except that (i) the scheduled final maturity date shall be extended to a later date than the scheduled final maturity date of the Revolving Commitments of such Existing Revolving Class;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no time shall there be any Classes hereunder (including Extended Revolving Commitments) which have more than four (4) different Maturity Dates (unless otherwise consented to by the Administrative Agent), (ii)(A) the interest rates (including through fixed interest rates), interest margins, rate Floors, upfront fees, funding discounts, original issue discounts and voluntary prepayment terms and premiums with respect to the Extended Revolving Commitments may be different than those for the Revolving Commitments of such Existing Revolving Class and/or (B) additional fees and/or premiums may be payable to the Lenders providing such Extended Revolving Commitments in addition to any of the items contemplated by the preceding </w:t>
      </w:r>
      <w:r>
        <w:rPr>
          <w:rFonts w:ascii="Times New Roman" w:hAnsi="Times New Roman"/>
          <w:sz w:val="20"/>
          <w:u w:val="single"/>
        </w:rPr>
        <w:t>clause (ii)(A)</w:t>
      </w:r>
      <w:r>
        <w:rPr>
          <w:rFonts w:ascii="Times New Roman" w:hAnsi="Times New Roman"/>
          <w:sz w:val="20"/>
        </w:rPr>
        <w:t xml:space="preserve">, in each case, to the extent provided in the applicable Extension Amendment, (iii)(A) except as provided under </w:t>
      </w:r>
      <w:r>
        <w:rPr>
          <w:rFonts w:ascii="Times New Roman" w:hAnsi="Times New Roman"/>
          <w:sz w:val="20"/>
          <w:u w:val="single"/>
        </w:rPr>
        <w:t>clause (iii)(B)</w:t>
      </w:r>
      <w:r>
        <w:rPr>
          <w:rFonts w:ascii="Times New Roman" w:hAnsi="Times New Roman"/>
          <w:sz w:val="20"/>
        </w:rPr>
        <w:t xml:space="preserve"> below, all borrowings under the Extended Revolving Commitments of the applicable Revolving Extension Series and repayments thereunder (other than permanent repayments) may be made on a pro rata basis, less than a pro rata basis or greater than a pro rata basis and (B) the permanent repayment of outstanding Revolving Loans under the Extended Revolving Commitments in connection with a termination of Extended Revolving Commitments may be made on a pro rata basis or less than a pro rata basis (or greater than a pro rata basis (I) with respect to (x) repayments required upon the Maturity Date of the non-extending Revolving Commitments or the Extended Revolving Commitments and (y) repayments made in connection with any refinancing of Extended Revolving Commitments or (II) as compared to any other Revolving Commitments with a later maturity date than such Extended Revolving Commitments), in each case, under this </w:t>
      </w:r>
      <w:r>
        <w:rPr>
          <w:rFonts w:ascii="Times New Roman" w:hAnsi="Times New Roman"/>
          <w:sz w:val="20"/>
          <w:u w:val="single"/>
        </w:rPr>
        <w:t>clause (iii)</w:t>
      </w:r>
      <w:r>
        <w:rPr>
          <w:rFonts w:ascii="Times New Roman" w:hAnsi="Times New Roman"/>
          <w:sz w:val="20"/>
        </w:rPr>
        <w:t xml:space="preserve">, with all other Revolving Commitments and (iv) the Extension Amendment may provide for such other terms and conditions (other than as provided in the foregoing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with respect to the Extended Revolving Commitments that either, at the option of the Borrower, (A) if otherwise not consistent with the Existing Revolving Class, subject to such Extension Request, are not materially more restrictive to the Borrower (as determined by the Borrower in good faith), when taken as a whole, than the terms of such Existing Revolving Class subject to such Extension Request, except, in each case, under this </w:t>
      </w:r>
      <w:r>
        <w:rPr>
          <w:rFonts w:ascii="Times New Roman" w:hAnsi="Times New Roman"/>
          <w:sz w:val="20"/>
          <w:u w:val="single"/>
        </w:rPr>
        <w:t>clause (iv)(A)</w:t>
      </w:r>
      <w:r>
        <w:rPr>
          <w:rFonts w:ascii="Times New Roman" w:hAnsi="Times New Roman"/>
          <w:sz w:val="20"/>
        </w:rPr>
        <w:t xml:space="preserve">, with respect to (I) covenants and other terms applicable solely to any period after the Latest Maturity Date in respect of such Class subject to such Extension Request in effect immediately prior to such Extension Amendment, (II) a Previously Absent Financial Maintenance Covenant (so long as, to the extent that any such terms of any Extended Revolving Commitments contain a Previously Absent Financial Maintenance Covenant that is in effect prior to the applicable Latest Maturity Date of the Revolving Facility such Previously Absent Financial Maintenance Covenant shall be included for the benefit of the Revolving Facility), (III) terms that are, taken as a whole, more favorable to the lenders providing (x) such Extended Revolving Commitments than the terms of the Revolving Facility and are then conformed (or added) to the terms of the Revolving Facility or (IV) terms that are consistent with current market terms and conditions (taken as a whole) at the time of such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determined by the Borrower in good faith), or (B) such terms as are reasonably satisfactory to the Administrative Agent (or in the case of the Revolving Facility, solely to the extent that such terms, provisions and documentation with respect to the Revolving Facility would require consent of any Class of Lenders other than the applicable Revolving Lenders under </w:t>
      </w:r>
      <w:r>
        <w:rPr>
          <w:rFonts w:ascii="Times New Roman" w:hAnsi="Times New Roman"/>
          <w:sz w:val="20"/>
          <w:u w:val="single"/>
        </w:rPr>
        <w:t>Section 9.02</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at the Borrower’s election, (x) to the extent any term or provision is added for the benefit of the Lenders of Extended Revolving Commitments, no consent shall be required from the Administrative Agent or any Lender to the extent that such term or provision is also added, or the features of such term or provision are provided, for the benefit of the Lenders of the Initial Revolving Facility or (y) to the extent any term or provision is added for the benefit of the Lenders of Extended Revolving Commitments, no consent shall be required from the Administrative Agent unless the addition of such term or provision (or the provision of the features thereof) to the Revolving Facility would require the consent of any Class of Lenders other than the applicable Revolving Lenders under </w:t>
      </w:r>
      <w:r>
        <w:rPr>
          <w:rFonts w:ascii="Times New Roman" w:hAnsi="Times New Roman"/>
          <w:sz w:val="20"/>
          <w:u w:val="single"/>
        </w:rPr>
        <w:t>Section 9.02</w:t>
      </w:r>
      <w:r>
        <w:rPr>
          <w:rFonts w:ascii="Times New Roman" w:hAnsi="Times New Roman"/>
          <w:sz w:val="20"/>
        </w:rPr>
        <w:t xml:space="preserve"> or any Lender to the extent that such term or provision is also added, or the features of such term or provision are provided, for the benefit of the Lenders of the Initial Revolving Facility). No Lender shall have any obligation to agree to have any of its Revolving Commitments of any Existing Revolving Class converted into Extended Revolving Commitments pursuant to any Extension Request. Any Extended Revolving Commitments extended pursuant to any Extension Request shall be designated a series (each, a “</w:t>
      </w:r>
      <w:r>
        <w:rPr>
          <w:rFonts w:ascii="Times New Roman" w:hAnsi="Times New Roman"/>
          <w:sz w:val="20"/>
          <w:u w:val="single"/>
        </w:rPr>
        <w:t>Revolving Extension Series</w:t>
      </w:r>
      <w:r>
        <w:rPr>
          <w:rFonts w:ascii="Times New Roman" w:hAnsi="Times New Roman"/>
          <w:sz w:val="20"/>
        </w:rPr>
        <w:t xml:space="preserve">”) of Extended Revolving Commitments for all purposes of this Agreement and shall constitute a separate Class of Revolving Commitments from the Existing Revolving Class from which they were extended; </w:t>
      </w:r>
      <w:r>
        <w:rPr>
          <w:rFonts w:ascii="Times New Roman" w:hAnsi="Times New Roman"/>
          <w:sz w:val="20"/>
          <w:u w:val="single"/>
        </w:rPr>
        <w:t>provided</w:t>
      </w:r>
      <w:r>
        <w:rPr>
          <w:rFonts w:ascii="Times New Roman" w:hAnsi="Times New Roman"/>
          <w:sz w:val="20"/>
        </w:rPr>
        <w:t xml:space="preserve">, that any Extended Revolving Commitments amended from an Existing Revolving Class may, to the extent provided in the applicable Extension Amendment, be designated as an increase in any previously established Revolving Extension Series with respect to such Existing Revolving Class. </w:t>
      </w:r>
    </w:p>
    <w:p>
      <w:pPr>
        <w:pStyle w:val="TextBody"/>
        <w:bidi w:val="0"/>
        <w:spacing w:before="240" w:after="0"/>
        <w:jc w:val="left"/>
        <w:rPr>
          <w:rFonts w:ascii="Times New Roman" w:hAnsi="Times New Roman"/>
          <w:sz w:val="20"/>
        </w:rPr>
      </w:pP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Extension Request</w:t>
      </w:r>
      <w:r>
        <w:rPr>
          <w:rFonts w:ascii="Times New Roman" w:hAnsi="Times New Roman"/>
          <w:sz w:val="20"/>
        </w:rPr>
        <w:t>. The Borrower shall provide the applicable Extension Request to the Administrative Agent at least five (5) Business Days (or such shorter period as the Administrative Agent may determine) prior to the date on which Lenders under the applicable Existing Revolving Class are requested to respond. Any Revolving Lender with a Revolving Commitment under an Existing Revolving Class (each, an “</w:t>
      </w:r>
      <w:r>
        <w:rPr>
          <w:rFonts w:ascii="Times New Roman" w:hAnsi="Times New Roman"/>
          <w:sz w:val="20"/>
          <w:u w:val="single"/>
        </w:rPr>
        <w:t>Extending Revolving Lender</w:t>
      </w:r>
      <w:r>
        <w:rPr>
          <w:rFonts w:ascii="Times New Roman" w:hAnsi="Times New Roman"/>
          <w:sz w:val="20"/>
        </w:rPr>
        <w:t>”) wishing to have all or a portion of its Revolving Commitments of an Existing Revolving Class or Existing Revolving Classes, as applicable, subject to such Extension Request converted or exchanged into Extended Revolving Commitments, as applicable, shall notify the Administrative Agent (each, an “</w:t>
      </w:r>
      <w:r>
        <w:rPr>
          <w:rFonts w:ascii="Times New Roman" w:hAnsi="Times New Roman"/>
          <w:sz w:val="20"/>
          <w:u w:val="single"/>
        </w:rPr>
        <w:t>Extension Election</w:t>
      </w:r>
      <w:r>
        <w:rPr>
          <w:rFonts w:ascii="Times New Roman" w:hAnsi="Times New Roman"/>
          <w:sz w:val="20"/>
        </w:rPr>
        <w:t xml:space="preserve">”) on or prior to the date specified in such Extension Request of the amount of its Revolving Commitments which it has elected to convert or exchange into Extended Revolving Commitments, as applicable. In the event that the aggregate principal amount of Revolving Commitments subject to Extension Elections exceeds the amount of Extended Revolving Commitments requested to be extended pursuant to the Extension Request, the Revolving Commitments subject to Extension Elections shall be converted or exchanged as directed by the Borrower. </w:t>
      </w:r>
    </w:p>
    <w:p>
      <w:pPr>
        <w:pStyle w:val="TextBody"/>
        <w:bidi w:val="0"/>
        <w:spacing w:before="240" w:after="0"/>
        <w:jc w:val="left"/>
        <w:rPr>
          <w:rFonts w:ascii="Times New Roman" w:hAnsi="Times New Roman"/>
          <w:sz w:val="20"/>
        </w:rPr>
      </w:pP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Extension Amendment</w:t>
      </w:r>
      <w:r>
        <w:rPr>
          <w:rFonts w:ascii="Times New Roman" w:hAnsi="Times New Roman"/>
          <w:sz w:val="20"/>
        </w:rPr>
        <w:t>. Extended Revolving Commitments shall be established pursuant to an amendment (each, an “</w:t>
      </w:r>
      <w:r>
        <w:rPr>
          <w:rFonts w:ascii="Times New Roman" w:hAnsi="Times New Roman"/>
          <w:sz w:val="20"/>
          <w:u w:val="single"/>
        </w:rPr>
        <w:t>Extension Amendment</w:t>
      </w:r>
      <w:r>
        <w:rPr>
          <w:rFonts w:ascii="Times New Roman" w:hAnsi="Times New Roman"/>
          <w:sz w:val="20"/>
        </w:rPr>
        <w:t xml:space="preserve">”) to this Agreement (which, notwithstanding anything to the contrary set forth in </w:t>
      </w:r>
      <w:r>
        <w:rPr>
          <w:rFonts w:ascii="Times New Roman" w:hAnsi="Times New Roman"/>
          <w:sz w:val="20"/>
          <w:u w:val="single"/>
        </w:rPr>
        <w:t>Section 9.02</w:t>
      </w:r>
      <w:r>
        <w:rPr>
          <w:rFonts w:ascii="Times New Roman" w:hAnsi="Times New Roman"/>
          <w:sz w:val="20"/>
        </w:rPr>
        <w:t xml:space="preserve">, shall not require the consent of any Lender, other than the Extending Revolving Lenders with respect to the Extended Revolving Commitments established thereby, as the case may be) executed by Holdings, the Borrower, the Administrative Agent and the applicable Extending Revolving Lenders, it being understood that such Extension Amendment shall not require the consent of any Lender, other than (a) the Extending Revolving Lenders with respect to the Extended Revolving Commitments established thereby and (b) with respect to any extension of the Revolving Commitments that results in an extension of Issuing Bank’s obligations with respect to Letters of Credit, the consent of such Issuing Bank. Each request for a Revolving Extension Series of Extended Revolving Commitments proposed to be incurred under this </w:t>
      </w:r>
      <w:r>
        <w:rPr>
          <w:rFonts w:ascii="Times New Roman" w:hAnsi="Times New Roman"/>
          <w:sz w:val="20"/>
          <w:u w:val="single"/>
        </w:rPr>
        <w:t xml:space="preserve">Section 2.23 </w:t>
      </w:r>
      <w:r>
        <w:rPr>
          <w:rFonts w:ascii="Times New Roman" w:hAnsi="Times New Roman"/>
          <w:sz w:val="20"/>
        </w:rPr>
        <w:t xml:space="preserve">shall be in an aggregate principal amount that is not less than $5,000,000 (it being understood that the actual principal amount thereof provided by the applicable Lenders may be lower than such minimum amount), and the Borrower may condition the effectiveness of any Extension Amendment on an Extension Minimum Condition, which may be waived by the Borrower in its sole discretion. In addition to any terms and changes required or permitted by </w:t>
      </w:r>
      <w:r>
        <w:rPr>
          <w:rFonts w:ascii="Times New Roman" w:hAnsi="Times New Roman"/>
          <w:sz w:val="20"/>
          <w:u w:val="single"/>
        </w:rPr>
        <w:t>Section 2.23(a)</w:t>
      </w:r>
      <w:r>
        <w:rPr>
          <w:rFonts w:ascii="Times New Roman" w:hAnsi="Times New Roman"/>
          <w:sz w:val="20"/>
        </w:rPr>
        <w:t xml:space="preserve">, each of the parties hereto agrees that this Agreement and the other Loan Documents may be amended pursuant to an Extension Amendment, without the consent of any other Lenders, to the extent necessary to reflect the existence and terms of the Extended Revolving Commitments,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incurred pursuant thereto. Notwithstanding anything to the contrary in </w:t>
      </w:r>
      <w:r>
        <w:rPr>
          <w:rFonts w:ascii="Times New Roman" w:hAnsi="Times New Roman"/>
          <w:sz w:val="20"/>
          <w:u w:val="single"/>
        </w:rPr>
        <w:t>Section 9.02</w:t>
      </w:r>
      <w:r>
        <w:rPr>
          <w:rFonts w:ascii="Times New Roman" w:hAnsi="Times New Roman"/>
          <w:sz w:val="20"/>
        </w:rPr>
        <w:t xml:space="preserve">, (a) each Extension Amendment may, without the consent of any other Loan Party or Lender, effect such amendments to this Agreement and the other Loan Documents as may be necessary or appropriate, in the reasonable determination of the Administrative Agent and the Borrower, to effect the provisions of this </w:t>
      </w:r>
      <w:r>
        <w:rPr>
          <w:rFonts w:ascii="Times New Roman" w:hAnsi="Times New Roman"/>
          <w:sz w:val="20"/>
          <w:u w:val="single"/>
        </w:rPr>
        <w:t>Section 2.23</w:t>
      </w:r>
      <w:r>
        <w:rPr>
          <w:rFonts w:ascii="Times New Roman" w:hAnsi="Times New Roman"/>
          <w:sz w:val="20"/>
        </w:rPr>
        <w:t xml:space="preserve"> including to effect technical and corresponding amendments to this Agreement and the other Loan Documents and (b) at the option of the Borrower in consultation with the Administrative Agent incorporate terms that would be favorable to existing Lenders of the applicable Class or Classes for the benefit of such existing Lenders of the applicable Class or Classes, in each case, under this clause (b), so long as the Administrative Agent reasonably agrees that such modification is favorable to the applicable Lenders. In connection with any Extension Amendment, the Borrower shall, if reasonably requested by the Administrative Agent, deliver customary reaffirmation agreements and/or such amendments to the Collateral Documents as may be reasonably requested by the Administrative Agent in order to ensure that such Extended Revolving Commitments are provided with the benefit of the applicable Loan Documents. </w:t>
      </w:r>
    </w:p>
    <w:p>
      <w:pPr>
        <w:pStyle w:val="TextBody"/>
        <w:bidi w:val="0"/>
        <w:spacing w:before="240" w:after="0"/>
        <w:jc w:val="left"/>
        <w:rPr>
          <w:rFonts w:ascii="Times New Roman" w:hAnsi="Times New Roman"/>
          <w:sz w:val="20"/>
        </w:rPr>
      </w:pPr>
      <w:r>
        <w:rPr>
          <w:rFonts w:ascii="Times New Roman" w:hAnsi="Times New Roman"/>
          <w:sz w:val="20"/>
          <w:u w:val="single"/>
        </w:rPr>
        <w:t>(d)</w:t>
      </w:r>
      <w:r>
        <w:rPr>
          <w:rFonts w:ascii="Times New Roman" w:hAnsi="Times New Roman"/>
          <w:sz w:val="20"/>
        </w:rPr>
        <w:t xml:space="preserve"> Notwithstanding anything to the contrary contained in this Agreement, on any date on which any Existing Revolving Class is converted or exchanged to extend the related scheduled maturity date(s) in accordance with </w:t>
      </w:r>
      <w:r>
        <w:rPr>
          <w:rFonts w:ascii="Times New Roman" w:hAnsi="Times New Roman"/>
          <w:sz w:val="20"/>
          <w:u w:val="single"/>
        </w:rPr>
        <w:t>Section 2.23(a)</w:t>
      </w:r>
      <w:r>
        <w:rPr>
          <w:rFonts w:ascii="Times New Roman" w:hAnsi="Times New Roman"/>
          <w:sz w:val="20"/>
        </w:rPr>
        <w:t xml:space="preserve">, in the case of the existing Revolving Commitments, of each Extending Revolving Lender, the aggregate principal amount of such existing Loans shall be deemed reduced by an amount equal to the aggregate principal amount of Extended Revolving Commitments so converted or exchanged by such Lender on such date, and the Extended Revolving Commitments shall be established as a separate Class, except as otherwise provided under </w:t>
      </w:r>
      <w:r>
        <w:rPr>
          <w:rFonts w:ascii="Times New Roman" w:hAnsi="Times New Roman"/>
          <w:sz w:val="20"/>
          <w:u w:val="single"/>
        </w:rPr>
        <w:t>Section 2.23(a)</w:t>
      </w:r>
      <w:r>
        <w:rPr>
          <w:rFonts w:ascii="Times New Roman" w:hAnsi="Times New Roman"/>
          <w:sz w:val="20"/>
        </w:rPr>
        <w:t xml:space="preserve">. All Letters of Credit shall be participated on a pro rata basis by each Lender with a Revolving Commitment in accordance with its percentage of the Revolving Commitments existing on the date of the Extension of such Extended Revolving Commitments, without giving effect to changes thereto on an earlier Maturity Date with respect to Letters of Credit theretofore issued). </w:t>
      </w:r>
    </w:p>
    <w:p>
      <w:pPr>
        <w:pStyle w:val="TextBody"/>
        <w:bidi w:val="0"/>
        <w:spacing w:before="240" w:after="0"/>
        <w:jc w:val="left"/>
        <w:rPr>
          <w:rFonts w:ascii="Times New Roman" w:hAnsi="Times New Roman"/>
          <w:sz w:val="20"/>
        </w:rPr>
      </w:pPr>
      <w:r>
        <w:rPr>
          <w:rFonts w:ascii="Times New Roman" w:hAnsi="Times New Roman"/>
          <w:sz w:val="20"/>
          <w:u w:val="single"/>
        </w:rPr>
        <w:t>(e)</w:t>
      </w:r>
      <w:r>
        <w:rPr>
          <w:rFonts w:ascii="Times New Roman" w:hAnsi="Times New Roman"/>
          <w:sz w:val="20"/>
        </w:rPr>
        <w:t xml:space="preserve"> No conversion or exchange of Loans or Revolving Commitments pursuant to any Extension Amendment in accordance with this </w:t>
      </w:r>
      <w:r>
        <w:rPr>
          <w:rFonts w:ascii="Times New Roman" w:hAnsi="Times New Roman"/>
          <w:sz w:val="20"/>
          <w:u w:val="single"/>
        </w:rPr>
        <w:t>Section 2.23</w:t>
      </w:r>
      <w:r>
        <w:rPr>
          <w:rFonts w:ascii="Times New Roman" w:hAnsi="Times New Roman"/>
          <w:sz w:val="20"/>
        </w:rPr>
        <w:t xml:space="preserve"> shall constitute a voluntary or mandatory payment or prepayment for purposes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(f)</w:t>
      </w:r>
      <w:r>
        <w:rPr>
          <w:rFonts w:ascii="Times New Roman" w:hAnsi="Times New Roman"/>
          <w:sz w:val="20"/>
        </w:rPr>
        <w:t xml:space="preserve"> This </w:t>
      </w:r>
      <w:r>
        <w:rPr>
          <w:rFonts w:ascii="Times New Roman" w:hAnsi="Times New Roman"/>
          <w:sz w:val="20"/>
          <w:u w:val="single"/>
        </w:rPr>
        <w:t>Section 2.23</w:t>
      </w:r>
      <w:r>
        <w:rPr>
          <w:rFonts w:ascii="Times New Roman" w:hAnsi="Times New Roman"/>
          <w:sz w:val="20"/>
        </w:rPr>
        <w:t xml:space="preserve"> shall supersede any provisions in Sections </w:t>
      </w:r>
      <w:r>
        <w:rPr>
          <w:rFonts w:ascii="Times New Roman" w:hAnsi="Times New Roman"/>
          <w:sz w:val="20"/>
          <w:u w:val="single"/>
        </w:rPr>
        <w:t>2.18(a)</w:t>
      </w:r>
      <w:r>
        <w:rPr>
          <w:rFonts w:ascii="Times New Roman" w:hAnsi="Times New Roman"/>
          <w:sz w:val="20"/>
        </w:rPr>
        <w:t xml:space="preserve">, </w:t>
      </w:r>
      <w:r>
        <w:rPr>
          <w:rFonts w:ascii="Times New Roman" w:hAnsi="Times New Roman"/>
          <w:sz w:val="20"/>
          <w:u w:val="single"/>
        </w:rPr>
        <w:t>2.18(c)</w:t>
      </w:r>
      <w:r>
        <w:rPr>
          <w:rFonts w:ascii="Times New Roman" w:hAnsi="Times New Roman"/>
          <w:sz w:val="20"/>
        </w:rPr>
        <w:t xml:space="preserve"> or </w:t>
      </w:r>
      <w:r>
        <w:rPr>
          <w:rFonts w:ascii="Times New Roman" w:hAnsi="Times New Roman"/>
          <w:sz w:val="20"/>
          <w:u w:val="single"/>
        </w:rPr>
        <w:t>9.02</w:t>
      </w:r>
      <w:r>
        <w:rPr>
          <w:rFonts w:ascii="Times New Roman" w:hAnsi="Times New Roman"/>
          <w:sz w:val="20"/>
        </w:rPr>
        <w:t xml:space="preserve"> to the contrary. For the avoidance of doubt, any of the provisions of this </w:t>
      </w:r>
      <w:r>
        <w:rPr>
          <w:rFonts w:ascii="Times New Roman" w:hAnsi="Times New Roman"/>
          <w:sz w:val="20"/>
          <w:u w:val="single"/>
        </w:rPr>
        <w:t>Section 2.23</w:t>
      </w:r>
      <w:r>
        <w:rPr>
          <w:rFonts w:ascii="Times New Roman" w:hAnsi="Times New Roman"/>
          <w:sz w:val="20"/>
        </w:rPr>
        <w:t xml:space="preserve"> may be amended with the consent of the Administrative Agent (or the applicable Lenders, if applicable). </w:t>
      </w:r>
    </w:p>
    <w:p>
      <w:pPr>
        <w:pStyle w:val="TextBody"/>
        <w:bidi w:val="0"/>
        <w:spacing w:before="480" w:after="0"/>
        <w:jc w:val="center"/>
        <w:rPr>
          <w:rFonts w:ascii="Times New Roman" w:hAnsi="Times New Roman"/>
          <w:sz w:val="21"/>
        </w:rPr>
      </w:pPr>
      <w:r>
        <w:rPr>
          <w:rFonts w:ascii="Times New Roman" w:hAnsi="Times New Roman"/>
          <w:sz w:val="21"/>
        </w:rPr>
        <w:t xml:space="preserve">ARTICLE 3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As and when required pursuant to </w:t>
      </w:r>
      <w:r>
        <w:rPr>
          <w:rFonts w:ascii="Times New Roman" w:hAnsi="Times New Roman"/>
          <w:sz w:val="20"/>
          <w:u w:val="single"/>
        </w:rPr>
        <w:t>Section 4.01</w:t>
      </w:r>
      <w:r>
        <w:rPr>
          <w:rFonts w:ascii="Times New Roman" w:hAnsi="Times New Roman"/>
          <w:sz w:val="20"/>
        </w:rPr>
        <w:t xml:space="preserve"> and </w:t>
      </w:r>
      <w:r>
        <w:rPr>
          <w:rFonts w:ascii="Times New Roman" w:hAnsi="Times New Roman"/>
          <w:sz w:val="20"/>
          <w:u w:val="single"/>
        </w:rPr>
        <w:t>Section 4.02</w:t>
      </w:r>
      <w:r>
        <w:rPr>
          <w:rFonts w:ascii="Times New Roman" w:hAnsi="Times New Roman"/>
          <w:sz w:val="20"/>
        </w:rPr>
        <w:t xml:space="preserve"> hereof, as applicable, Holdings (solely with respect to </w:t>
      </w:r>
      <w:r>
        <w:rPr>
          <w:rFonts w:ascii="Times New Roman" w:hAnsi="Times New Roman"/>
          <w:sz w:val="20"/>
          <w:u w:val="single"/>
        </w:rPr>
        <w:t>Sections 3.0</w:t>
      </w:r>
      <w:r>
        <w:rPr>
          <w:rFonts w:ascii="Times New Roman" w:hAnsi="Times New Roman"/>
          <w:sz w:val="20"/>
        </w:rPr>
        <w:t xml:space="preserve">1, </w:t>
      </w:r>
      <w:r>
        <w:rPr>
          <w:rFonts w:ascii="Times New Roman" w:hAnsi="Times New Roman"/>
          <w:sz w:val="20"/>
          <w:u w:val="single"/>
        </w:rPr>
        <w:t>3.02</w:t>
      </w:r>
      <w:r>
        <w:rPr>
          <w:rFonts w:ascii="Times New Roman" w:hAnsi="Times New Roman"/>
          <w:sz w:val="20"/>
        </w:rPr>
        <w:t xml:space="preserve">, </w:t>
      </w:r>
      <w:r>
        <w:rPr>
          <w:rFonts w:ascii="Times New Roman" w:hAnsi="Times New Roman"/>
          <w:sz w:val="20"/>
          <w:u w:val="single"/>
        </w:rPr>
        <w:t>3.03</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3.07</w:t>
      </w:r>
      <w:r>
        <w:rPr>
          <w:rFonts w:ascii="Times New Roman" w:hAnsi="Times New Roman"/>
          <w:sz w:val="20"/>
        </w:rPr>
        <w:t xml:space="preserve">, </w:t>
      </w:r>
      <w:r>
        <w:rPr>
          <w:rFonts w:ascii="Times New Roman" w:hAnsi="Times New Roman"/>
          <w:sz w:val="20"/>
          <w:u w:val="single"/>
        </w:rPr>
        <w:t>3.08</w:t>
      </w:r>
      <w:r>
        <w:rPr>
          <w:rFonts w:ascii="Times New Roman" w:hAnsi="Times New Roman"/>
          <w:sz w:val="20"/>
        </w:rPr>
        <w:t xml:space="preserve">, </w:t>
      </w:r>
      <w:r>
        <w:rPr>
          <w:rFonts w:ascii="Times New Roman" w:hAnsi="Times New Roman"/>
          <w:sz w:val="20"/>
          <w:u w:val="single"/>
        </w:rPr>
        <w:t>3.09</w:t>
      </w:r>
      <w:r>
        <w:rPr>
          <w:rFonts w:ascii="Times New Roman" w:hAnsi="Times New Roman"/>
          <w:sz w:val="20"/>
        </w:rPr>
        <w:t xml:space="preserve">, </w:t>
      </w:r>
      <w:r>
        <w:rPr>
          <w:rFonts w:ascii="Times New Roman" w:hAnsi="Times New Roman"/>
          <w:sz w:val="20"/>
          <w:u w:val="single"/>
        </w:rPr>
        <w:t>3.11</w:t>
      </w:r>
      <w:r>
        <w:rPr>
          <w:rFonts w:ascii="Times New Roman" w:hAnsi="Times New Roman"/>
          <w:sz w:val="20"/>
        </w:rPr>
        <w:t xml:space="preserve">, </w:t>
      </w:r>
      <w:r>
        <w:rPr>
          <w:rFonts w:ascii="Times New Roman" w:hAnsi="Times New Roman"/>
          <w:sz w:val="20"/>
          <w:u w:val="single"/>
        </w:rPr>
        <w:t>3.13</w:t>
      </w:r>
      <w:r>
        <w:rPr>
          <w:rFonts w:ascii="Times New Roman" w:hAnsi="Times New Roman"/>
          <w:sz w:val="20"/>
        </w:rPr>
        <w:t xml:space="preserve">, </w:t>
      </w:r>
      <w:r>
        <w:rPr>
          <w:rFonts w:ascii="Times New Roman" w:hAnsi="Times New Roman"/>
          <w:sz w:val="20"/>
          <w:u w:val="single"/>
        </w:rPr>
        <w:t>3.14</w:t>
      </w:r>
      <w:r>
        <w:rPr>
          <w:rFonts w:ascii="Times New Roman" w:hAnsi="Times New Roman"/>
          <w:sz w:val="20"/>
        </w:rPr>
        <w:t xml:space="preserve">, </w:t>
      </w:r>
      <w:r>
        <w:rPr>
          <w:rFonts w:ascii="Times New Roman" w:hAnsi="Times New Roman"/>
          <w:sz w:val="20"/>
          <w:u w:val="single"/>
        </w:rPr>
        <w:t>3.16</w:t>
      </w:r>
      <w:r>
        <w:rPr>
          <w:rFonts w:ascii="Times New Roman" w:hAnsi="Times New Roman"/>
          <w:sz w:val="20"/>
        </w:rPr>
        <w:t xml:space="preserve"> and </w:t>
      </w:r>
      <w:r>
        <w:rPr>
          <w:rFonts w:ascii="Times New Roman" w:hAnsi="Times New Roman"/>
          <w:sz w:val="20"/>
          <w:u w:val="single"/>
        </w:rPr>
        <w:t>3.17</w:t>
      </w:r>
      <w:r>
        <w:rPr>
          <w:rFonts w:ascii="Times New Roman" w:hAnsi="Times New Roman"/>
          <w:sz w:val="20"/>
        </w:rPr>
        <w:t xml:space="preserve">) and the Borrower hereby represents and warrants to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Holdings, the Borrower and each Subsidiary (a) is (i) duly organized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Times New Roman" w:hAnsi="Times New Roman"/>
          <w:sz w:val="20"/>
          <w:u w:val="single"/>
        </w:rPr>
        <w:t>Section 3.01</w:t>
      </w:r>
      <w:r>
        <w:rPr>
          <w:rFonts w:ascii="Times New Roman" w:hAnsi="Times New Roman"/>
          <w:sz w:val="20"/>
        </w:rPr>
        <w:t xml:space="preserve"> (other than </w:t>
      </w:r>
      <w:r>
        <w:rPr>
          <w:rFonts w:ascii="Times New Roman" w:hAnsi="Times New Roman"/>
          <w:sz w:val="20"/>
          <w:u w:val="single"/>
        </w:rPr>
        <w:t>clause (a)(i)</w:t>
      </w:r>
      <w:r>
        <w:rPr>
          <w:rFonts w:ascii="Times New Roman" w:hAnsi="Times New Roman"/>
          <w:sz w:val="20"/>
        </w:rPr>
        <w:t xml:space="preserve"> and </w:t>
      </w:r>
      <w:r>
        <w:rPr>
          <w:rFonts w:ascii="Times New Roman" w:hAnsi="Times New Roman"/>
          <w:sz w:val="20"/>
          <w:u w:val="single"/>
        </w:rPr>
        <w:t>clause (b)</w:t>
      </w:r>
      <w:r>
        <w:rPr>
          <w:rFonts w:ascii="Times New Roman" w:hAnsi="Times New Roman"/>
          <w:sz w:val="20"/>
        </w:rPr>
        <w:t xml:space="preserve">, in each case, with respect to the Borrower) where the failure to do so,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The execution, delivery and performance by each Loan Party of each Loan Document to which it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The execution and delivery of each Loan Document by each Loan Party thereto and the performance by such Loan Party thereof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could not be reasonably expected to have a Material Adverse Effect, (b) will not violate any (i) of such Loan Party’s Organizational Documents or (ii) Requirement of Law applicable to such Loan Party which violation, in the case of this </w:t>
      </w:r>
      <w:r>
        <w:rPr>
          <w:rFonts w:ascii="Times New Roman" w:hAnsi="Times New Roman"/>
          <w:sz w:val="20"/>
          <w:u w:val="single"/>
        </w:rPr>
        <w:t>clause (b)(ii)</w:t>
      </w:r>
      <w:r>
        <w:rPr>
          <w:rFonts w:ascii="Times New Roman" w:hAnsi="Times New Roman"/>
          <w:sz w:val="20"/>
        </w:rPr>
        <w:t xml:space="preserve">, could reasonably be expected to have a Material Adverse Effect and (c) will not violate or result in a default under any other material Contractual Obligation to which such Loan Party is a party which violation, in the case of this </w:t>
      </w:r>
      <w:r>
        <w:rPr>
          <w:rFonts w:ascii="Times New Roman" w:hAnsi="Times New Roman"/>
          <w:sz w:val="20"/>
          <w:u w:val="single"/>
        </w:rPr>
        <w:t>clause (c)</w:t>
      </w:r>
      <w:r>
        <w:rPr>
          <w:rFonts w:ascii="Times New Roman" w:hAnsi="Times New Roman"/>
          <w:sz w:val="20"/>
        </w:rPr>
        <w:t xml:space="preserve">,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Financial Condition; No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financial statements most recently provided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present fairly, in all material respects, the financial condition and results of operations and cash flows of the Borrower on a consolidated basis as of such dates and for such periods in accordance with GAAP, (i) except as otherwise expressly noted therein and/or (ii) subject, in the case of quarterly financial statements, to the absence of footnotes and normal year-end adjustments. </w:t>
      </w:r>
    </w:p>
    <w:p>
      <w:pPr>
        <w:pStyle w:val="TextBody"/>
        <w:bidi w:val="0"/>
        <w:spacing w:before="240" w:after="0"/>
        <w:jc w:val="left"/>
        <w:rPr>
          <w:rFonts w:ascii="Times New Roman" w:hAnsi="Times New Roman"/>
          <w:sz w:val="20"/>
        </w:rPr>
      </w:pPr>
      <w:r>
        <w:rPr>
          <w:rFonts w:ascii="Times New Roman" w:hAnsi="Times New Roman"/>
          <w:sz w:val="20"/>
        </w:rPr>
        <w:t xml:space="preserve">(b) Since the Closing Date, there have been no events, developments or circumstances that have had, or could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Closing Date, </w:t>
      </w:r>
      <w:r>
        <w:rPr>
          <w:rFonts w:ascii="Times New Roman" w:hAnsi="Times New Roman"/>
          <w:sz w:val="20"/>
          <w:u w:val="single"/>
        </w:rPr>
        <w:t>Schedule 3.05</w:t>
      </w:r>
      <w:r>
        <w:rPr>
          <w:rFonts w:ascii="Times New Roman" w:hAnsi="Times New Roman"/>
          <w:sz w:val="20"/>
        </w:rPr>
        <w:t xml:space="preserve"> sets forth the address of each Real Estate Asset (or each set of such assets that collectively comprise one operating property) that is owned in fee simple by any Loan Party.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each of its Subsidiaries have good and valid fee simple title to or rights to purchase, or valid leasehold interests in, or easements or other limited property interests in, all of their respective Real Estate Assets and have good title to their personal property and assets, in each case, (i) subject to Permitted Liens and (ii) except where the failure to have such title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(c) The Borrower and each of its Subsidiaries own or otherwise have a license or right to use all rights in Patents, Trademarks, Copyrights and other rights in works of authorship (including all Copyrights embodied in software) and all other intellectual property rights (“</w:t>
      </w:r>
      <w:r>
        <w:rPr>
          <w:rFonts w:ascii="Times New Roman" w:hAnsi="Times New Roman"/>
          <w:sz w:val="20"/>
          <w:u w:val="single"/>
        </w:rPr>
        <w:t>IP Rights</w:t>
      </w:r>
      <w:r>
        <w:rPr>
          <w:rFonts w:ascii="Times New Roman" w:hAnsi="Times New Roman"/>
          <w:sz w:val="20"/>
        </w:rPr>
        <w:t xml:space="preserve">”) as such rights are used to conduct their respective businesses as presently conducted without, to the knowledge of the Borrower, any infringement or misappropriation of the IP Rights of third parties, except to the extent the failure to own or license or have rights to use any such IP Rights would not, or where the infringement or misappropriation of any IP Rights of any third party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actions, suits or proceedings by or before any arbitrator or Governmental Authority pending against or, to the knowledge of the Borrower, threatened in writing against or affecting Holdings and/or any of its Subsidiaries which would reasonably be expected, individually or in the aggregate,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for any matters that, individually or in the aggregate, would not reasonably be expected to result in a Material Adverse Effect, (i) neither Holdings nor any of its Subsidiaries is subject to any pending, or to the knowledge of the Borrower, threatened Environmental Claim or knows of any basis for Environmental Liability and (ii) neither Holdings nor any of its Subsidiaries has failed to comply with any Environmental Law or to obtain, maintain or comply with any Governmental Authorization, permit, license or other approval required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(c) Neither Holdings nor any of its Subsidiaries has treated, stored, transported or Released any Hazardous Materials on, at, under or from any currently or formerly owned, leased or operated real estate or facility, or at any other site, in a manner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w:t>
      </w:r>
      <w:r>
        <w:rPr>
          <w:rFonts w:ascii="Times New Roman" w:hAnsi="Times New Roman"/>
          <w:sz w:val="20"/>
        </w:rPr>
        <w:t xml:space="preserve">. Each of Holdings, the Borrower and its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hAnsi="Times New Roman"/>
          <w:sz w:val="20"/>
          <w:u w:val="single"/>
        </w:rPr>
        <w:t>Section 3.07</w:t>
      </w:r>
      <w:r>
        <w:rPr>
          <w:rFonts w:ascii="Times New Roman" w:hAnsi="Times New Roman"/>
          <w:sz w:val="20"/>
        </w:rPr>
        <w:t xml:space="preserve"> shall not apply to the Requirements of Law covered by </w:t>
      </w:r>
      <w:r>
        <w:rPr>
          <w:rFonts w:ascii="Times New Roman" w:hAnsi="Times New Roman"/>
          <w:sz w:val="20"/>
          <w:u w:val="single"/>
        </w:rPr>
        <w:t>Section 3.17</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No Loan Party is an “investment company” as defined in, or is required to be registered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Each of Holdings, the Borrower and its Subsidiaries has timely filed or caused to be filed all Tax returns and reports required to have been filed and has paid or caused to be paid all Taxes required to have been paid by it that are due and payable, except (a) Taxes (or any requirement to file Tax returns with respect thereto) that are being contested in good faith by appropriate proceedings and for which the Borrower or such Subsidiary, as applicable, has set aside on its books adequate reserves in accordance with GAAP or (b) to the extent that the failure to do so,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Plan is in compliance in form and operation with its terms and with ERISA and the Code and all other applicable Requirements of Law, except where any failure to comply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In the five-year period prior to the date on which this representation is made or deemed made, no ERISA Event has occurred and is continuing that, when taken together with all other such ERISA Events for which liability has occurred during such five-year period,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Closing Date, all written information (other than (i) any financial projections, forecasts, financial estimates, other forward-looking information and/or projected information (collectively, “</w:t>
      </w:r>
      <w:r>
        <w:rPr>
          <w:rFonts w:ascii="Times New Roman" w:hAnsi="Times New Roman"/>
          <w:sz w:val="20"/>
          <w:u w:val="single"/>
        </w:rPr>
        <w:t>Projections</w:t>
      </w:r>
      <w:r>
        <w:rPr>
          <w:rFonts w:ascii="Times New Roman" w:hAnsi="Times New Roman"/>
          <w:sz w:val="20"/>
        </w:rPr>
        <w:t>”) and (ii) information of a general economic or industry-specific nature) concerning Holdings, the Borrower and its Subsidiaries prepared by or on behalf of Holdings or its Subsidiaries or their respective representatives on their behalf and made available to any Lender or the Administrative Agent in connection with the Transactions on or before the Closing Date (the “</w:t>
      </w:r>
      <w:r>
        <w:rPr>
          <w:rFonts w:ascii="Times New Roman" w:hAnsi="Times New Roman"/>
          <w:sz w:val="20"/>
          <w:u w:val="single"/>
        </w:rPr>
        <w:t>Information</w:t>
      </w:r>
      <w:r>
        <w:rPr>
          <w:rFonts w:ascii="Times New Roman" w:hAnsi="Times New Roman"/>
          <w:sz w:val="20"/>
        </w:rPr>
        <w:t xml:space="preserve">”),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(b)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Solvency</w:t>
      </w:r>
      <w:r>
        <w:rPr>
          <w:rFonts w:ascii="Times New Roman" w:hAnsi="Times New Roman"/>
          <w:sz w:val="20"/>
        </w:rPr>
        <w:t xml:space="preserve">. As of the Closing Date and after giving effect to the Transactions and the incurrence of the Indebtedness and obligations being incurred in connection with this Agreement and the Transactions, (a) the sum of the debt (including contingent liabilities) of the Borrower and its Subsidiaries, taken as a whole, does not exceed the fair value of the assets (on a going concern basis) of the Borrower and its Subsidiaries, taken as a whole, (b) the capital of the Borrower and its Subsidiaries, taken as a whole, is not unreasonably small in relation to the business of the Borrower and its Subsidiaries, taken as a whole, contemplated as of the Closing Date; and (c) the Borrower and its Subsidiaries, taken as a whole, do not intend to incur, or believe that they will incur, debts (including current obligations and contingent liabilities) beyond their ability to pay such debt as they mature in accordance with their terms. For the purposes of this </w:t>
      </w:r>
      <w:r>
        <w:rPr>
          <w:rFonts w:ascii="Times New Roman" w:hAnsi="Times New Roman"/>
          <w:sz w:val="20"/>
          <w:u w:val="single"/>
        </w:rPr>
        <w:t>Section 3.12</w:t>
      </w:r>
      <w:r>
        <w:rPr>
          <w:rFonts w:ascii="Times New Roman" w:hAnsi="Times New Roman"/>
          <w:sz w:val="20"/>
        </w:rPr>
        <w:t xml:space="preserve">, the amount of any contingent liability at any time will be computed as the amount that, in light of all of the facts and circumstances existing at such time, represents the amount that can reasonably be expected to become an actual or matured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Schedule 3.13</w:t>
      </w:r>
      <w:r>
        <w:rPr>
          <w:rFonts w:ascii="Times New Roman" w:hAnsi="Times New Roman"/>
          <w:sz w:val="20"/>
        </w:rPr>
        <w:t xml:space="preserve"> sets forth, in each case as of the Closing Date, (a) a correct and complete list of the name of Holdings, the Borrower and each Subsidiary of the Borrower and the ownership interest therein held by Holdings, the Borrower or its applicable Subsidiary, and (b) the type of entity of Holdings, the Borrower and each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Security Interest in Collateral</w:t>
      </w:r>
      <w:r>
        <w:rPr>
          <w:rFonts w:ascii="Times New Roman" w:hAnsi="Times New Roman"/>
          <w:sz w:val="20"/>
        </w:rPr>
        <w:t xml:space="preserve">. Subject to the Legal Reservations, the Perfection Requirements and the provisions, limitations and/or exceptions set forth in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such Liens constitute perfected Liens (with the priority that such Liens are expressed to have under the relevant Collateral Documents, unless otherwise permitted hereunder or under any Collateral Document and any Surety Bond Intercreditor Agreement, if applicable) on the Collateral (to the extent such Liens are required to be perfected under the terms of the Loan Documents) securing the Secured Obligations, in each case, as and to the extent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notwithstanding anything herein or in any other Loan Document to the contrary, neither the Borrower nor any Loan Party makes any representation or warranty as to (A) the effect of perfection or non-perfection, the priority or the enforceability of any pledge of or security interest in any Capital Stock of any Non-U.S. Subsidiary, or as to the rights and remedies of the Administrative Agent or any Lender with respect thereto, under foreign Requirements of Law, (B) the enforcement of any security interest, or right or remedy with respect to any Collateral that may be limited or restricted by, or require any consent, authorization approval or license under, any Requirement of Law or (C) on the Closing Date and until required pursuant to </w:t>
      </w:r>
      <w:r>
        <w:rPr>
          <w:rFonts w:ascii="Times New Roman" w:hAnsi="Times New Roman"/>
          <w:sz w:val="20"/>
          <w:u w:val="single"/>
        </w:rPr>
        <w:t>Section 5.12</w:t>
      </w:r>
      <w:r>
        <w:rPr>
          <w:rFonts w:ascii="Times New Roman" w:hAnsi="Times New Roman"/>
          <w:sz w:val="20"/>
        </w:rPr>
        <w:t xml:space="preserve">, the pledge or creation of any security interest, or the effects of perfection or non-perfection, the priority or enforceability of any pledge or security interest to the extent the same is not required on the Closing Date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Labor Disputes</w:t>
      </w:r>
      <w:r>
        <w:rPr>
          <w:rFonts w:ascii="Times New Roman" w:hAnsi="Times New Roman"/>
          <w:sz w:val="20"/>
        </w:rPr>
        <w:t xml:space="preserve">. Except as individually or in the aggregate would not reasonably be expected to have a Material Adverse Effect, (a) there are no strikes, lockouts or slowdowns against the Borrower or any of its Subsidiaries pending or, to the knowledge of the Borrower or any of its Subsidiaries, threatened and (b) the hours worked by and payments made to employees of the Borrower and its Subsidiaries are not in violation of the Fair Labor Standards Act or any other applicable Requirements of Law dealing with such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Federal Reserve Regulations</w:t>
      </w:r>
      <w:r>
        <w:rPr>
          <w:rFonts w:ascii="Times New Roman" w:hAnsi="Times New Roman"/>
          <w:sz w:val="20"/>
        </w:rPr>
        <w:t xml:space="preserve">. No part of the proceeds of any Loan or any Letter of Credit have been used, whether directly or indirectly, and whether immediately, incidentally or ultimately, for any purpose that results in a violation of the provisions of Regulation U.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OFAC; USA PATRIOT ACT and FCPA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None of Holdings, the Borrower nor any Subsidiary nor, to the knowledge of the Borrower, any director, officer or employee of any of the foregoing is the subject of any sanctions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the Treasury of the U.S. Department of State, the United Nations Security Council, the European Union, any European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member state, or His Majesty’s Treasury of the United Kingdom (such sanctions, “</w:t>
      </w:r>
      <w:r>
        <w:rPr>
          <w:rFonts w:ascii="Times New Roman" w:hAnsi="Times New Roman"/>
          <w:sz w:val="20"/>
          <w:u w:val="single"/>
        </w:rPr>
        <w:t>Sanctions</w:t>
      </w:r>
      <w:r>
        <w:rPr>
          <w:rFonts w:ascii="Times New Roman" w:hAnsi="Times New Roman"/>
          <w:sz w:val="20"/>
        </w:rPr>
        <w:t xml:space="preserve">”); and (ii) the Borrower will not directly or, to its knowledge, indirectly, use the proceeds of the Loans or Letters of Credit or otherwise make available such proceeds to any Person for the purpose of financing the activities of any Person that is the subject of any Sanctions, except to the extent licensed or otherwise approved by the applicable Sanctions authorities.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applicable, each Loan Party and each of its Subsidiaries is in compliance, in all material respects, with the USA PATRIOT Act and Sanctions. </w:t>
      </w:r>
    </w:p>
    <w:p>
      <w:pPr>
        <w:pStyle w:val="TextBody"/>
        <w:bidi w:val="0"/>
        <w:spacing w:before="240" w:after="0"/>
        <w:jc w:val="left"/>
        <w:rPr>
          <w:rFonts w:ascii="Times New Roman" w:hAnsi="Times New Roman"/>
          <w:sz w:val="20"/>
        </w:rPr>
      </w:pPr>
      <w:r>
        <w:rPr>
          <w:rFonts w:ascii="Times New Roman" w:hAnsi="Times New Roman"/>
          <w:sz w:val="20"/>
        </w:rPr>
        <w:t>(c) Neither Holdings nor any of its Subsidiaries nor, to the knowledge of the Borrower, any director, officer, agent (solely to the extent acting in its capacity as an agent for Holdings, the Borrower or any of its Subsidiaries) or employee of Holdings or any of its Subsidiaries, has in the last five years taken any action, directly or indirectly, that would result in a material violation by any such Person of the U.S. Foreign Corrupt Practices Act of 1977, as amended (the “</w:t>
      </w:r>
      <w:r>
        <w:rPr>
          <w:rFonts w:ascii="Times New Roman" w:hAnsi="Times New Roman"/>
          <w:sz w:val="20"/>
          <w:u w:val="single"/>
        </w:rPr>
        <w:t>FCPA</w:t>
      </w:r>
      <w:r>
        <w:rPr>
          <w:rFonts w:ascii="Times New Roman" w:hAnsi="Times New Roman"/>
          <w:sz w:val="20"/>
        </w:rPr>
        <w:t xml:space="preserve">”),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or any applicable anti-corruption or anti-briberty Requirement of Law of any Governmental Authority. The Borrower has not directly or, to its knowledge, indirectly, used the proceeds of the Loans or Letters of Credit or otherwise made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 or any applicable anti-corruption or anti-bribery Requirement of Law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set forth above in this </w:t>
      </w:r>
      <w:r>
        <w:rPr>
          <w:rFonts w:ascii="Times New Roman" w:hAnsi="Times New Roman"/>
          <w:sz w:val="20"/>
          <w:u w:val="single"/>
        </w:rPr>
        <w:t>Section 3.17</w:t>
      </w:r>
      <w:r>
        <w:rPr>
          <w:rFonts w:ascii="Times New Roman" w:hAnsi="Times New Roman"/>
          <w:sz w:val="20"/>
        </w:rPr>
        <w:t xml:space="preserve"> made by or on behalf of any Non-U.S. Subsidiary are subject to and limited by any Requirement of Law applicable to such Non-U.S. Subsidiary; it being understood and agreed that to the extent that any Non-U.S. Subsidiary is unable to make any representation or warranty set forth in this </w:t>
      </w:r>
      <w:r>
        <w:rPr>
          <w:rFonts w:ascii="Times New Roman" w:hAnsi="Times New Roman"/>
          <w:sz w:val="20"/>
          <w:u w:val="single"/>
        </w:rPr>
        <w:t>Section 3.17</w:t>
      </w:r>
      <w:r>
        <w:rPr>
          <w:rFonts w:ascii="Times New Roman" w:hAnsi="Times New Roman"/>
          <w:sz w:val="20"/>
        </w:rPr>
        <w:t xml:space="preserve"> as a result of the application of this sentence, such Non-U.S. Subsidiary shall be deemed to have represented and warranted that it is in compliance, in all material respects, with any equivalent Requirement of Law relating to anti-terrorism, anti-corruption, anti-bribery or anti-money laundering that is applicable to such Non-U.S. Subsidiary in its relevant local jurisdiction of organization. </w:t>
      </w:r>
    </w:p>
    <w:p>
      <w:pPr>
        <w:pStyle w:val="TextBody"/>
        <w:bidi w:val="0"/>
        <w:spacing w:before="480" w:after="0"/>
        <w:jc w:val="center"/>
        <w:rPr>
          <w:rFonts w:ascii="Times New Roman" w:hAnsi="Times New Roman"/>
          <w:sz w:val="21"/>
        </w:rPr>
      </w:pPr>
      <w:r>
        <w:rPr>
          <w:rFonts w:ascii="Times New Roman" w:hAnsi="Times New Roman"/>
          <w:sz w:val="21"/>
        </w:rPr>
        <w:t xml:space="preserve">ARTICLE 4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Closing Date</w:t>
      </w:r>
      <w:r>
        <w:rPr>
          <w:rFonts w:ascii="Times New Roman" w:hAnsi="Times New Roman"/>
          <w:sz w:val="20"/>
        </w:rPr>
        <w:t xml:space="preserve">. The obligations of (i) each Lender to make Loans and (ii) any Issuing Bank to issue Letters of Credit, in each case, under this Agreement on the Closing Date, shall not become effective until the date on which each of the following conditions is satisfied (or waived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 and Loan Documents</w:t>
      </w:r>
      <w:r>
        <w:rPr>
          <w:rFonts w:ascii="Times New Roman" w:hAnsi="Times New Roman"/>
          <w:sz w:val="20"/>
        </w:rPr>
        <w:t xml:space="preserve">. The Administrative Agent and the Lenders (or their respective counsel) shall have received from each Loan Party to the extent party thereto, a counterpart signed by such Loan Party (or written evidence reasonably satisfactory to the Administrative Agent and each Lender to the extent party thereto (which may include a copy transmitted by facsimile or other electronic method) that such party has signed a counterpart) of (A) this Agreement, (B) the Agent Fee Letter, (C) the Security Agreement, (D) the Loan Guaranty, (E) any Intellectual Property Security Agreement, (F) each Promissory Note requested by a Lender at least three Business Days prior to the Closing Date, (G) a Perfection Certificate and (G) a Borrowing Request as required by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Legal Opinion</w:t>
      </w:r>
      <w:r>
        <w:rPr>
          <w:rFonts w:ascii="Times New Roman" w:hAnsi="Times New Roman"/>
          <w:sz w:val="20"/>
        </w:rPr>
        <w:t xml:space="preserve">. The Administrative Agent and the Lenders (or their respective counsel shall have received a customary written opinion of Weil, Gotshal &amp; Manges LLP, in its capacity as special counsel for the Loan Parties dated the Closing Date and addressed to the Administrative Agent and the Lenders and each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Financial Statements</w:t>
      </w:r>
      <w:r>
        <w:rPr>
          <w:rFonts w:ascii="Times New Roman" w:hAnsi="Times New Roman"/>
          <w:sz w:val="20"/>
        </w:rPr>
        <w:t xml:space="preserve">. The Lenders shall have received the unaudited financial statements consisting of the balance sheet of Parent and its Subsidiaries as at September 30, 2025 and the related statements of income and retained earnings, stockholders’ equity and cash flow for the three-month period then ended.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Secretary’s Certificate and Good Standing Certificates</w:t>
      </w:r>
      <w:r>
        <w:rPr>
          <w:rFonts w:ascii="Times New Roman" w:hAnsi="Times New Roman"/>
          <w:sz w:val="20"/>
        </w:rPr>
        <w:t xml:space="preserve">. The Administrative Agent and the Lenders (or their respective counsel) shall have received (i) a certificate of the Borrower and each Loan Guarantor, dated the Closing Date and executed by a secretary, assistant secretary or other Responsible Officer thereof, which shall (A) certify that (w) attached thereto is a true and complete copy of the certificate of formation (or equivalent formation document) of the Borrower or such Loan Guarantor, certified by the relevant authority of its jurisdiction of organization, (x) the certificate of formation (or equivalent formation document) of the Borrower or such Loan Guarantor attached thereto has not been amended (except as attached thereto) since the date reflected thereon, (y) attached thereto is a true and correct copy of the operating agreement (or equivalent governing document) of the Borrower or such Loan Guarantor, together with all amendments thereto as of the Closing Date and such operating agreement (or equivalent governing document) is in full force and effect and (z) attached thereto is a true and complete copy of the resolutions or written consent, as applicable, of its board of directors, board of managers, sole member or other applicable governing body authorizing the execution and delivery of the Loan Documents, which resolutions or consent have not been modified, rescinded or amended (other than as attached thereto) and are in full force and effect, and (B) identify by name and title and bear the signatures of the officers, managers or other authorized signatories of the Borrower or such Loan Guarantor who are authorized to sign the Loan Documents to which the Borrower or such Loan Guarantor is a party on the Closing Date and (ii) a good standing (or equivalent) certificate for the Borrower from the relevant authority of its jurisdiction of organization, dated as of a recent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Representations and Warranties</w:t>
      </w:r>
      <w:r>
        <w:rPr>
          <w:rFonts w:ascii="Times New Roman" w:hAnsi="Times New Roman"/>
          <w:sz w:val="20"/>
        </w:rPr>
        <w:t xml:space="preserve">. The representations and warranties of each Loan Party set forth in </w:t>
      </w:r>
      <w:r>
        <w:rPr>
          <w:rFonts w:ascii="Times New Roman" w:hAnsi="Times New Roman"/>
          <w:sz w:val="20"/>
          <w:u w:val="single"/>
        </w:rPr>
        <w:t>Article 3</w:t>
      </w:r>
      <w:r>
        <w:rPr>
          <w:rFonts w:ascii="Times New Roman" w:hAnsi="Times New Roman"/>
          <w:sz w:val="20"/>
        </w:rPr>
        <w:t xml:space="preserve"> and each other Loan Document shall be true and correct in all material respects on and as of the Closing Date, except to the extent such representations and warranties expressly relate to an earlier date, in which case they shall be true and correct in all material respects as of such earlier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Fees</w:t>
      </w:r>
      <w:r>
        <w:rPr>
          <w:rFonts w:ascii="Times New Roman" w:hAnsi="Times New Roman"/>
          <w:sz w:val="20"/>
        </w:rPr>
        <w:t xml:space="preserve">. Prior to or substantially concurrently with the establishment of the Initial Revolving Facility on the Closing Date, (i) all fees required to be paid on the Closing Date pursuant to the Fee Letters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Closing Date Transactions</w:t>
      </w:r>
      <w:r>
        <w:rPr>
          <w:rFonts w:ascii="Times New Roman" w:hAnsi="Times New Roman"/>
          <w:sz w:val="20"/>
        </w:rPr>
        <w:t xml:space="preserve">. Prior to or substantially contemporaneously with the establishment of the Initial Revolving Facility on the Closing Date, the Transactions shall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Solvency</w:t>
      </w:r>
      <w:r>
        <w:rPr>
          <w:rFonts w:ascii="Times New Roman" w:hAnsi="Times New Roman"/>
          <w:sz w:val="20"/>
        </w:rPr>
        <w:t xml:space="preserve">. The Administrative Agent and the Lenders (or their respective counsel) shall have received a certificate in substantially the form of </w:t>
      </w:r>
      <w:r>
        <w:rPr>
          <w:rFonts w:ascii="Times New Roman" w:hAnsi="Times New Roman"/>
          <w:sz w:val="20"/>
          <w:u w:val="single"/>
        </w:rPr>
        <w:t>Exhibit O</w:t>
      </w:r>
      <w:r>
        <w:rPr>
          <w:rFonts w:ascii="Times New Roman" w:hAnsi="Times New Roman"/>
          <w:sz w:val="20"/>
        </w:rPr>
        <w:t xml:space="preserve"> from the chief financial officer (or other officer with reasonably equivalent responsibilities) of the Borrower dated as of the Closing Date and certifying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Default or Event of Default</w:t>
      </w:r>
      <w:r>
        <w:rPr>
          <w:rFonts w:ascii="Times New Roman" w:hAnsi="Times New Roman"/>
          <w:sz w:val="20"/>
        </w:rPr>
        <w:t xml:space="preserve">. No Default or Event of Default shall exist or would result from the consummation of the Transactions on the Closing Date (including from the funding thereof.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Filings, Registrations and Recordings</w:t>
      </w:r>
      <w:r>
        <w:rPr>
          <w:rFonts w:ascii="Times New Roman" w:hAnsi="Times New Roman"/>
          <w:sz w:val="20"/>
        </w:rPr>
        <w:t xml:space="preserve">. Except as may otherwise be agreed by the Administrative Agent, the Administrative Agent shall have received for each Loan Party (i) Uniform Commercial Code financing statements (or the analogous applicable documents) in appropriate form for filing in such jurisdictions as the Administrative Agent may reasonably request and (ii) certificates, if any, representing pledged Capital Stock constituting certificated securities accompanied by undated stock powers executed and blank and instruments, if any, evidencing pledged Indebtedness indorsed in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USA PATRIOT Act, etc.</w:t>
      </w:r>
      <w:r>
        <w:rPr>
          <w:rFonts w:ascii="Times New Roman" w:hAnsi="Times New Roman"/>
          <w:sz w:val="20"/>
        </w:rPr>
        <w:t xml:space="preserve"> The Administrative Agent shall have received, at least three (3) Business Days prior to the Closing Date, (i) all documentation and other information required by regulatory authorities with respect to the Borrower, in each case, under applicable “know your customer” and anti-money laundering rules and regulations, including, without limitation, the USA PATRIOT Act and (ii) if the Borrower qualifies as a “legal entity customer” under the Beneficial Ownership Regulation, a Beneficial Ownership Certification in relation to the Borrower, in each case, that has been reasonably requested by any Lender in writing at least ten (10) Business Days in advance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Material Adverse Effect</w:t>
      </w:r>
      <w:r>
        <w:rPr>
          <w:rFonts w:ascii="Times New Roman" w:hAnsi="Times New Roman"/>
          <w:sz w:val="20"/>
        </w:rPr>
        <w:t xml:space="preserve">. There shall not have occurred since September 30, 2025,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Officer’s Certificate</w:t>
      </w:r>
      <w:r>
        <w:rPr>
          <w:rFonts w:ascii="Times New Roman" w:hAnsi="Times New Roman"/>
          <w:sz w:val="20"/>
        </w:rPr>
        <w:t xml:space="preserve">. The Administrative Agent shall have received a customary certificate from a Responsible Officer of the Borrower certifying the satisfaction of the conditions precedent set forth in </w:t>
      </w:r>
      <w:r>
        <w:rPr>
          <w:rFonts w:ascii="Times New Roman" w:hAnsi="Times New Roman"/>
          <w:sz w:val="20"/>
          <w:u w:val="single"/>
        </w:rPr>
        <w:t>Sections 4.01(e)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and </w:t>
      </w:r>
      <w:r>
        <w:rPr>
          <w:rFonts w:ascii="Times New Roman" w:hAnsi="Times New Roman"/>
          <w:sz w:val="20"/>
          <w:u w:val="single"/>
        </w:rPr>
        <w:t>(l)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whether the conditions specified in this </w:t>
      </w:r>
      <w:r>
        <w:rPr>
          <w:rFonts w:ascii="Times New Roman" w:hAnsi="Times New Roman"/>
          <w:sz w:val="20"/>
          <w:u w:val="single"/>
        </w:rPr>
        <w:t>Section 4.01</w:t>
      </w:r>
      <w:r>
        <w:rPr>
          <w:rFonts w:ascii="Times New Roman" w:hAnsi="Times New Roman"/>
          <w:sz w:val="20"/>
        </w:rPr>
        <w:t xml:space="preserve"> have been satisfied on the Closing Date, by funding the Loans hereunder, the Administrative Agent and each Lender shall be deemed to have consented to, approved or accepted, or to be satisfied with, each document or other matter required hereunder to be consented to or approved by or acceptable or satisfactory to the Administrative Agent or such Lender,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Extension</w:t>
      </w:r>
      <w:r>
        <w:rPr>
          <w:rFonts w:ascii="Times New Roman" w:hAnsi="Times New Roman"/>
          <w:sz w:val="20"/>
        </w:rPr>
        <w:t xml:space="preserve">. After the Closing Date, the obligation of each Revolving Lender and each Issuing Bank to make any Credit Extension is subject to the satisfaction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(i) In the case of any Borrowing, the Administrative Agent shall have received a Borrowing Request as required by </w:t>
      </w:r>
      <w:r>
        <w:rPr>
          <w:rFonts w:ascii="Times New Roman" w:hAnsi="Times New Roman"/>
          <w:sz w:val="20"/>
          <w:u w:val="single"/>
        </w:rPr>
        <w:t>Section 2.03</w:t>
      </w:r>
      <w:r>
        <w:rPr>
          <w:rFonts w:ascii="Times New Roman" w:hAnsi="Times New Roman"/>
          <w:sz w:val="20"/>
        </w:rPr>
        <w:t xml:space="preserve"> or (ii) in the case of the issuance of any Letter of Credit, the applicable Issuing Bank and the Administrative Agent shall have received a Letter of Credit Request as required by </w:t>
      </w:r>
      <w:r>
        <w:rPr>
          <w:rFonts w:ascii="Times New Roman" w:hAnsi="Times New Roman"/>
          <w:sz w:val="20"/>
          <w:u w:val="single"/>
        </w:rPr>
        <w:t>Section 2.05(b)</w:t>
      </w:r>
      <w:r>
        <w:rPr>
          <w:rFonts w:ascii="Times New Roman" w:hAnsi="Times New Roman"/>
          <w:sz w:val="20"/>
        </w:rPr>
        <w:t xml:space="preserve"> or (iii) in the case of any Borrowing of Swingline Loans, the Swingline Lender and the Administrative Agent shall have received a request as required by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Times New Roman" w:hAnsi="Times New Roman"/>
          <w:sz w:val="20"/>
          <w:u w:val="single"/>
        </w:rPr>
        <w:t>provided</w:t>
      </w:r>
      <w:r>
        <w:rPr>
          <w:rFonts w:ascii="Times New Roman" w:hAnsi="Times New Roman"/>
          <w:sz w:val="20"/>
        </w:rPr>
        <w:t xml:space="preserve">, that to the extent that any representation and warranty specifically refers to a given date or period, it shall be true and correct in all material respects as of such date or for such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representation and warranty that is qualified as to “materiality,” “Material Adverse Effect” or similar language shall be true and correct (after giving effect to any qualification therein) in all respects on such respective dates or for such periods. </w:t>
      </w:r>
    </w:p>
    <w:p>
      <w:pPr>
        <w:pStyle w:val="TextBody"/>
        <w:bidi w:val="0"/>
        <w:spacing w:before="240" w:after="0"/>
        <w:jc w:val="left"/>
        <w:rPr>
          <w:rFonts w:ascii="Times New Roman" w:hAnsi="Times New Roman"/>
          <w:sz w:val="20"/>
        </w:rPr>
      </w:pPr>
      <w:r>
        <w:rPr>
          <w:rFonts w:ascii="Times New Roman" w:hAnsi="Times New Roman"/>
          <w:sz w:val="20"/>
        </w:rPr>
        <w:t xml:space="preserve">(c) At the time of and immediately after giving effect to the applicable Credit Extension, no Event of Default or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Each Credit Extension after the Closing Date shall be deemed to constitute a representation and warranty by the Borrower on the date thereof as to the matters specified in </w:t>
      </w:r>
      <w:r>
        <w:rPr>
          <w:rFonts w:ascii="Times New Roman" w:hAnsi="Times New Roman"/>
          <w:sz w:val="20"/>
          <w:u w:val="single"/>
        </w:rPr>
        <w:t>paragraphs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1"/>
        </w:rPr>
      </w:pPr>
      <w:r>
        <w:rPr>
          <w:rFonts w:ascii="Times New Roman" w:hAnsi="Times New Roman"/>
          <w:sz w:val="21"/>
        </w:rPr>
        <w:t xml:space="preserve">ARTICLE 5 </w:t>
      </w:r>
    </w:p>
    <w:p>
      <w:pPr>
        <w:pStyle w:val="TextBody"/>
        <w:bidi w:val="0"/>
        <w:spacing w:before="12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From the Closing Date until the date on which all Commitments have expired or terminated and the principal of and interest on each Loan and all fees, expenses and other amounts payable under any Loan Document (other than (i) contingent indemnification obligations for which no claim or demand has been made and (ii) Banking Services Obligations or obligations under Hedge Agreements as to which arrangements reasonably satisfactory to the applicable counterparty have been made) have been paid in full in Cash and all Letters of Credit have expired or have been terminated (or have been (x) collateralized or back-stopped by a letter of credit or otherwise in a manner reasonably satisfactory to the relevant Issuing Bank or (y) deemed reissued under another agreement in a manner reasonably acceptable to the applicable Issuing Bank and the Administrative Agent) and all LC Disbursements have been reimbursed (such date, the “</w:t>
      </w:r>
      <w:r>
        <w:rPr>
          <w:rFonts w:ascii="Times New Roman" w:hAnsi="Times New Roman"/>
          <w:sz w:val="20"/>
          <w:u w:val="single"/>
        </w:rPr>
        <w:t>Termination Date</w:t>
      </w:r>
      <w:r>
        <w:rPr>
          <w:rFonts w:ascii="Times New Roman" w:hAnsi="Times New Roman"/>
          <w:sz w:val="20"/>
        </w:rPr>
        <w:t xml:space="preserve">”), Holdings (solely with respect to </w:t>
      </w:r>
      <w:r>
        <w:rPr>
          <w:rFonts w:ascii="Times New Roman" w:hAnsi="Times New Roman"/>
          <w:sz w:val="20"/>
          <w:u w:val="single"/>
        </w:rPr>
        <w:t>Section 5.02</w:t>
      </w:r>
      <w:r>
        <w:rPr>
          <w:rFonts w:ascii="Times New Roman" w:hAnsi="Times New Roman"/>
          <w:sz w:val="20"/>
        </w:rPr>
        <w:t xml:space="preserve">, </w:t>
      </w:r>
      <w:r>
        <w:rPr>
          <w:rFonts w:ascii="Times New Roman" w:hAnsi="Times New Roman"/>
          <w:sz w:val="20"/>
          <w:u w:val="single"/>
        </w:rPr>
        <w:t>5.03</w:t>
      </w:r>
      <w:r>
        <w:rPr>
          <w:rFonts w:ascii="Times New Roman" w:hAnsi="Times New Roman"/>
          <w:sz w:val="20"/>
        </w:rPr>
        <w:t xml:space="preserve"> and </w:t>
      </w:r>
      <w:r>
        <w:rPr>
          <w:rFonts w:ascii="Times New Roman" w:hAnsi="Times New Roman"/>
          <w:sz w:val="20"/>
          <w:u w:val="single"/>
        </w:rPr>
        <w:t>5.14</w:t>
      </w:r>
      <w:r>
        <w:rPr>
          <w:rFonts w:ascii="Times New Roman" w:hAnsi="Times New Roman"/>
          <w:sz w:val="20"/>
        </w:rPr>
        <w:t xml:space="preserve">) the Borrower hereby covenants and agrees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Reports</w:t>
      </w:r>
      <w:r>
        <w:rPr>
          <w:rFonts w:ascii="Times New Roman" w:hAnsi="Times New Roman"/>
          <w:sz w:val="20"/>
        </w:rPr>
        <w:t xml:space="preserve">. The Borrower will deliver to the Administrative Agent for delivery by the Administrative Agent, subject to </w:t>
      </w:r>
      <w:r>
        <w:rPr>
          <w:rFonts w:ascii="Times New Roman" w:hAnsi="Times New Roman"/>
          <w:sz w:val="20"/>
          <w:u w:val="single"/>
        </w:rPr>
        <w:t>Section 9.05(f)</w:t>
      </w:r>
      <w:r>
        <w:rPr>
          <w:rFonts w:ascii="Times New Roman" w:hAnsi="Times New Roman"/>
          <w:sz w:val="20"/>
        </w:rPr>
        <w:t xml:space="preserve">,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Quarterly Financial Statements</w:t>
      </w:r>
      <w:r>
        <w:rPr>
          <w:rFonts w:ascii="Times New Roman" w:hAnsi="Times New Roman"/>
          <w:sz w:val="20"/>
        </w:rPr>
        <w:t xml:space="preserve">. Within 45 days after the end of each of the first three Fiscal Quarters of each Fiscal Year, commencing with the Fiscal Quarter ending on or about March 31, 2026, the consolidated balance sheets of the Borrower and its Subsidiaries as at the end of such Fiscal Quarter and the related consolidated statements of income or operations and cash flows of the Borrower and its Subsidiaries for such Fiscal Quarter and for the period from the beginning of the then current Fiscal Year to the end of such Fiscal Quarter, and, commencing after the completion of the fourth full Fiscal Quarter ended after the Closing Date for which financial statements were delivered pursuant to this </w:t>
      </w:r>
      <w:r>
        <w:rPr>
          <w:rFonts w:ascii="Times New Roman" w:hAnsi="Times New Roman"/>
          <w:sz w:val="20"/>
          <w:u w:val="single"/>
        </w:rPr>
        <w:t>Section 5.01(a)</w:t>
      </w:r>
      <w:r>
        <w:rPr>
          <w:rFonts w:ascii="Times New Roman" w:hAnsi="Times New Roman"/>
          <w:sz w:val="20"/>
        </w:rPr>
        <w:t xml:space="preserve">, setting forth,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Financial Statements</w:t>
      </w:r>
      <w:r>
        <w:rPr>
          <w:rFonts w:ascii="Times New Roman" w:hAnsi="Times New Roman"/>
          <w:sz w:val="20"/>
        </w:rPr>
        <w:t xml:space="preserve">. Within 90 days after the end of each Fiscal Year ending after the Closing Date, (i) the consolidated balance sheets of the Borrower and its Subsidiaries as at the end of such Fiscal Year and the related consolidated statements of income or operations, stockholders’ equity and cash flows of the Borrower and its Subsidiaries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 a report thereon of an independent certified public accountant of recognized national standing (which report shall not be subject to (x) a “going concern” qualification (except as resulting from (A) the impending maturity of any Indebtedness, (B) the breach or anticipated breach of any financial covenant and/or (C) the activities, operations, assets or liabilities of any Unrestricted Subsidiary) but may include a “going concern” explanatory paragraph or like statement or (y) a qualification as to the scope of such audit), and shall state that such consolidated financial statements fairly present, in all material respects, the consolidated financial position of the Borrower and its Subsidiaries as at the dates indicated and its income and cash flows for the periods indicated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Certificate</w:t>
      </w:r>
      <w:r>
        <w:rPr>
          <w:rFonts w:ascii="Times New Roman" w:hAnsi="Times New Roman"/>
          <w:sz w:val="20"/>
        </w:rPr>
        <w:t xml:space="preserve">. Together with each delivery of financial statements of the Borrower and its Subsidiaries pursuant to </w:t>
      </w:r>
      <w:r>
        <w:rPr>
          <w:rFonts w:ascii="Times New Roman" w:hAnsi="Times New Roman"/>
          <w:sz w:val="20"/>
          <w:u w:val="single"/>
        </w:rPr>
        <w:t>Sections 5.01(a)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 a duly executed and completed Compliance Certificate and (ii) a Narrative Report;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Notice of Default</w:t>
      </w:r>
      <w:r>
        <w:rPr>
          <w:rFonts w:ascii="Times New Roman" w:hAnsi="Times New Roman"/>
          <w:sz w:val="20"/>
        </w:rPr>
        <w:t xml:space="preserve">. Promptly upon any Responsible Officer of the Borrower obtaining knowledge of (i) any Default or Event of Default or (ii) the occurrence of any event or change that has caused or evidences or would reasonably be expected to cause or evidence, either individually or in the aggregate, a Material Adverse Effect, a reasonably-detailed written notice specifying the nature and period of existence of such condition, event or change and what action the applicable Loan Party has taken, is taking and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Litigation</w:t>
      </w:r>
      <w:r>
        <w:rPr>
          <w:rFonts w:ascii="Times New Roman" w:hAnsi="Times New Roman"/>
          <w:sz w:val="20"/>
        </w:rPr>
        <w:t xml:space="preserve">. Promptly upon any Responsible Officer of the Borrower obtaining knowledge of (i) the institution of any Adverse Proceeding not previously disclosed in writing by the Borrower to the Administrative Agent, or (ii) any material development in any Adverse Proceeding that, in the case of either of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could reasonably be expected to have a Material Adverse Effect, written notice thereof from the Borrower together with such other non-privileged information as may be reasonably available to the Loan Parties to enable the Lenders to evaluate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ERISA</w:t>
      </w:r>
      <w:r>
        <w:rPr>
          <w:rFonts w:ascii="Times New Roman" w:hAnsi="Times New Roman"/>
          <w:sz w:val="20"/>
        </w:rPr>
        <w:t xml:space="preserve">. Promptly upon any Responsible Officer of the Borrower becoming aware of the occurrence of any ERISA Event that could reasonably be expected to have a Material Adverse Effect, a written notice specifying the nature thereof;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Information Regarding Collateral</w:t>
      </w:r>
      <w:r>
        <w:rPr>
          <w:rFonts w:ascii="Times New Roman" w:hAnsi="Times New Roman"/>
          <w:sz w:val="20"/>
        </w:rPr>
        <w:t xml:space="preserve">. Prompt (and, in any event, within 75 days of the relevant change) written notice to the Administrative Agent of any change (i) in any Loan Party’s legal name, (ii) in any Loan Party’s type of organization, (iii) in any Loan Party’s jurisdiction of organization or (iv) in any Loan Party’s organizational identification number, in each case, to the extent such information is necessary to enable the perfection or the maintenance of the perfection and priority of the Administrative Agent’s security interest in the Collateral of the relevant Loan Party, together with a certified copy of the applicable Organizational Document reflecting the relevant change;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Unrestricted Subsidiary Reconciliation</w:t>
      </w:r>
      <w:r>
        <w:rPr>
          <w:rFonts w:ascii="Times New Roman" w:hAnsi="Times New Roman"/>
          <w:sz w:val="20"/>
        </w:rPr>
        <w:t xml:space="preserve">. Concurrently with delivery to the Administrative Agent of each set of consolidated financial statements referred to in </w:t>
      </w:r>
      <w:r>
        <w:rPr>
          <w:rFonts w:ascii="Times New Roman" w:hAnsi="Times New Roman"/>
          <w:sz w:val="20"/>
          <w:u w:val="single"/>
        </w:rPr>
        <w:t>Section 5.01(a)</w:t>
      </w:r>
      <w:r>
        <w:rPr>
          <w:rFonts w:ascii="Times New Roman" w:hAnsi="Times New Roman"/>
          <w:sz w:val="20"/>
        </w:rPr>
        <w:t xml:space="preserve"> and </w:t>
      </w:r>
      <w:r>
        <w:rPr>
          <w:rFonts w:ascii="Times New Roman" w:hAnsi="Times New Roman"/>
          <w:sz w:val="20"/>
          <w:u w:val="single"/>
        </w:rPr>
        <w:t>5.01(b)</w:t>
      </w:r>
      <w:r>
        <w:rPr>
          <w:rFonts w:ascii="Times New Roman" w:hAnsi="Times New Roman"/>
          <w:sz w:val="20"/>
        </w:rPr>
        <w:t xml:space="preserve">, the related consolidating financial statements reflecting the adjustments necessary to eliminate the accounts of Unrestricted Subsidiaries (if any) from such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Certain Reports</w:t>
      </w:r>
      <w:r>
        <w:rPr>
          <w:rFonts w:ascii="Times New Roman" w:hAnsi="Times New Roman"/>
          <w:sz w:val="20"/>
        </w:rPr>
        <w:t xml:space="preserve">. Promptly upon their becoming available and without duplication of any obligations with respect to any such information that is otherwise required to be delivered under the provisions of any Loan Document, copies of (i) all financial statements, reports, notices and proxy statements sent or made available generally by the Borrower, Holdings or its applicable Parent Company to its security holders acting in such capacity and (ii) all regular and periodic reports and all registration statements (other than on Form S-8 or a similar form) and prospectuses, if any, filed by Holdings or its applicable Parent Company with any securities exchange or with the SEC or any analogous Governmental Authority or private regulatory authority with jurisdiction over matters relating to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Other Information</w:t>
      </w:r>
      <w:r>
        <w:rPr>
          <w:rFonts w:ascii="Times New Roman" w:hAnsi="Times New Roman"/>
          <w:sz w:val="20"/>
        </w:rPr>
        <w:t xml:space="preserve">. Such other reports and information (financial or otherwise) as the Administrative Agent may reasonably request from time to time regarding the financial condition or business of Holdings and/or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none of Holdings, the Borrower nor any of its Subsidiaries shall be required to disclose or provide any information (i) that constitutes non-financial trade secrets or non-financial proprietary information of Holdings and/or any of its Subsidiaries or any of their respective customers and/or suppliers, (ii) in respect of which disclosure to the Administrative Agent or any Lender (or any of their respective representatives) is prohibited by applicable Requirements of Law, (iii) that is subject to attorney-client or similar privilege or constitutes attorney work product or (iv) in respect of which Holdings, the Borrower or any of its Subsidiaries owes confidentiality obligations to any third party (</w:t>
      </w:r>
      <w:r>
        <w:rPr>
          <w:rFonts w:ascii="Times New Roman" w:hAnsi="Times New Roman"/>
          <w:sz w:val="20"/>
          <w:u w:val="single"/>
        </w:rPr>
        <w:t>provided</w:t>
      </w:r>
      <w:r>
        <w:rPr>
          <w:rFonts w:ascii="Times New Roman" w:hAnsi="Times New Roman"/>
          <w:sz w:val="20"/>
        </w:rPr>
        <w:t xml:space="preserve"> such confidentiality obligations were not entered into in contemplation of the requirements of this </w:t>
      </w:r>
      <w:r>
        <w:rPr>
          <w:rFonts w:ascii="Times New Roman" w:hAnsi="Times New Roman"/>
          <w:sz w:val="20"/>
          <w:u w:val="single"/>
        </w:rPr>
        <w:t>Section 5.01(l)</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Holdings and/or any of its Subsidiaries does not provide any such information in reliance on this clause, Holdings and/or the Borrower shall use commercially reasonable efforts to communicate to the Administrative Agent that such information is being withheld and shall use commercially reasonable efforts to provide, to the extent both feasible and permitted under applicable Requirements of Law or confidentiality obligation, and without waiving such privilege, as applicable,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this </w:t>
      </w:r>
      <w:r>
        <w:rPr>
          <w:rFonts w:ascii="Times New Roman" w:hAnsi="Times New Roman"/>
          <w:sz w:val="20"/>
          <w:u w:val="single"/>
        </w:rPr>
        <w:t>Section 5.01</w:t>
      </w:r>
      <w:r>
        <w:rPr>
          <w:rFonts w:ascii="Times New Roman" w:hAnsi="Times New Roman"/>
          <w:sz w:val="20"/>
        </w:rPr>
        <w:t xml:space="preserve"> may be delivered electronically and if so delivered, shall be deemed to have been delivered on the date (i) on which the Borrower (or a representative thereof) (x) posts such documents or (y) provides a link thereto at the website address listed on </w:t>
      </w:r>
      <w:r>
        <w:rPr>
          <w:rFonts w:ascii="Times New Roman" w:hAnsi="Times New Roman"/>
          <w:sz w:val="20"/>
          <w:u w:val="single"/>
        </w:rPr>
        <w:t>Schedule 9.01(b)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other than with respect to items required to be delivered pursuant to </w:t>
      </w:r>
      <w:r>
        <w:rPr>
          <w:rFonts w:ascii="Times New Roman" w:hAnsi="Times New Roman"/>
          <w:sz w:val="20"/>
          <w:u w:val="single"/>
        </w:rPr>
        <w:t>Section 5.01(k)</w:t>
      </w:r>
      <w:r>
        <w:rPr>
          <w:rFonts w:ascii="Times New Roman" w:hAnsi="Times New Roman"/>
          <w:sz w:val="20"/>
        </w:rPr>
        <w:t xml:space="preserve"> above, the Borrower shall promptly notify (which notice may be by facsimile or electronic mail) the Administrative Agent of the posting of any such documents at the website address listed on </w:t>
      </w:r>
      <w:r>
        <w:rPr>
          <w:rFonts w:ascii="Times New Roman" w:hAnsi="Times New Roman"/>
          <w:sz w:val="20"/>
          <w:u w:val="single"/>
        </w:rPr>
        <w:t>Schedule 9.01(b)</w:t>
      </w:r>
      <w:r>
        <w:rPr>
          <w:rFonts w:ascii="Times New Roman" w:hAnsi="Times New Roman"/>
          <w:sz w:val="20"/>
        </w:rPr>
        <w:t xml:space="preserve"> and provide to the Administrative Agent by electronic mail electronic versions (</w:t>
      </w:r>
      <w:r>
        <w:rPr>
          <w:rFonts w:ascii="Times New Roman" w:hAnsi="Times New Roman"/>
          <w:i/>
          <w:sz w:val="20"/>
        </w:rPr>
        <w:t>i.e.,</w:t>
      </w:r>
      <w:r>
        <w:rPr>
          <w:rFonts w:ascii="Times New Roman" w:hAnsi="Times New Roman"/>
          <w:sz w:val="20"/>
        </w:rPr>
        <w:t xml:space="preserve"> soft copies) of such documents; (ii) on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documents are delivered by the Borrower to the Administrative Agent for posting on behalf of the Borrower on IntraLinks/SyndTrak or another relevant website (the “</w:t>
      </w:r>
      <w:r>
        <w:rPr>
          <w:rFonts w:ascii="Times New Roman" w:hAnsi="Times New Roman"/>
          <w:sz w:val="20"/>
          <w:u w:val="single"/>
        </w:rPr>
        <w:t>Platform</w:t>
      </w:r>
      <w:r>
        <w:rPr>
          <w:rFonts w:ascii="Times New Roman" w:hAnsi="Times New Roman"/>
          <w:sz w:val="20"/>
        </w:rPr>
        <w:t xml:space="preserve">”), if any, to which each Lender and the Administrative Agent have access (whether a commercial, third-party website or whether sponsored by the Administrative Agent); (iii) on which such documents are electronically mailed to an address provided by the Administrative Agent; or (iv) in respect of the items required to be delivered pursuant to </w:t>
      </w:r>
      <w:r>
        <w:rPr>
          <w:rFonts w:ascii="Times New Roman" w:hAnsi="Times New Roman"/>
          <w:sz w:val="20"/>
          <w:u w:val="single"/>
        </w:rPr>
        <w:t>Section 5.01(k)</w:t>
      </w:r>
      <w:r>
        <w:rPr>
          <w:rFonts w:ascii="Times New Roman" w:hAnsi="Times New Roman"/>
          <w:sz w:val="20"/>
        </w:rPr>
        <w:t xml:space="preserve"> above with respect to information filed by the Borrower or its applicable Parent Company with any securities exchange or with the SEC or any analogous governmental or private regulatory authority with jurisdiction over matters relating to securities (other than Form 10-Q Reports and Form 10-K reports described in </w:t>
      </w:r>
      <w:r>
        <w:rPr>
          <w:rFonts w:ascii="Times New Roman" w:hAnsi="Times New Roman"/>
          <w:sz w:val="20"/>
          <w:u w:val="single"/>
        </w:rPr>
        <w:t>Sections 5.01(a)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respectively), on which such items have been made available on the SEC website or the website of the relevant analogous governmental or private regulatory authority or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obligations in </w:t>
      </w:r>
      <w:r>
        <w:rPr>
          <w:rFonts w:ascii="Times New Roman" w:hAnsi="Times New Roman"/>
          <w:sz w:val="20"/>
          <w:u w:val="single"/>
        </w:rPr>
        <w:t>paragraphs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(c)(ii)</w:t>
      </w:r>
      <w:r>
        <w:rPr>
          <w:rFonts w:ascii="Times New Roman" w:hAnsi="Times New Roman"/>
          <w:sz w:val="20"/>
        </w:rPr>
        <w:t xml:space="preserve"> of this </w:t>
      </w:r>
      <w:r>
        <w:rPr>
          <w:rFonts w:ascii="Times New Roman" w:hAnsi="Times New Roman"/>
          <w:sz w:val="20"/>
          <w:u w:val="single"/>
        </w:rPr>
        <w:t>Section 5.01</w:t>
      </w:r>
      <w:r>
        <w:rPr>
          <w:rFonts w:ascii="Times New Roman" w:hAnsi="Times New Roman"/>
          <w:sz w:val="20"/>
        </w:rPr>
        <w:t xml:space="preserve"> may instead be satisfied with respect to any financial statements or information of the Borrower by furnishing (A) the applicable financial statements and Narrative Report of any Parent Company or (B) any Parent Company’s Form 10-K or 10-Q, as applicable, filed with the SEC or any securities exchange, in each case, within the time periods specified in such paragraphs and without any requirement to provide notice of such filing to the Administrative Agent or any Lender; </w:t>
      </w:r>
      <w:r>
        <w:rPr>
          <w:rFonts w:ascii="Times New Roman" w:hAnsi="Times New Roman"/>
          <w:sz w:val="20"/>
          <w:u w:val="single"/>
        </w:rPr>
        <w:t>provided</w:t>
      </w:r>
      <w:r>
        <w:rPr>
          <w:rFonts w:ascii="Times New Roman" w:hAnsi="Times New Roman"/>
          <w:sz w:val="20"/>
        </w:rPr>
        <w:t xml:space="preserve">, that, with respect to each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 to the extent (1) such financial statements or information relate to any Parent Company and (2) either (I)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(II) there are material differences between the financial statements of such Parent Company and its consolidated Subsidiaries, on the one hand, and the Borrower and its consolidated Subsidiaries, on the other hand, such financial 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the Borrower and its consolidated Subsidiaries on a stand-alone basis, on the other hand, which consolidating information shall be certified by a Responsible Officer of the Borrower as having been fairly presented in all material respects and (ii) to the extent such statements are in lieu of statements required to be provided under </w:t>
      </w:r>
      <w:r>
        <w:rPr>
          <w:rFonts w:ascii="Times New Roman" w:hAnsi="Times New Roman"/>
          <w:sz w:val="20"/>
          <w:u w:val="single"/>
        </w:rPr>
        <w:t>Section 5.01(b)</w:t>
      </w:r>
      <w:r>
        <w:rPr>
          <w:rFonts w:ascii="Times New Roman" w:hAnsi="Times New Roman"/>
          <w:sz w:val="20"/>
        </w:rPr>
        <w:t xml:space="preserve">, such statements shall be accompanied by a report and opinion of an independent registered public accounting firm of nationally recognized standing (including Ernst &amp; Young LLP), which report and opinion shall satisfy the applicable requirements set forth in </w:t>
      </w:r>
      <w:r>
        <w:rPr>
          <w:rFonts w:ascii="Times New Roman" w:hAnsi="Times New Roman"/>
          <w:sz w:val="20"/>
          <w:u w:val="single"/>
        </w:rPr>
        <w:t>Section 5.01(b)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financial statement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be required to include acquisition accounting adjustments relating to any Permitted Acquisition or other similar Investment to the extent it is not practicable to include any such adjustments in such financial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Existence</w:t>
      </w:r>
      <w:r>
        <w:rPr>
          <w:rFonts w:ascii="Times New Roman" w:hAnsi="Times New Roman"/>
          <w:sz w:val="20"/>
        </w:rPr>
        <w:t xml:space="preserve">. Except as otherwise permitted under </w:t>
      </w:r>
      <w:r>
        <w:rPr>
          <w:rFonts w:ascii="Times New Roman" w:hAnsi="Times New Roman"/>
          <w:sz w:val="20"/>
          <w:u w:val="single"/>
        </w:rPr>
        <w:t>Section 6.07</w:t>
      </w:r>
      <w:r>
        <w:rPr>
          <w:rFonts w:ascii="Times New Roman" w:hAnsi="Times New Roman"/>
          <w:sz w:val="20"/>
        </w:rPr>
        <w:t xml:space="preserve">, Holdings and the Borrower will, and each will cause each of its respective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w:t>
      </w:r>
      <w:r>
        <w:rPr>
          <w:rFonts w:ascii="Times New Roman" w:hAnsi="Times New Roman"/>
          <w:sz w:val="20"/>
          <w:u w:val="single"/>
        </w:rPr>
        <w:t>provided</w:t>
      </w:r>
      <w:r>
        <w:rPr>
          <w:rFonts w:ascii="Times New Roman" w:hAnsi="Times New Roman"/>
          <w:sz w:val="20"/>
        </w:rPr>
        <w:t xml:space="preserve">, that neither Holdings, the Borrower nor any Subsidiary shall be required to preserve any such existence (other than with respect to the preservation of existence of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Payment of Taxes</w:t>
      </w:r>
      <w:r>
        <w:rPr>
          <w:rFonts w:ascii="Times New Roman" w:hAnsi="Times New Roman"/>
          <w:sz w:val="20"/>
        </w:rPr>
        <w:t xml:space="preserve">. Holdings and the Borrower will, and will cause each of its Subsidiaries to, pay all Taxes imposed upon it or any of its properties or assets or in respect of any of its income or businesses or franchises before any penalty or fine accrues thereon;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Tax need be paid if (a) it is being contested in good faith by appropriate proceedings, diligently conducted,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or (b) failure to pay or discharge the same could not reasonably be expected, individually or in the aggregate,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Maintenance of Properties</w:t>
      </w:r>
      <w:r>
        <w:rPr>
          <w:rFonts w:ascii="Times New Roman" w:hAnsi="Times New Roman"/>
          <w:sz w:val="20"/>
        </w:rPr>
        <w:t xml:space="preserve">. The Borrower will, and will cause each of its Subsidiaries to, maintain or cause to be maintained in good repair, working order and condition, ordinary wear and tear and casualty and condemnation excepted, all property reasonably necessary to the normal conduct of business of the Borrower and its Subsidiaries and from time to time will make or cause to be made all needed and appropriate repairs, renewals and replacements thereof except as expressly permitted by this Agreement or where the failure to maintain such properties or make such repairs, renewals or replacements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Insurance</w:t>
      </w:r>
      <w:r>
        <w:rPr>
          <w:rFonts w:ascii="Times New Roman" w:hAnsi="Times New Roman"/>
          <w:sz w:val="20"/>
        </w:rPr>
        <w:t xml:space="preserve">. The Borrower will maintain or cause to be maintained, with financially sound and reputable insurers, such insurance coverage with respect to liability, loss or damage in respect of the assets, properties and businesses of the Borrower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Times New Roman" w:hAnsi="Times New Roman"/>
          <w:sz w:val="20"/>
          <w:u w:val="single"/>
        </w:rPr>
        <w:t>Section 5.15</w:t>
      </w:r>
      <w:r>
        <w:rPr>
          <w:rFonts w:ascii="Times New Roman" w:hAnsi="Times New Roman"/>
          <w:sz w:val="20"/>
        </w:rPr>
        <w:t xml:space="preserve"> hereof, (i) name the Administrative Agent on behalf of the Secured Parties as an additional insured thereunder as its interests may appear and (ii) (A) to the extent available from the relevant insurance carrier in the case of each casualty insurance policy (excluding any business interruption insurance policy), contain a loss payable clause or endorsement that names the Administrative Agent, on behalf of the Secured Parties as the lender loss payee thereunder and (B) to the extent available from the relevant insurance carrier after submission of a request by the applicable Loan Party to obtain the same, provide for at least 30 days’ prior written notice to the Administrative Agent of any modification or cancellation of such policy (or 10 days’ prior written notice in the case of the failure to pay any premiums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Inspections</w:t>
      </w:r>
      <w:r>
        <w:rPr>
          <w:rFonts w:ascii="Times New Roman" w:hAnsi="Times New Roman"/>
          <w:sz w:val="20"/>
        </w:rPr>
        <w:t>. The Borrower will, and will cause each of the Subsidiaries to, permit any authorized representative designated by the Administrative Agent to visit and inspect any of the properties of the Borrower and any of its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w:t>
      </w:r>
      <w:r>
        <w:rPr>
          <w:rFonts w:ascii="Times New Roman" w:hAnsi="Times New Roman"/>
          <w:sz w:val="20"/>
          <w:u w:val="single"/>
        </w:rPr>
        <w:t>provided</w:t>
      </w:r>
      <w:r>
        <w:rPr>
          <w:rFonts w:ascii="Times New Roman" w:hAnsi="Times New Roman"/>
          <w:sz w:val="20"/>
        </w:rPr>
        <w:t xml:space="preserve">, that the Borrower and/or any of its Subsidiaries may, if it so chooses, be present at or participate in any such discussion) at the expense of the Borrower, all upon reasonable notice and at reasonable times during normal business hours; </w:t>
      </w:r>
      <w:r>
        <w:rPr>
          <w:rFonts w:ascii="Times New Roman" w:hAnsi="Times New Roman"/>
          <w:sz w:val="20"/>
          <w:u w:val="single"/>
        </w:rPr>
        <w:t>provided</w:t>
      </w:r>
      <w:r>
        <w:rPr>
          <w:rFonts w:ascii="Times New Roman" w:hAnsi="Times New Roman"/>
          <w:sz w:val="20"/>
        </w:rPr>
        <w:t xml:space="preserve">, that (a) only the Administrative Agent on behalf of the Lenders may exercise the rights of the Lenders under this </w:t>
      </w:r>
      <w:r>
        <w:rPr>
          <w:rFonts w:ascii="Times New Roman" w:hAnsi="Times New Roman"/>
          <w:sz w:val="20"/>
          <w:u w:val="single"/>
        </w:rPr>
        <w:t>Section 5.06</w:t>
      </w:r>
      <w:r>
        <w:rPr>
          <w:rFonts w:ascii="Times New Roman" w:hAnsi="Times New Roman"/>
          <w:sz w:val="20"/>
        </w:rPr>
        <w:t xml:space="preserve">, (b) except as expressly set forth in </w:t>
      </w:r>
      <w:r>
        <w:rPr>
          <w:rFonts w:ascii="Times New Roman" w:hAnsi="Times New Roman"/>
          <w:sz w:val="20"/>
          <w:u w:val="single"/>
        </w:rPr>
        <w:t>clause (c)</w:t>
      </w:r>
      <w:r>
        <w:rPr>
          <w:rFonts w:ascii="Times New Roman" w:hAnsi="Times New Roman"/>
          <w:sz w:val="20"/>
        </w:rPr>
        <w:t> below during the continuance of an Event of Default, the Administrative Agent shall not exercise such rights more often than one time during any calendar year, (c) when an Event of Default exists, the Administrative Agent (or any of its representatives or independent contractors) may do any of the foregoing at the expense of the Borrower at any time during normal business hours and upon reasonable advance notice and (d) notwithstanding anything to the contrary herein, none of the Borrower or its Subsidiaries shall be required to disclose, permit the inspection, examination or making of copies of or taking abstracts from, or discuss any document, information, or other matter (i) that constitutes non-financial trade secrets or non-financial proprietary information of the Borrower and/or any of its Subsidiaries and/or any of its customers and/or suppliers,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the Borrower and/or any of its Subsidiaries owes confidentiality obligations to any third party (</w:t>
      </w:r>
      <w:r>
        <w:rPr>
          <w:rFonts w:ascii="Times New Roman" w:hAnsi="Times New Roman"/>
          <w:sz w:val="20"/>
          <w:u w:val="single"/>
        </w:rPr>
        <w:t>provided</w:t>
      </w:r>
      <w:r>
        <w:rPr>
          <w:rFonts w:ascii="Times New Roman" w:hAnsi="Times New Roman"/>
          <w:sz w:val="20"/>
        </w:rPr>
        <w:t xml:space="preserve">, that such confidentiality obligations were not entered into in contemplation of the requirements of this </w:t>
      </w:r>
      <w:r>
        <w:rPr>
          <w:rFonts w:ascii="Times New Roman" w:hAnsi="Times New Roman"/>
          <w:sz w:val="20"/>
          <w:u w:val="single"/>
        </w:rPr>
        <w:t>Section 5.06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the Borrower and/or any of its Subsidiaries does not provide any such information in reliance on this clause, the Borrower shall use commercially reasonable efforts to communicate to the Administrative Agent that such information is being withheld and shall use commercially reasonable efforts to provide, to the extent both feasible and permitted under applicable Requirements of Law or confidentiality obligation, and without waiving such privilege, as applicable,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Maintenance of Book and Records</w:t>
      </w:r>
      <w:r>
        <w:rPr>
          <w:rFonts w:ascii="Times New Roman" w:hAnsi="Times New Roman"/>
          <w:sz w:val="20"/>
        </w:rPr>
        <w:t xml:space="preserve">. the Borrower will, and will cause its Subsidiaries to, maintain proper books of record and account containing entries of all material financial transactions and matters involving the assets and business of the Borrower and its Subsidiaries that are full, true and correct in all material respects and permit the preparation of consolidated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Compliance with Laws</w:t>
      </w:r>
      <w:r>
        <w:rPr>
          <w:rFonts w:ascii="Times New Roman" w:hAnsi="Times New Roman"/>
          <w:sz w:val="20"/>
        </w:rPr>
        <w:t xml:space="preserve">. The Borrower will comply, and will cause each of its Subsidiaries to comply, with the requirements of all applicable Requirements of Law (including applicable ERISA and all Environmental Laws), except to the extent the failure of the Borrower or the relevant Subsidiary to comply could not reasonably be expected to have a Material Adverse Effect; </w:t>
      </w:r>
      <w:r>
        <w:rPr>
          <w:rFonts w:ascii="Times New Roman" w:hAnsi="Times New Roman"/>
          <w:sz w:val="20"/>
          <w:u w:val="single"/>
        </w:rPr>
        <w:t>provided</w:t>
      </w:r>
      <w:r>
        <w:rPr>
          <w:rFonts w:ascii="Times New Roman" w:hAnsi="Times New Roman"/>
          <w:sz w:val="20"/>
        </w:rPr>
        <w:t xml:space="preserve">, that the requirements set forth in this </w:t>
      </w:r>
      <w:r>
        <w:rPr>
          <w:rFonts w:ascii="Times New Roman" w:hAnsi="Times New Roman"/>
          <w:sz w:val="20"/>
          <w:u w:val="single"/>
        </w:rPr>
        <w:t>Section 5.08</w:t>
      </w:r>
      <w:r>
        <w:rPr>
          <w:rFonts w:ascii="Times New Roman" w:hAnsi="Times New Roman"/>
          <w:sz w:val="20"/>
        </w:rPr>
        <w:t xml:space="preserve">, as they pertain to compliance by any Non-U.S. Subsidiary with OFAC, the USA PATRIOT Act and the FCPA are subject to and limited by any Requirement of Law applicable to such Non-U.S. Subsidiary in its relevant local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Environmental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Environmental Disclosure</w:t>
      </w:r>
      <w:r>
        <w:rPr>
          <w:rFonts w:ascii="Times New Roman" w:hAnsi="Times New Roman"/>
          <w:sz w:val="20"/>
        </w:rPr>
        <w:t xml:space="preserve">. The Borrower will make available to the Administrative Agent (for distribution to the Lenders) as soon as practicable following the sending or receipt thereof by a Responsible Officer of the Borrower or any of its Subsidiaries, a copy of any and all material written communications with respect to (A) any Environmental Claim that, individually or in the aggregate, could reasonably be expected to have a Material Adverse Effect, (B) any Release required to be reported by the Borrower or any of its Subsidiaries to any Governmental Authority that, individually or in the aggregate, could reasonably be expected to have a Material Adverse Effect, (C) any request made to the Borrower or any of its Subsidiaries for information from any Governmental Authority that suggests such Governmental Authority is investigating whether the Borrower or any of its Subsidiaries may be potentially responsible for any Environmental Liability that, individually or in the aggregate, could reasonably be expected to have a Material Adverse Effect, and (D) subject to the limitations set forth in the proviso to </w:t>
      </w:r>
      <w:r>
        <w:rPr>
          <w:rFonts w:ascii="Times New Roman" w:hAnsi="Times New Roman"/>
          <w:sz w:val="20"/>
          <w:u w:val="single"/>
        </w:rPr>
        <w:t>Section 5.01(l)</w:t>
      </w:r>
      <w:r>
        <w:rPr>
          <w:rFonts w:ascii="Times New Roman" w:hAnsi="Times New Roman"/>
          <w:sz w:val="20"/>
        </w:rPr>
        <w:t xml:space="preserve">, such other documents and information as from time to time may be reasonably requested by the Administrative Agent in relation to any matters disclosed pursuant to this </w:t>
      </w:r>
      <w:r>
        <w:rPr>
          <w:rFonts w:ascii="Times New Roman" w:hAnsi="Times New Roman"/>
          <w:sz w:val="20"/>
          <w:u w:val="single"/>
        </w:rPr>
        <w:t>Section 5.09(a)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Hazardous Materials Activities, Etc</w:t>
      </w:r>
      <w:r>
        <w:rPr>
          <w:rFonts w:ascii="Times New Roman" w:hAnsi="Times New Roman"/>
          <w:sz w:val="20"/>
        </w:rPr>
        <w:t xml:space="preserve">. The Borrower shall promptly take, and shall cause each of its Subsidiaries promptly to take, any and all actions necessary to (i) cure any violation of applicable Environmental Laws by the Borrower or its Subsidiaries, and address with appropriate corrective or remedial action any Release or threatened Release of Hazardous Materials at or from any Facility, in each case, that, individually or in the aggregate, could reasonably be expected to have a Material Adverse Effect and (ii) make an appropriate response to any Environmental Claim against the Borrower or any of its Subsidiaries and discharge any obligations it may have to any Person thereunder, in each case, where failure to do so that,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Designation of Subsidiaries</w:t>
      </w:r>
      <w:r>
        <w:rPr>
          <w:rFonts w:ascii="Times New Roman" w:hAnsi="Times New Roman"/>
          <w:sz w:val="20"/>
        </w:rPr>
        <w:t xml:space="preserve">. The Borrower may at any time after the Closing Date designate (or redesignate) any Subsidiary as an Unrestricted Subsidiary or any Unrestricted Subsidiary as a Subsidiary; </w:t>
      </w:r>
      <w:r>
        <w:rPr>
          <w:rFonts w:ascii="Times New Roman" w:hAnsi="Times New Roman"/>
          <w:sz w:val="20"/>
          <w:u w:val="single"/>
        </w:rPr>
        <w:t>provided</w:t>
      </w:r>
      <w:r>
        <w:rPr>
          <w:rFonts w:ascii="Times New Roman" w:hAnsi="Times New Roman"/>
          <w:sz w:val="20"/>
        </w:rPr>
        <w:t xml:space="preserve">, that (a) after giving effect to such designation, no Event of Default exists (including after giving effect to the reclassification of Investments in, Indebtedness of and/or Liens on the assets of, the applicable Subsidiary or Unrestricted Subsidiary), (b) no Subsidiary may be designated as an Unrestricted Subsidiary if it owns or exclusively licenses Material Intellectual Property, (c) no Unrestricted Subsidiary shall at any time own or exclusively license Material Intellectual Property and (d) no Unrestricted Subsidiary shall at any time own any Capital Stock or Indebtedness or own or hold any Lien on any property of, the Borrower or any other Subsidiary of the Borrower. The designation of any subsidiary as an Unrestricted Subsidiary shall constitute an Investment by the Borrower (or its applicable Subsidiary) therein at the date of designation in an amount equal to the portion of the fair market value of the net assets of such subsidiary attributable to the Borrower’s (or its applicable Subsidiary’s) Capital Stock therein as estimated by the Borrower in good faith (and such designation shall only be permitted to the extent such Investment is permitted under </w:t>
      </w:r>
      <w:r>
        <w:rPr>
          <w:rFonts w:ascii="Times New Roman" w:hAnsi="Times New Roman"/>
          <w:sz w:val="20"/>
          <w:u w:val="single"/>
        </w:rPr>
        <w:t>Section 6.06</w:t>
      </w:r>
      <w:r>
        <w:rPr>
          <w:rFonts w:ascii="Times New Roman" w:hAnsi="Times New Roman"/>
          <w:sz w:val="20"/>
        </w:rPr>
        <w:t xml:space="preserve">). The designation of any Unrestricted Subsidiary as a Subsidiary shall constitute the making, incurrence or granting, as applicable, at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designation of any then-existing Investment, Indebtedness or Lien of such subsidiary, as applicable; </w:t>
      </w:r>
      <w:r>
        <w:rPr>
          <w:rFonts w:ascii="Times New Roman" w:hAnsi="Times New Roman"/>
          <w:sz w:val="20"/>
          <w:u w:val="single"/>
        </w:rPr>
        <w:t>provided</w:t>
      </w:r>
      <w:r>
        <w:rPr>
          <w:rFonts w:ascii="Times New Roman" w:hAnsi="Times New Roman"/>
          <w:sz w:val="20"/>
        </w:rPr>
        <w:t xml:space="preserve">, that upon any re-designation of any Unrestricted Subsidiary as a Subsidiary, the Borrower (or its applicable Subsidiary) shall be deemed to continue to have an Investment in the resulting Subsidiary in an amount (if positive) equal to (i) the Borrower’s (or its applicable Subsidiary’s) “Investment” in such Subsidiary at the time of such re-designation, less (ii) the portion of the fair market value of the net assets of such Subsidiary attributable to the Borrower’s (or its applicable Subsidiary’s) equity therein at the time of such re-designation as estimated by the Borrower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Use of Proceeds</w:t>
      </w:r>
      <w:r>
        <w:rPr>
          <w:rFonts w:ascii="Times New Roman" w:hAnsi="Times New Roman"/>
          <w:sz w:val="20"/>
        </w:rPr>
        <w:t xml:space="preserve">. The Borrower shall use the proceeds of the Revolving Loans (a) on the Closing Date, in an amount not to exceed $50,000,000 (other than any amount of Revolving Loans for working capital needs pursuant to </w:t>
      </w:r>
      <w:r>
        <w:rPr>
          <w:rFonts w:ascii="Times New Roman" w:hAnsi="Times New Roman"/>
          <w:sz w:val="20"/>
          <w:u w:val="single"/>
        </w:rPr>
        <w:t>clause (ii)(A)</w:t>
      </w:r>
      <w:r>
        <w:rPr>
          <w:rFonts w:ascii="Times New Roman" w:hAnsi="Times New Roman"/>
          <w:sz w:val="20"/>
        </w:rPr>
        <w:t xml:space="preserve"> below) (i) to finance (or to replenish balance sheet cash used to finance) all or a portion of the Transactions (including payment of Transaction Costs and other costs, fees and expenses) and (ii) for (A) working capital needs and (B) other general corporate purposes, in each case of (A) and (B), of the Borrower and its Subsidiaries and (b) after the Closing Date, to finance working capital needs and other general corporate purposes of the Borrower and its Subsidiaries and for any other purpose not prohibited by the terms of the Loan Documents (including to replenish balance sheet cash used to finance any acquisition or Investment). The Borrower shall use the proceeds of the Swingline Loans made on and after the Closing Date to finance the working capital needs and other general corporate purposes of the Borrower and its subsidiaries and any other purpose not prohibited by the terms of the Loan Documents. Letters of Credit may be issued on and after the Closing Date, for general corporate purposes of the Borrower and its Subsidiaries and any other purpose not prohibited by the terms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Covenant to Guarantee Obligations and Provide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(i) the formation or acquisition after the Closing Date of any Subsidiary that is a U.S. Subsidiary, (ii) any Subsidiary that is a U.S. Subsidiary ceasing to be an Immaterial Subsidiary or (iii) any Subsidiary that was an Excluded Subsidiary ceasing to be an Excluded Subsidiary, (x) if the event giving rise to the obligation under this </w:t>
      </w:r>
      <w:r>
        <w:rPr>
          <w:rFonts w:ascii="Times New Roman" w:hAnsi="Times New Roman"/>
          <w:sz w:val="20"/>
          <w:u w:val="single"/>
        </w:rPr>
        <w:t>Section 5.12(a)</w:t>
      </w:r>
      <w:r>
        <w:rPr>
          <w:rFonts w:ascii="Times New Roman" w:hAnsi="Times New Roman"/>
          <w:sz w:val="20"/>
        </w:rPr>
        <w:t xml:space="preserve"> occurs during the first three Fiscal Quarters of any Fiscal Year or if the relevant formed or acquired Subsidiary is a Subsidiary of DevCo, on or before the date on which financial statements are required to be delivered pursuant to </w:t>
      </w:r>
      <w:r>
        <w:rPr>
          <w:rFonts w:ascii="Times New Roman" w:hAnsi="Times New Roman"/>
          <w:sz w:val="20"/>
          <w:u w:val="single"/>
        </w:rPr>
        <w:t>Sections 5.01(a)</w:t>
      </w:r>
      <w:r>
        <w:rPr>
          <w:rFonts w:ascii="Times New Roman" w:hAnsi="Times New Roman"/>
          <w:sz w:val="20"/>
        </w:rPr>
        <w:t xml:space="preserve"> for the Fiscal Quarter in which the relevant formation, acquisition, designation or cessation occurred or (y) if the event giving rise to the obligation under this </w:t>
      </w:r>
      <w:r>
        <w:rPr>
          <w:rFonts w:ascii="Times New Roman" w:hAnsi="Times New Roman"/>
          <w:sz w:val="20"/>
          <w:u w:val="single"/>
        </w:rPr>
        <w:t>Section 5.12(a)</w:t>
      </w:r>
      <w:r>
        <w:rPr>
          <w:rFonts w:ascii="Times New Roman" w:hAnsi="Times New Roman"/>
          <w:sz w:val="20"/>
        </w:rPr>
        <w:t xml:space="preserve"> occurs during the fourth Fiscal Quarter of any Fiscal Year (except to the extent the relevant Subsidiary is a Subsidiary of DevCo, in which case </w:t>
      </w:r>
      <w:r>
        <w:rPr>
          <w:rFonts w:ascii="Times New Roman" w:hAnsi="Times New Roman"/>
          <w:sz w:val="20"/>
          <w:u w:val="single"/>
        </w:rPr>
        <w:t>clause (x)</w:t>
      </w:r>
      <w:r>
        <w:rPr>
          <w:rFonts w:ascii="Times New Roman" w:hAnsi="Times New Roman"/>
          <w:sz w:val="20"/>
        </w:rPr>
        <w:t xml:space="preserve"> above shall apply), on or before the date that is 60 days after the end of such Fiscal Quarter (or, in the cases of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xml:space="preserve">, such longer period as the Administrative Agent may reasonably agree), the Borrower shall (A) cause such Subsidiary (other than any Excluded Subsidiary) to comply with the requirements set forth in </w:t>
      </w:r>
      <w:r>
        <w:rPr>
          <w:rFonts w:ascii="Times New Roman" w:hAnsi="Times New Roman"/>
          <w:sz w:val="20"/>
          <w:u w:val="single"/>
        </w:rPr>
        <w:t>clause (a)</w:t>
      </w:r>
      <w:r>
        <w:rPr>
          <w:rFonts w:ascii="Times New Roman" w:hAnsi="Times New Roman"/>
          <w:sz w:val="20"/>
        </w:rPr>
        <w:t xml:space="preserve"> of the definition of “Collateral and Guarantee Requirement” and (B) upon the reasonable request of the Administrative Agent, cause the relevant Subsidiary (other than any Excluded Subsidiary) to deliver to the Administrative Agent a signed copy of a customary opinion of counsel for such Subsidiary, addressed to the Administrative Agent and the other relevant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(b) Within 90 days (i) after the acquisition by any Loan Party of any Material Real Estate Asset (other than any Excluded Asset) or (ii) after an entity becomes a Loan Party if such entity owns any Material Real Estate Asset (other than any Excluded Asset) (or, in each case, such longer period as the Administrative Agent may reasonably agree), the Borrower shall cause such Loan Party to comply with the requirements set forth in </w:t>
      </w:r>
      <w:r>
        <w:rPr>
          <w:rFonts w:ascii="Times New Roman" w:hAnsi="Times New Roman"/>
          <w:sz w:val="20"/>
          <w:u w:val="single"/>
        </w:rPr>
        <w:t>clause (b)</w:t>
      </w:r>
      <w:r>
        <w:rPr>
          <w:rFonts w:ascii="Times New Roman" w:hAnsi="Times New Roman"/>
          <w:sz w:val="20"/>
        </w:rPr>
        <w:t xml:space="preserve"> of the definition of “Collateral and Guarantee Requirement”.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or in any other Loan Document, it is understood and agreed that: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may grant extensions of time (including after the expiration of any relevant period, which may apply retroactively) for the creation and perfection of security interests in, or obtaining of legal opinions or other deliverables with respect to, particular assets or the provision of any Loan Guaranty by any Subsidiary (in connection with assets acquired, or Subsidiaries formed or acquired, after the Closing Date), and each Lender hereby consents to any such extension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Lien required to be granted from time to time pursuant to the definition of “Collateral and Guarantee Requirement” shall be subject to the exceptions and limitations set forth in the Collateral Documents; </w:t>
      </w:r>
    </w:p>
    <w:p>
      <w:pPr>
        <w:pStyle w:val="TextBody"/>
        <w:bidi w:val="0"/>
        <w:spacing w:before="120" w:after="0"/>
        <w:jc w:val="left"/>
        <w:rPr>
          <w:rFonts w:ascii="Times New Roman" w:hAnsi="Times New Roman"/>
          <w:sz w:val="20"/>
        </w:rPr>
      </w:pPr>
      <w:r>
        <w:rPr>
          <w:rFonts w:ascii="Times New Roman" w:hAnsi="Times New Roman"/>
          <w:sz w:val="20"/>
        </w:rPr>
        <w:t xml:space="preserve">(iii) perfection by control shall not be required with respect to assets requiring perfection through control agreements or other control arrangements (other than control of pledged first-tier Capital Stock and/or Material Debt Instruments, in each case, to the extent the same otherwise constitute Collateral); </w:t>
      </w:r>
    </w:p>
    <w:p>
      <w:pPr>
        <w:pStyle w:val="TextBody"/>
        <w:bidi w:val="0"/>
        <w:spacing w:before="120" w:after="0"/>
        <w:jc w:val="left"/>
        <w:rPr>
          <w:rFonts w:ascii="Times New Roman" w:hAnsi="Times New Roman"/>
          <w:sz w:val="20"/>
        </w:rPr>
      </w:pPr>
      <w:r>
        <w:rPr>
          <w:rFonts w:ascii="Times New Roman" w:hAnsi="Times New Roman"/>
          <w:sz w:val="20"/>
        </w:rPr>
        <w:t xml:space="preserve">(iv) no Loan Party shall be required to seek any landlord lien waiver, bailee letter, estoppel, warehouseman waiver or other collateral access or similar letter or agreement; </w:t>
      </w:r>
    </w:p>
    <w:p>
      <w:pPr>
        <w:pStyle w:val="TextBody"/>
        <w:bidi w:val="0"/>
        <w:spacing w:before="120" w:after="0"/>
        <w:jc w:val="left"/>
        <w:rPr>
          <w:rFonts w:ascii="Times New Roman" w:hAnsi="Times New Roman"/>
          <w:sz w:val="20"/>
        </w:rPr>
      </w:pPr>
      <w:r>
        <w:rPr>
          <w:rFonts w:ascii="Times New Roman" w:hAnsi="Times New Roman"/>
          <w:sz w:val="20"/>
        </w:rPr>
        <w:t xml:space="preserve">(v) no Loan Party (other than any Discretionary Guarantor that is not organized under the laws of the U.S.) shall be required to (A) take any action outside of the U.S. in order to create, record or perfect any security interest in any asset located outside of the U.S., (B) execute any security agreement, pledge agreement, mortgage, deed, charge or other collateral document governed by the laws of any jurisdiction other than a state within the U.S. or (C) make any foreign intellectual property filing, conduct any foreign intellectual property search or prepare any foreign intellectual property schedule; </w:t>
      </w:r>
    </w:p>
    <w:p>
      <w:pPr>
        <w:pStyle w:val="TextBody"/>
        <w:bidi w:val="0"/>
        <w:spacing w:before="120" w:after="0"/>
        <w:jc w:val="left"/>
        <w:rPr>
          <w:rFonts w:ascii="Times New Roman" w:hAnsi="Times New Roman"/>
          <w:sz w:val="20"/>
        </w:rPr>
      </w:pPr>
      <w:r>
        <w:rPr>
          <w:rFonts w:ascii="Times New Roman" w:hAnsi="Times New Roman"/>
          <w:sz w:val="20"/>
        </w:rPr>
        <w:t xml:space="preserve">(vi) in no event will the Collateral include any Excluded Asset and in no event shall the Borrower or any of its Subsidiaries be required to make any Excluded Subsidiary become a Subsidiary Guarantor; </w:t>
      </w:r>
    </w:p>
    <w:p>
      <w:pPr>
        <w:pStyle w:val="TextBody"/>
        <w:bidi w:val="0"/>
        <w:spacing w:before="120" w:after="0"/>
        <w:jc w:val="left"/>
        <w:rPr>
          <w:rFonts w:ascii="Times New Roman" w:hAnsi="Times New Roman"/>
          <w:sz w:val="20"/>
        </w:rPr>
      </w:pPr>
      <w:r>
        <w:rPr>
          <w:rFonts w:ascii="Times New Roman" w:hAnsi="Times New Roman"/>
          <w:sz w:val="20"/>
        </w:rPr>
        <w:t xml:space="preserve">(vii) no action shall be required to perfect any Lien with respect to (1) any vehicle or other asset subject to a certificate of title, (2) Letter-of-Credit Rights constituting Excluded Assets, (3) the Capital Stock of any Immaterial Subsidiary (other than an Immaterial Subsidiary that is or becomes a Subsidiary Guarantor) and/or (4) the Capital Stock of any Person that is not a Subsidiary, which Person, if a Subsidiary, would constitute an Immaterial Subsidiary, in each case, except to the extent that a security interest therein can be perfected by filing a form UCC-1 (or similar) financing statement under the UCC; </w:t>
      </w:r>
    </w:p>
    <w:p>
      <w:pPr>
        <w:pStyle w:val="TextBody"/>
        <w:bidi w:val="0"/>
        <w:spacing w:before="120" w:after="0"/>
        <w:jc w:val="left"/>
        <w:rPr>
          <w:rFonts w:ascii="Times New Roman" w:hAnsi="Times New Roman"/>
          <w:sz w:val="20"/>
        </w:rPr>
      </w:pPr>
      <w:r>
        <w:rPr>
          <w:rFonts w:ascii="Times New Roman" w:hAnsi="Times New Roman"/>
          <w:sz w:val="20"/>
        </w:rPr>
        <w:t xml:space="preserve">(viii) no action shall be required to perfect a Lien in any asset in respect of which the perfection of a security interest therein would (A) be prohibited by enforceable anti-assignment provisions set forth in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(B)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(C) trigger termination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Requirements of Law notwithstanding the relevant prohibition, violation or termination right; </w:t>
      </w:r>
    </w:p>
    <w:p>
      <w:pPr>
        <w:pStyle w:val="TextBody"/>
        <w:bidi w:val="0"/>
        <w:spacing w:before="120" w:after="0"/>
        <w:jc w:val="left"/>
        <w:rPr>
          <w:rFonts w:ascii="Times New Roman" w:hAnsi="Times New Roman"/>
          <w:sz w:val="20"/>
        </w:rPr>
      </w:pPr>
      <w:r>
        <w:rPr>
          <w:rFonts w:ascii="Times New Roman" w:hAnsi="Times New Roman"/>
          <w:sz w:val="20"/>
        </w:rPr>
        <w:t xml:space="preserve">(ix) no Loan Party shall be required to perfect a security interest in any asset to the extent the perfection of a security interest in such asset would be prohibited under any applicable Requirement of Law; </w:t>
      </w:r>
    </w:p>
    <w:p>
      <w:pPr>
        <w:pStyle w:val="TextBody"/>
        <w:bidi w:val="0"/>
        <w:spacing w:before="120" w:after="0"/>
        <w:jc w:val="left"/>
        <w:rPr>
          <w:rFonts w:ascii="Times New Roman" w:hAnsi="Times New Roman"/>
          <w:sz w:val="20"/>
        </w:rPr>
      </w:pPr>
      <w:r>
        <w:rPr>
          <w:rFonts w:ascii="Times New Roman" w:hAnsi="Times New Roman"/>
          <w:sz w:val="20"/>
        </w:rPr>
        <w:t xml:space="preserve">(x) the Lenders and the Administrative Agent acknowledge and agree that the Collateral that may be provided by the Loan Parties may be limited to minimize stamp duty, notarization, registration or other applicable fees, taxes and duties where the benefit to the Secured Parties of increasing the secured amount is disproportionate to the cost of such fees, taxes and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the Administrative Agent shall not require the taking of a Lien on, or require the perfection of any Lien granted in, any assets as to which the cost of obtaining or perfecting such Lien (including any mortgage, stamp, intangibles or other tax or expenses relating to such Lien) is excessive in relation to the benefit to the Lenders of the security afforded thereby as reasonably determined by the Borrower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(xii) [reserved], </w:t>
      </w:r>
    </w:p>
    <w:p>
      <w:pPr>
        <w:pStyle w:val="TextBody"/>
        <w:bidi w:val="0"/>
        <w:spacing w:before="120" w:after="0"/>
        <w:jc w:val="left"/>
        <w:rPr>
          <w:rFonts w:ascii="Times New Roman" w:hAnsi="Times New Roman"/>
          <w:sz w:val="20"/>
        </w:rPr>
      </w:pPr>
      <w:r>
        <w:rPr>
          <w:rFonts w:ascii="Times New Roman" w:hAnsi="Times New Roman"/>
          <w:sz w:val="20"/>
        </w:rPr>
        <w:t xml:space="preserve">(xiii) no Loan Party shall be required to take any action to perfect a security interest in the Collateral in any jurisdiction other than the jurisdiction in which the relevant Loan Party is organized or, in the case of pledged Capital Stock, in the jurisdiction in which any other Loan Party is organized (other than with respect to Material Real Estate Assets owned by any Loan Party, the jurisdiction where the property is located); </w:t>
      </w:r>
    </w:p>
    <w:p>
      <w:pPr>
        <w:pStyle w:val="TextBody"/>
        <w:bidi w:val="0"/>
        <w:spacing w:before="120" w:after="0"/>
        <w:jc w:val="left"/>
        <w:rPr>
          <w:rFonts w:ascii="Times New Roman" w:hAnsi="Times New Roman"/>
          <w:sz w:val="20"/>
        </w:rPr>
      </w:pPr>
      <w:r>
        <w:rPr>
          <w:rFonts w:ascii="Times New Roman" w:hAnsi="Times New Roman"/>
          <w:sz w:val="20"/>
        </w:rPr>
        <w:t xml:space="preserve">(xiv) except with respect to any Discretionary Guarantor that is organized under the laws of a jurisdiction outside the U.S., no Loan Party shall be required, and the Administrative Agent shall not be authorized, to perfect any security interest or Mortgage by means, other than (A) filings pursuant to the Uniform Commercial Code in the office of the secretary of state (or similar central filing office) of the relevant Loan Party’s jurisdiction of organization, (B) filings with the U.S. federal government offices with respect to IP Rights as expressly required by the Security Agreement, (C) delivery to the Administrative Agent, for its possession (subject to the terms of any applicable Intercreditor Agreement), of any Collateral consisting of pledged Capital Stock held by the Borrower and any other directly held Subsidiary, together, if such Capital Stock is certificated, with undated stock or similar powers executed in blank by a Responsible Officer of the relevant Loan Party, to the extent required by the Security Agreement or (D) mortgages in respect of Material Real Estate Assets; </w:t>
      </w:r>
    </w:p>
    <w:p>
      <w:pPr>
        <w:pStyle w:val="TextBody"/>
        <w:bidi w:val="0"/>
        <w:spacing w:before="120" w:after="0"/>
        <w:jc w:val="left"/>
        <w:rPr>
          <w:rFonts w:ascii="Times New Roman" w:hAnsi="Times New Roman"/>
          <w:sz w:val="20"/>
        </w:rPr>
      </w:pPr>
      <w:r>
        <w:rPr>
          <w:rFonts w:ascii="Times New Roman" w:hAnsi="Times New Roman"/>
          <w:sz w:val="20"/>
        </w:rPr>
        <w:t xml:space="preserve">(xv) any joinder or supplement to any Loan Guaranty, any Collateral Document and/or any other Loan Document executed by any Subsidiary that is required to become (or otherwise becomes) a Loan Party pursuant to </w:t>
      </w:r>
      <w:r>
        <w:rPr>
          <w:rFonts w:ascii="Times New Roman" w:hAnsi="Times New Roman"/>
          <w:sz w:val="20"/>
          <w:u w:val="single"/>
        </w:rPr>
        <w:t>Section 5.12(a)</w:t>
      </w:r>
      <w:r>
        <w:rPr>
          <w:rFonts w:ascii="Times New Roman" w:hAnsi="Times New Roman"/>
          <w:sz w:val="20"/>
        </w:rPr>
        <w:t xml:space="preserve">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and </w:t>
      </w:r>
    </w:p>
    <w:p>
      <w:pPr>
        <w:pStyle w:val="TextBody"/>
        <w:bidi w:val="0"/>
        <w:spacing w:before="120" w:after="0"/>
        <w:jc w:val="left"/>
        <w:rPr>
          <w:rFonts w:ascii="Times New Roman" w:hAnsi="Times New Roman"/>
          <w:sz w:val="20"/>
        </w:rPr>
      </w:pPr>
      <w:r>
        <w:rPr>
          <w:rFonts w:ascii="Times New Roman" w:hAnsi="Times New Roman"/>
          <w:sz w:val="20"/>
        </w:rPr>
        <w:t xml:space="preserve">(xvi) (A) no Collateral Document executed and delivered after the Closing Date, including any Mortgage, will impose any commercial obligation on any Loan Party or contain any representation, warranty or undertaking that is not required for the creation and/or perfection of a security interest in the relevant asset or otherwise consistent with those set forth in the Collateral Documents on the Closing Date and (B) to the extent the subject matter of any representation, warranty or undertaking in any Collateral Document executed and delivered after the Closing Date is the same as any representation, warranty or covenant in this Agreement, such representation, warranty or covenant shall be no more burdensome to the applicable Loan Party than the corresponding provision of this Agreement unless the relevant additional requirement is necessary for the creation and/or perfection of a security interest in the relevant asset or otherwise consistent with those set forth in the Collateral Documents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It is understood and agreed for the avoidance of doubt that the Borrower may elect to join any U.S. Subsidiary that is not required to be or become a Subsidiary Guarantor solely because such Subsidiary is an Immaterial Subsidiary without (i) the consent of the Administrative Agent or (ii) delivery of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Further Assurances</w:t>
      </w:r>
      <w:r>
        <w:rPr>
          <w:rFonts w:ascii="Times New Roman" w:hAnsi="Times New Roman"/>
          <w:sz w:val="20"/>
        </w:rPr>
        <w:t xml:space="preserve">. Promptly upon request of the Administrative Agent and subject to the limitations described in </w:t>
      </w:r>
      <w:r>
        <w:rPr>
          <w:rFonts w:ascii="Times New Roman" w:hAnsi="Times New Roman"/>
          <w:sz w:val="20"/>
          <w:u w:val="single"/>
        </w:rPr>
        <w:t>Section 5.12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Holdings and the Borrower will, and will cause the other Loan Parties to, execute and deliver any and all further documents, financing statements, agreements, instruments, certificates, notices and acknowledgments and take all such further actions (including the filing and recordation of financing statements, fixture filings, Mortgages, Intellectual Property Security Agreements and/or amendments thereto and other documents), that may be required under any applicable Requirements of Law and which the Administrative Agent may reasonably request to ensure the creation, perfection and priority of the Liens created or intended to be created under the Collateral Documents, all at the expense of the relevant Loan Parties. </w:t>
      </w:r>
    </w:p>
    <w:p>
      <w:pPr>
        <w:pStyle w:val="TextBody"/>
        <w:bidi w:val="0"/>
        <w:spacing w:before="240" w:after="0"/>
        <w:jc w:val="left"/>
        <w:rPr>
          <w:rFonts w:ascii="Times New Roman" w:hAnsi="Times New Roman"/>
          <w:sz w:val="20"/>
        </w:rPr>
      </w:pPr>
      <w:r>
        <w:rPr>
          <w:rFonts w:ascii="Times New Roman" w:hAnsi="Times New Roman"/>
          <w:sz w:val="20"/>
        </w:rPr>
        <w:t xml:space="preserve">(b) Holdings and the Borrower will, and will cause the other Loan Parties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Administrative Agent may reasonably request from time to time in order to ensure the creation, perfection and priority of the Liens created or intended to be created under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Post-Closing Covenant</w:t>
      </w:r>
      <w:r>
        <w:rPr>
          <w:rFonts w:ascii="Times New Roman" w:hAnsi="Times New Roman"/>
          <w:sz w:val="20"/>
        </w:rPr>
        <w:t xml:space="preserve">. The Borrower will, and will cause the other Loan Parties to, satisfy the obligations described on </w:t>
      </w:r>
      <w:r>
        <w:rPr>
          <w:rFonts w:ascii="Times New Roman" w:hAnsi="Times New Roman"/>
          <w:sz w:val="20"/>
          <w:u w:val="single"/>
        </w:rPr>
        <w:t>Schedule 5.15</w:t>
      </w:r>
      <w:r>
        <w:rPr>
          <w:rFonts w:ascii="Times New Roman" w:hAnsi="Times New Roman"/>
          <w:sz w:val="20"/>
        </w:rPr>
        <w:t xml:space="preserve">, in each case, within the time periods set forth therein with respect to the relevant obligation (or such longer period as the Administrative Agent may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USA PATRIOT Act, FCPA, and Sanctions</w:t>
      </w:r>
      <w:r>
        <w:rPr>
          <w:rFonts w:ascii="Times New Roman" w:hAnsi="Times New Roman"/>
          <w:sz w:val="20"/>
        </w:rPr>
        <w:t xml:space="preserve">. Holdings and the Borrower will, and will cause any Subsidiary and their respective directors, officers and employees to remain in compliance in all material respects with the USA PATRIOT Act, the FCPA and, to the extent applicable, Sanctions and, to the extent applicable to the business of Holdings and its Subsidiaries, will maintain in effect and enforce policies and procedures designed to ensure compliance by Holdings, its Subsidiaries and their respective directors, officers, employees and agents (to the extent such agents are acting on behalf of the Borrower and its Subsidiaries) with the USA PATRIOT Act, the FCPA and Sanctions; </w:t>
      </w:r>
      <w:r>
        <w:rPr>
          <w:rFonts w:ascii="Times New Roman" w:hAnsi="Times New Roman"/>
          <w:sz w:val="20"/>
          <w:u w:val="single"/>
        </w:rPr>
        <w:t>provided</w:t>
      </w:r>
      <w:r>
        <w:rPr>
          <w:rFonts w:ascii="Times New Roman" w:hAnsi="Times New Roman"/>
          <w:sz w:val="20"/>
        </w:rPr>
        <w:t xml:space="preserve">, that compliance with this </w:t>
      </w:r>
      <w:r>
        <w:rPr>
          <w:rFonts w:ascii="Times New Roman" w:hAnsi="Times New Roman"/>
          <w:sz w:val="20"/>
          <w:u w:val="single"/>
        </w:rPr>
        <w:t>Section 5.16</w:t>
      </w:r>
      <w:r>
        <w:rPr>
          <w:rFonts w:ascii="Times New Roman" w:hAnsi="Times New Roman"/>
          <w:sz w:val="20"/>
        </w:rPr>
        <w:t xml:space="preserve"> by or on behalf of any Non-U.S. Subsidiary is subject to and limited by any Requirement of Law applicable to such Non-U.S. Subsidiary; it being understood and agreed that to the extent that any Non-U.S. Subsidiary is unable to comply with </w:t>
      </w:r>
      <w:r>
        <w:rPr>
          <w:rFonts w:ascii="Times New Roman" w:hAnsi="Times New Roman"/>
          <w:sz w:val="20"/>
          <w:u w:val="single"/>
        </w:rPr>
        <w:t>Section 5.16</w:t>
      </w:r>
      <w:r>
        <w:rPr>
          <w:rFonts w:ascii="Times New Roman" w:hAnsi="Times New Roman"/>
          <w:sz w:val="20"/>
        </w:rPr>
        <w:t xml:space="preserve"> as a result of the application of this proviso, such Non-U.S. Subsidiary shall instead be required to remain in compliance in all material respects with any equivalent Requirement of Law relating to anti-terrorism, anti-corruption, anti-bribery or anti-money laundering that is applicable to such Non-U.S. Subsidiary in its relevant local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Transactions With Affiliates</w:t>
      </w:r>
      <w:r>
        <w:rPr>
          <w:rFonts w:ascii="Times New Roman" w:hAnsi="Times New Roman"/>
          <w:sz w:val="20"/>
        </w:rPr>
        <w:t xml:space="preserve">. The Borrower shall, and shall cause its Subsidiaries to, consummate (A) any transaction with any Affiliate thereof that involves payment in excess of the greater of (1) $15,000,000 and (2) 5% of Consolidated Adjusted EBITDA as of the last day of the most recently ended Test Period and/or (B) any incurrence of Indebtedness pursuant to a transaction between the Borrower and/or its Subsidiaries, on the one hand, and the Sponsor, in its capacity as a lender, on the other hand, in each case, on terms that are at least as favorable (as determined by the Borrower in good faith at the time of the execution of the definitive agreement relating thereto) to the Borrower or such Subsidiary, as the case may be, as those that might be obtained at the time in a comparable arm’s-length transaction from a Person who is not an Affiliate (or, if in the good faith judgment of Borrower, there is no comparable transaction on the basis of which to make the comparison described above, such transaction is fair to the Borrower or its applicable Subsidiary from a financial point of view); provided, that, the foregoing requirement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any transaction between or among the Borrower and/or one or more Subsidiaries (or any entity that becomes a Subsidiary as a result of such transaction) to the extent permitted or not restricted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any collective bargaining, employment or severance agreement or compensatory (including profit sharing) arrangement entered into by the Borrower and/or any of its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transactions pursuant to any employee compensation, severance arrangement, benefit plan, stock option plan or arrangement, any health, disability or similar insurance plan which covers current or former officers, directors, members of management, managers, employees, consultants or independent contractors or any employment contract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(d) (i) transactions permitted by </w:t>
      </w:r>
      <w:r>
        <w:rPr>
          <w:rFonts w:ascii="Times New Roman" w:hAnsi="Times New Roman"/>
          <w:sz w:val="20"/>
          <w:u w:val="single"/>
        </w:rPr>
        <w:t>Sections 6.01(d)</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and </w:t>
      </w:r>
      <w:r>
        <w:rPr>
          <w:rFonts w:ascii="Times New Roman" w:hAnsi="Times New Roman"/>
          <w:sz w:val="20"/>
          <w:u w:val="single"/>
        </w:rPr>
        <w:t>(ee)</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and </w:t>
      </w:r>
      <w:r>
        <w:rPr>
          <w:rFonts w:ascii="Times New Roman" w:hAnsi="Times New Roman"/>
          <w:sz w:val="20"/>
          <w:u w:val="single"/>
        </w:rPr>
        <w:t>6.06(h)</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w:t>
      </w:r>
      <w:r>
        <w:rPr>
          <w:rFonts w:ascii="Times New Roman" w:hAnsi="Times New Roman"/>
          <w:sz w:val="20"/>
          <w:u w:val="single"/>
        </w:rPr>
        <w:t>(z)</w:t>
      </w:r>
      <w:r>
        <w:rPr>
          <w:rFonts w:ascii="Times New Roman" w:hAnsi="Times New Roman"/>
          <w:sz w:val="20"/>
        </w:rPr>
        <w:t xml:space="preserve"> and </w:t>
      </w:r>
      <w:r>
        <w:rPr>
          <w:rFonts w:ascii="Times New Roman" w:hAnsi="Times New Roman"/>
          <w:sz w:val="20"/>
          <w:u w:val="single"/>
        </w:rPr>
        <w:t>(aa)</w:t>
      </w:r>
      <w:r>
        <w:rPr>
          <w:rFonts w:ascii="Times New Roman" w:hAnsi="Times New Roman"/>
          <w:sz w:val="20"/>
        </w:rPr>
        <w:t xml:space="preserve"> and (ii) issuances of Capital Stock and issuances and incurrences of Indebtedness not restricted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transactions in existence on the Closing Date and any amendment, modification or extension thereof to the extent such amendment, modification or extension, taken as a whole, is not (i) materially adverse to the Lenders or (ii) more disadvantageous to the Lenders than the relevant transaction in existence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the Transactions, including the payment of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(h) ordinary course compensation to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(i) Guarantees permitted by </w:t>
      </w:r>
      <w:r>
        <w:rPr>
          <w:rFonts w:ascii="Times New Roman" w:hAnsi="Times New Roman"/>
          <w:sz w:val="20"/>
          <w:u w:val="single"/>
        </w:rPr>
        <w:t>Section 6.01</w:t>
      </w:r>
      <w:r>
        <w:rPr>
          <w:rFonts w:ascii="Times New Roman" w:hAnsi="Times New Roman"/>
          <w:sz w:val="20"/>
        </w:rPr>
        <w:t xml:space="preserve"> or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[reserved]; </w:t>
      </w:r>
    </w:p>
    <w:p>
      <w:pPr>
        <w:pStyle w:val="TextBody"/>
        <w:bidi w:val="0"/>
        <w:spacing w:before="240" w:after="0"/>
        <w:jc w:val="left"/>
        <w:rPr>
          <w:rFonts w:ascii="Times New Roman" w:hAnsi="Times New Roman"/>
          <w:sz w:val="20"/>
        </w:rPr>
      </w:pPr>
      <w:r>
        <w:rPr>
          <w:rFonts w:ascii="Times New Roman" w:hAnsi="Times New Roman"/>
          <w:sz w:val="20"/>
        </w:rPr>
        <w:t xml:space="preserve">(k) 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Subsidiaries in the ordinary course of business and, in the case of payments to such Person in such capacity on behalf of any Parent Company, to the extent attributable to the operations of the Borrower and/or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transactions with customers, clients, suppliers, joint ventures, purchasers or sellers of goods or services or providers of employees or other labor entered into in the ordinary course of business, which are (i) fair to the Borrower and/or its applicable Subsidiary in the good faith determination of the board of directors (or similar governing body) of the Borrower or the senior management thereof or (ii) on terms at least as favorable as might reasonably be obtained from a Person other than an Affiliate; </w:t>
      </w:r>
    </w:p>
    <w:p>
      <w:pPr>
        <w:pStyle w:val="TextBody"/>
        <w:bidi w:val="0"/>
        <w:spacing w:before="240" w:after="0"/>
        <w:jc w:val="left"/>
        <w:rPr>
          <w:rFonts w:ascii="Times New Roman" w:hAnsi="Times New Roman"/>
          <w:sz w:val="20"/>
        </w:rPr>
      </w:pPr>
      <w:r>
        <w:rPr>
          <w:rFonts w:ascii="Times New Roman" w:hAnsi="Times New Roman"/>
          <w:sz w:val="20"/>
        </w:rPr>
        <w:t xml:space="preserve">(m) the payment of reasonable out-of-pocket costs and expenses related to registration rights and customary indemnities provided to shareholders under any shareholder agreement; </w:t>
      </w:r>
    </w:p>
    <w:p>
      <w:pPr>
        <w:pStyle w:val="TextBody"/>
        <w:bidi w:val="0"/>
        <w:spacing w:before="240" w:after="0"/>
        <w:jc w:val="left"/>
        <w:rPr>
          <w:rFonts w:ascii="Times New Roman" w:hAnsi="Times New Roman"/>
          <w:sz w:val="20"/>
        </w:rPr>
      </w:pPr>
      <w:r>
        <w:rPr>
          <w:rFonts w:ascii="Times New Roman" w:hAnsi="Times New Roman"/>
          <w:sz w:val="20"/>
        </w:rPr>
        <w:t xml:space="preserve">(n) [reserved]; </w:t>
      </w:r>
    </w:p>
    <w:p>
      <w:pPr>
        <w:pStyle w:val="TextBody"/>
        <w:bidi w:val="0"/>
        <w:spacing w:before="240" w:after="0"/>
        <w:jc w:val="left"/>
        <w:rPr>
          <w:rFonts w:ascii="Times New Roman" w:hAnsi="Times New Roman"/>
          <w:sz w:val="20"/>
        </w:rPr>
      </w:pPr>
      <w:r>
        <w:rPr>
          <w:rFonts w:ascii="Times New Roman" w:hAnsi="Times New Roman"/>
          <w:sz w:val="20"/>
        </w:rPr>
        <w:t xml:space="preserve">(o) any transaction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is on terms that are no less favorable to the Borrower or the applicable Subsidiary than might be obtained at the time in a comparable arm’s length transaction from a Person who is not an Affiliate;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any transaction that is approved by the majority of the disinterested members of the board of directors (or similar governing body) of the Borrower in good faith.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Fiscal Year</w:t>
      </w:r>
      <w:r>
        <w:rPr>
          <w:rFonts w:ascii="Times New Roman" w:hAnsi="Times New Roman"/>
          <w:sz w:val="20"/>
        </w:rPr>
        <w:t xml:space="preserve">. In the event that the Borrower elects to change the end date of its Fiscal Year to a date other than as described in the definition of “Fiscal Year”, the Borrower shall notify the Administrative Agent in writing, in which case the Borrower and the Administrative Agent will, and are hereby authorized to, make any adjustment to this Agreement that is necessary to reflect such change in 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Nature of Business</w:t>
      </w:r>
      <w:r>
        <w:rPr>
          <w:rFonts w:ascii="Times New Roman" w:hAnsi="Times New Roman"/>
          <w:sz w:val="20"/>
        </w:rPr>
        <w:t xml:space="preserve">. From and after the Closing Date, the Borrower shall, and shall cause its Subsidiaries to, ensure that any material line of business in which it engages is either a business engaged in by the Borrower or any Subsidiary on the Closing Date or a similar, incidental, complementary, ancillary or related businesses. </w:t>
      </w:r>
    </w:p>
    <w:p>
      <w:pPr>
        <w:pStyle w:val="TextBody"/>
        <w:bidi w:val="0"/>
        <w:spacing w:before="480" w:after="0"/>
        <w:jc w:val="center"/>
        <w:rPr>
          <w:rFonts w:ascii="Times New Roman" w:hAnsi="Times New Roman"/>
          <w:sz w:val="21"/>
        </w:rPr>
      </w:pPr>
      <w:r>
        <w:rPr>
          <w:rFonts w:ascii="Times New Roman" w:hAnsi="Times New Roman"/>
          <w:sz w:val="21"/>
        </w:rPr>
        <w:t xml:space="preserve">ARTICLE 6 </w:t>
      </w:r>
    </w:p>
    <w:p>
      <w:pPr>
        <w:pStyle w:val="TextBody"/>
        <w:bidi w:val="0"/>
        <w:spacing w:before="120" w:after="0"/>
        <w:jc w:val="center"/>
        <w:rPr>
          <w:rFonts w:ascii="Times New Roman" w:hAnsi="Times New Roman"/>
          <w:sz w:val="20"/>
        </w:rPr>
      </w:pPr>
      <w:r>
        <w:rPr>
          <w:rFonts w:ascii="Times New Roman" w:hAnsi="Times New Roman"/>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From the Closing Date and until the Termination Date, Holdings (solely with respect to </w:t>
      </w:r>
      <w:r>
        <w:rPr>
          <w:rFonts w:ascii="Times New Roman" w:hAnsi="Times New Roman"/>
          <w:sz w:val="20"/>
          <w:u w:val="single"/>
        </w:rPr>
        <w:t>Section 6.14</w:t>
      </w:r>
      <w:r>
        <w:rPr>
          <w:rFonts w:ascii="Times New Roman" w:hAnsi="Times New Roman"/>
          <w:sz w:val="20"/>
        </w:rPr>
        <w:t xml:space="preserve">) and the Borrower covenant and agree with the Lenders and the Issuing Banks that: </w:t>
      </w:r>
    </w:p>
    <w:p>
      <w:pPr>
        <w:pStyle w:val="TextBody"/>
        <w:bidi w:val="0"/>
        <w:spacing w:before="12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The Borrower shall not, nor shall it permit any of its Subsidiaries to, directly or indirectly, create, incur, assume or otherwise become or remain liable with respect to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the Secured Obligations (including any Incremental Loans);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of (i) the Borrower owing to any Subsidiary and/or (ii) any Subsidiary owing to the Borrower and/or any other Subsidiary; </w:t>
      </w:r>
      <w:r>
        <w:rPr>
          <w:rFonts w:ascii="Times New Roman" w:hAnsi="Times New Roman"/>
          <w:sz w:val="20"/>
          <w:u w:val="single"/>
        </w:rPr>
        <w:t>provided</w:t>
      </w:r>
      <w:r>
        <w:rPr>
          <w:rFonts w:ascii="Times New Roman" w:hAnsi="Times New Roman"/>
          <w:sz w:val="20"/>
        </w:rPr>
        <w:t xml:space="preserve">, that in the case of any Indebtedness of any Subsidiary that is not a Loan Party owing to the Borrower or any Subsidiary that is a Loan Party, such Indebtedness shall be permitted as an Investment under </w:t>
      </w:r>
      <w:r>
        <w:rPr>
          <w:rFonts w:ascii="Times New Roman" w:hAnsi="Times New Roman"/>
          <w:sz w:val="20"/>
          <w:u w:val="single"/>
        </w:rPr>
        <w:t>Section 6.06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Indebtedness of any Loan Party to any Subsidiary that is not a Loan Party must be unsecured and expressly subordinated to the Obligations of such Loan Party on terms that are reasonably acceptable to the Administrative Agent (including pursuant to an Intercompany Note);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arising from any agreement providing for indemnification, adjustment of purchase price or similar obligations (including contingent earn-out obligations) incurred in connection with any Disposition permitted hereunder, any acquisition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Subsidiary pursuant to any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of the Borrower and/or any Subsidiary (i)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of the Borrower and/or any Subsidiary in respect of Banking Services and/or otherwise in connection with Cash management and Deposit Accounts, including incentive, supplier finance or similar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 guaranties by the Borrower and/or any Subsidiary of the obligations of suppliers, distributors, resellers, customers, licensees and sublicensees in the ordinary course of business, (ii) Indebtedness incurred in the ordinary course of business in respect of obligations of the Borrower and/or any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Guarantees by the Borrower and/or any Subsidiary of Indebtedness or other obligations of the Borrower and/or any Subsidiary and/or any joint venture with respect to Indebtedness otherwise permitted to be incurred pursuant to this </w:t>
      </w:r>
      <w:r>
        <w:rPr>
          <w:rFonts w:ascii="Times New Roman" w:hAnsi="Times New Roman"/>
          <w:sz w:val="20"/>
          <w:u w:val="single"/>
        </w:rPr>
        <w:t>Section 6.01</w:t>
      </w:r>
      <w:r>
        <w:rPr>
          <w:rFonts w:ascii="Times New Roman" w:hAnsi="Times New Roman"/>
          <w:sz w:val="20"/>
        </w:rPr>
        <w:t xml:space="preserve"> or other obligations not prohibited by this Agreement; </w:t>
      </w:r>
      <w:r>
        <w:rPr>
          <w:rFonts w:ascii="Times New Roman" w:hAnsi="Times New Roman"/>
          <w:sz w:val="20"/>
          <w:u w:val="single"/>
        </w:rPr>
        <w:t>provided</w:t>
      </w:r>
      <w:r>
        <w:rPr>
          <w:rFonts w:ascii="Times New Roman" w:hAnsi="Times New Roman"/>
          <w:sz w:val="20"/>
        </w:rPr>
        <w:t xml:space="preserve">, that in the case of any Guarantee by any Loan Party of the obligations of any Subsidiary not being a Loan Party or of any joint venture, the related Investment is permitted under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of the Borrower and/or any Subsidiary existing, or pursuant to commitments existing, on the Closing Date; </w:t>
      </w:r>
      <w:r>
        <w:rPr>
          <w:rFonts w:ascii="Times New Roman" w:hAnsi="Times New Roman"/>
          <w:sz w:val="20"/>
          <w:u w:val="single"/>
        </w:rPr>
        <w:t>provided</w:t>
      </w:r>
      <w:r>
        <w:rPr>
          <w:rFonts w:ascii="Times New Roman" w:hAnsi="Times New Roman"/>
          <w:sz w:val="20"/>
        </w:rPr>
        <w:t xml:space="preserve">, that any such Indebtedness in excess of $10,000,000 shall be described on </w:t>
      </w:r>
      <w:r>
        <w:rPr>
          <w:rFonts w:ascii="Times New Roman" w:hAnsi="Times New Roman"/>
          <w:sz w:val="20"/>
          <w:u w:val="single"/>
        </w:rPr>
        <w:t>Schedule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Surety Bond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(k) Indebtedness of the Borrower and/or any Subsidiary consisting of obligations owing under incentive (including dealer incentive), supply, distribution, resale, vendor, license, sublicense or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of the Borrower and/or any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Indebtedness of the Borrower and/or any Subsidiary with respect to Capital Leases and purchase money Indebtedness; </w:t>
      </w:r>
      <w:r>
        <w:rPr>
          <w:rFonts w:ascii="Times New Roman" w:hAnsi="Times New Roman"/>
          <w:sz w:val="20"/>
          <w:u w:val="single"/>
        </w:rPr>
        <w:t>provided</w:t>
      </w:r>
      <w:r>
        <w:rPr>
          <w:rFonts w:ascii="Times New Roman" w:hAnsi="Times New Roman"/>
          <w:sz w:val="20"/>
        </w:rPr>
        <w:t xml:space="preserve">, that the aggregate outstanding principal amount of Indebtedness of the Borrower and/or any Subsidiary with respect to Capital Leases and purchase money Indebtedness shall not exceed the greater of $122,500,000 and 35%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of any Person that becomes a Subsidiary or Indebtedness assumed in connection with any acquisition or similar Investment permitted hereunder after the Closing Date; </w:t>
      </w:r>
      <w:r>
        <w:rPr>
          <w:rFonts w:ascii="Times New Roman" w:hAnsi="Times New Roman"/>
          <w:sz w:val="20"/>
          <w:u w:val="single"/>
        </w:rPr>
        <w:t>provided</w:t>
      </w:r>
      <w:r>
        <w:rPr>
          <w:rFonts w:ascii="Times New Roman" w:hAnsi="Times New Roman"/>
          <w:sz w:val="20"/>
        </w:rPr>
        <w:t xml:space="preserve">, that (i) such Indebtedness (A) existed at the time such Person became a Subsidiary or the assets subject to such Indebtedness were acquired and (B) was not created or incurred in anticipation thereof, and (ii) the aggregate outstanding principal amount of such Indebtedness does not exceed the greater of $87,500,000 and 25%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(o) Indebtedness consisting of promissory notes issued by the Borrower or any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Times New Roman" w:hAnsi="Times New Roman"/>
          <w:sz w:val="20"/>
          <w:u w:val="single"/>
        </w:rPr>
        <w:t>Section 6.04(a)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Indebtedness refinancing, refunding or replacing any Indebtedness permitted under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w:t>
      </w:r>
      <w:r>
        <w:rPr>
          <w:rFonts w:ascii="Times New Roman" w:hAnsi="Times New Roman"/>
          <w:sz w:val="20"/>
          <w:u w:val="single"/>
        </w:rPr>
        <w:t>(z)</w:t>
      </w:r>
      <w:r>
        <w:rPr>
          <w:rFonts w:ascii="Times New Roman" w:hAnsi="Times New Roman"/>
          <w:sz w:val="20"/>
        </w:rPr>
        <w:t xml:space="preserve"> and/or </w:t>
      </w:r>
      <w:r>
        <w:rPr>
          <w:rFonts w:ascii="Times New Roman" w:hAnsi="Times New Roman"/>
          <w:sz w:val="20"/>
          <w:u w:val="single"/>
        </w:rPr>
        <w:t>(ff)</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(in any case, including any refinancing Indebtedness incurred in respect thereof, “</w:t>
      </w:r>
      <w:r>
        <w:rPr>
          <w:rFonts w:ascii="Times New Roman" w:hAnsi="Times New Roman"/>
          <w:sz w:val="20"/>
          <w:u w:val="single"/>
        </w:rPr>
        <w:t>Refinancing Indebtedness</w:t>
      </w:r>
      <w:r>
        <w:rPr>
          <w:rFonts w:ascii="Times New Roman" w:hAnsi="Times New Roman"/>
          <w:sz w:val="20"/>
        </w:rPr>
        <w:t xml:space="preserve">”) and any subsequent Refinancing Indebtedness in respect thereof;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principal amount of such Indebtedness does not exceed the principal amount of the Indebtedness being refinanced, refunded or replaced, except by (A) an amount equal to unpaid accrued interest, penalties and premiums (including tender premiums) thereon plus underwriting discounts, other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(1) any additional Indebtedness referenced in this </w:t>
      </w:r>
      <w:r>
        <w:rPr>
          <w:rFonts w:ascii="Times New Roman" w:hAnsi="Times New Roman"/>
          <w:sz w:val="20"/>
          <w:u w:val="single"/>
        </w:rPr>
        <w:t>clause (C)</w:t>
      </w:r>
      <w:r>
        <w:rPr>
          <w:rFonts w:ascii="Times New Roman" w:hAnsi="Times New Roman"/>
          <w:sz w:val="20"/>
        </w:rPr>
        <w:t xml:space="preserve"> satisfies the other applicable requirements of this definition (with additional amounts incurred in reliance on this </w:t>
      </w:r>
      <w:r>
        <w:rPr>
          <w:rFonts w:ascii="Times New Roman" w:hAnsi="Times New Roman"/>
          <w:sz w:val="20"/>
          <w:u w:val="single"/>
        </w:rPr>
        <w:t>clause (C)</w:t>
      </w:r>
      <w:r>
        <w:rPr>
          <w:rFonts w:ascii="Times New Roman" w:hAnsi="Times New Roman"/>
          <w:sz w:val="20"/>
        </w:rPr>
        <w:t xml:space="preserve"> constituting a utilization of the relevant basket or exception pursuant to which such additional amount is permitted) and (2) if such additional Indebtedness is secured, the Lien securing such Indebtedness satisfies the applicable requirements of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other than in the case of Refinancing Indebtedness with respect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(x)</w:t>
      </w:r>
      <w:r>
        <w:rPr>
          <w:rFonts w:ascii="Times New Roman" w:hAnsi="Times New Roman"/>
          <w:sz w:val="20"/>
        </w:rPr>
        <w:t xml:space="preserve"> and/or </w:t>
      </w:r>
      <w:r>
        <w:rPr>
          <w:rFonts w:ascii="Times New Roman" w:hAnsi="Times New Roman"/>
          <w:sz w:val="20"/>
          <w:u w:val="single"/>
        </w:rPr>
        <w:t>(y)</w:t>
      </w:r>
      <w:r>
        <w:rPr>
          <w:rFonts w:ascii="Times New Roman" w:hAnsi="Times New Roman"/>
          <w:sz w:val="20"/>
        </w:rPr>
        <w:t xml:space="preserve">, such Indebtedness has (A) a final maturity equal to or later than (and, in the case of revolving Indebtedness, does not require mandatory commitment reductions, if any, prior to) the earlier of (x) the Latest Maturity Date and (y) the final maturity of the Indebtedness being refinanced, refunded or replaced and (B) other than with respect to revolving Indebtedness, such Refinancing Indebtedness has a Weighted Average Life to Maturity equal to or greater than the Weighted Average Life to Maturity of the Indebtedness being refinanced, refunded or replaced (without giving effect to any prepayment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(iii) the terms of any Refinancing Indebtedness with an original principal amount in excess of the Threshold Amount (excluding, to the extent applicable, pricing, fees, premiums, rate floors, optional prepayment, redemption terms or subordination terms and, with respect to Refinancing Indebtedness incurred in respect of Indebtedness permitted under </w:t>
      </w:r>
      <w:r>
        <w:rPr>
          <w:rFonts w:ascii="Times New Roman" w:hAnsi="Times New Roman"/>
          <w:sz w:val="20"/>
          <w:u w:val="single"/>
        </w:rPr>
        <w:t>clause (a)</w:t>
      </w:r>
      <w:r>
        <w:rPr>
          <w:rFonts w:ascii="Times New Roman" w:hAnsi="Times New Roman"/>
          <w:sz w:val="20"/>
        </w:rPr>
        <w:t xml:space="preserve"> above, security), are not, taken as a whole (as reasonably determined by the Borrower), more favorable to the lenders providing such Indebtedness than those applicable to the Indebtedness being refinanced, refunded or replaced (other than (A) any covenants or other provisions applicable only to periods after the applicable maturity date of the debt then-being refinanced as of such date, (B) any covenants or provisions which reflect then-current market terms for the applicable type of Indebtedness or (C) any covenant or other provision which is conformed (or added) to the Loan Documents for the benefit of the Lenders or, as applicable, the Administrative Agent pursuant to an amendment to this Agreement effectuated in reliance on </w:t>
      </w:r>
      <w:r>
        <w:rPr>
          <w:rFonts w:ascii="Times New Roman" w:hAnsi="Times New Roman"/>
          <w:sz w:val="20"/>
          <w:u w:val="single"/>
        </w:rPr>
        <w:t>Section 9.02(d)(ii)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Refinancing Indebtedness with respect to Indebtedness permitted under </w:t>
      </w:r>
      <w:r>
        <w:rPr>
          <w:rFonts w:ascii="Times New Roman" w:hAnsi="Times New Roman"/>
          <w:sz w:val="20"/>
          <w:u w:val="single"/>
        </w:rPr>
        <w:t>clauses (m)</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(solely as it relates to the Fixed Incremental Amount), </w:t>
      </w:r>
      <w:r>
        <w:rPr>
          <w:rFonts w:ascii="Times New Roman" w:hAnsi="Times New Roman"/>
          <w:sz w:val="20"/>
          <w:u w:val="single"/>
        </w:rPr>
        <w:t>(y)</w:t>
      </w:r>
      <w:r>
        <w:rPr>
          <w:rFonts w:ascii="Times New Roman" w:hAnsi="Times New Roman"/>
          <w:sz w:val="20"/>
        </w:rPr>
        <w:t xml:space="preserve">, </w:t>
      </w:r>
      <w:r>
        <w:rPr>
          <w:rFonts w:ascii="Times New Roman" w:hAnsi="Times New Roman"/>
          <w:sz w:val="20"/>
          <w:u w:val="single"/>
        </w:rPr>
        <w:t>(z)</w:t>
      </w:r>
      <w:r>
        <w:rPr>
          <w:rFonts w:ascii="Times New Roman" w:hAnsi="Times New Roman"/>
          <w:sz w:val="20"/>
        </w:rPr>
        <w:t xml:space="preserve"> (solely as it relates to the Fixed Incremental Amount) and/or </w:t>
      </w:r>
      <w:r>
        <w:rPr>
          <w:rFonts w:ascii="Times New Roman" w:hAnsi="Times New Roman"/>
          <w:sz w:val="20"/>
          <w:u w:val="single"/>
        </w:rPr>
        <w:t>(ff)</w:t>
      </w:r>
      <w:r>
        <w:rPr>
          <w:rFonts w:ascii="Times New Roman" w:hAnsi="Times New Roman"/>
          <w:sz w:val="20"/>
        </w:rPr>
        <w:t xml:space="preserve"> (solely as it relates to the Fixed Incremental Amount) of this </w:t>
      </w:r>
      <w:r>
        <w:rPr>
          <w:rFonts w:ascii="Times New Roman" w:hAnsi="Times New Roman"/>
          <w:sz w:val="20"/>
          <w:u w:val="single"/>
        </w:rPr>
        <w:t>Section 6.01</w:t>
      </w:r>
      <w:r>
        <w:rPr>
          <w:rFonts w:ascii="Times New Roman" w:hAnsi="Times New Roman"/>
          <w:sz w:val="20"/>
        </w:rPr>
        <w:t xml:space="preserve">, the incurrence thereof shall be without duplication of any amounts outstanding in reliance on the relevant clause such that the amount available under the relevant clause shall be reduced by the amount of the applicable Refinancing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(v) except in the case of Refinancing Indebtedness incurred in respect of Indebtedness permitted under </w:t>
      </w:r>
      <w:r>
        <w:rPr>
          <w:rFonts w:ascii="Times New Roman" w:hAnsi="Times New Roman"/>
          <w:sz w:val="20"/>
          <w:u w:val="single"/>
        </w:rPr>
        <w:t>clause (a)</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(A) such Indebtedness, if secured, is secured only by Permitted Liens at the time of such refinancing, refunding or replacement (it being understood that secured Indebtedness may be refinanced with unsecured Indebtedness), and if the Liens securing such Indebtedness were originally contractually subordinated to the Liens on the Collateral securing the Loans, the Liens securing such Indebtedness are subordinated to the Liens on the Collateral securing the Loans on terms not materially less favorable (as reasonably determined by the Borrower), taken as a whole, to the Lenders than those (1) applicable to the Liens securing the Indebtedness being refinanced, refunded or replaced, taken as a whole or (2) set forth in any applicable Intercreditor Agreement, (B) such Indebtedness is incurred by the obligor or obligors in respect of the Indebtedness being refinanced, refunded or replaced, except to the extent otherwise permitted pursuant to this </w:t>
      </w:r>
      <w:r>
        <w:rPr>
          <w:rFonts w:ascii="Times New Roman" w:hAnsi="Times New Roman"/>
          <w:sz w:val="20"/>
          <w:u w:val="single"/>
        </w:rPr>
        <w:t>Section 6.01</w:t>
      </w:r>
      <w:r>
        <w:rPr>
          <w:rFonts w:ascii="Times New Roman" w:hAnsi="Times New Roman"/>
          <w:sz w:val="20"/>
        </w:rPr>
        <w:t xml:space="preserve"> (it being understood that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(C) if the Indebtedness being refinanced, refunded or replaced was expressly contractually subordinated to the Obligations in right of payment, (1) such Refinancing Indebtedness is contractually subordinated to the Obligations in right of payment, or (2) if such Refinancing Indebtedness is not contractually subordinated to the Obligations in right of payment, the purchase, defeasance, redemption, repurchase, repayment, refinancing or other acquisition or retirement of such Indebtedness is permitted under </w:t>
      </w:r>
      <w:r>
        <w:rPr>
          <w:rFonts w:ascii="Times New Roman" w:hAnsi="Times New Roman"/>
          <w:sz w:val="20"/>
          <w:u w:val="single"/>
        </w:rPr>
        <w:t>Section 6.04(b)</w:t>
      </w:r>
      <w:r>
        <w:rPr>
          <w:rFonts w:ascii="Times New Roman" w:hAnsi="Times New Roman"/>
          <w:sz w:val="20"/>
        </w:rPr>
        <w:t xml:space="preserve"> (other than </w:t>
      </w:r>
      <w:r>
        <w:rPr>
          <w:rFonts w:ascii="Times New Roman" w:hAnsi="Times New Roman"/>
          <w:sz w:val="20"/>
          <w:u w:val="single"/>
        </w:rPr>
        <w:t>Section 6.04(b)(i)</w:t>
      </w:r>
      <w:r>
        <w:rPr>
          <w:rFonts w:ascii="Times New Roman" w:hAnsi="Times New Roman"/>
          <w:sz w:val="20"/>
        </w:rPr>
        <w:t xml:space="preserve">), and (D) as of the date of the incurrence of such Indebtedness and after giving effect thereto, no Event of Default under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in the case of Replacement Debt, (A) such Indebtedness is </w:t>
      </w:r>
      <w:r>
        <w:rPr>
          <w:rFonts w:ascii="Times New Roman" w:hAnsi="Times New Roman"/>
          <w:i/>
          <w:sz w:val="20"/>
        </w:rPr>
        <w:t>pari passu</w:t>
      </w:r>
      <w:r>
        <w:rPr>
          <w:rFonts w:ascii="Times New Roman" w:hAnsi="Times New Roman"/>
          <w:sz w:val="20"/>
        </w:rPr>
        <w:t xml:space="preserve"> or junior in right of payment and secured by the Collateral on a </w:t>
      </w:r>
      <w:r>
        <w:rPr>
          <w:rFonts w:ascii="Times New Roman" w:hAnsi="Times New Roman"/>
          <w:i/>
          <w:sz w:val="20"/>
        </w:rPr>
        <w:t>pari passu</w:t>
      </w:r>
      <w:r>
        <w:rPr>
          <w:rFonts w:ascii="Times New Roman" w:hAnsi="Times New Roman"/>
          <w:sz w:val="20"/>
        </w:rPr>
        <w:t xml:space="preserve"> or junior basis with respect to the remaining Obligations hereunder, or is unsecured; </w:t>
      </w:r>
      <w:r>
        <w:rPr>
          <w:rFonts w:ascii="Times New Roman" w:hAnsi="Times New Roman"/>
          <w:sz w:val="20"/>
          <w:u w:val="single"/>
        </w:rPr>
        <w:t>provided</w:t>
      </w:r>
      <w:r>
        <w:rPr>
          <w:rFonts w:ascii="Times New Roman" w:hAnsi="Times New Roman"/>
          <w:sz w:val="20"/>
        </w:rPr>
        <w:t xml:space="preserve">, that any such Refinancing Indebtedness that is </w:t>
      </w:r>
      <w:r>
        <w:rPr>
          <w:rFonts w:ascii="Times New Roman" w:hAnsi="Times New Roman"/>
          <w:i/>
          <w:sz w:val="20"/>
        </w:rPr>
        <w:t>pari passu</w:t>
      </w:r>
      <w:r>
        <w:rPr>
          <w:rFonts w:ascii="Times New Roman" w:hAnsi="Times New Roman"/>
          <w:sz w:val="20"/>
        </w:rPr>
        <w:t xml:space="preserve"> or junior with respect to the Collateral or unsecured and subordinated in right of payment to the Obligations shall be subject to an Acceptable Intercreditor Agreement, (B) if the Indebtedness being refinanced, refunded or replaced is secured, it is not secured by any assets other than the Collateral, (C) if the Indebtedness being refinanced, refunded or replaced is Guaranteed, it shall not be Guaranteed by any Person that is not a Loan Party and (D) such Refinancing Indebtedness is incurred under (and pursuant to) documentation other than this Agreement; it being understood and agreed that any such Refinancing Indebtedness that is </w:t>
      </w:r>
      <w:r>
        <w:rPr>
          <w:rFonts w:ascii="Times New Roman" w:hAnsi="Times New Roman"/>
          <w:i/>
          <w:sz w:val="20"/>
        </w:rPr>
        <w:t>pari passu</w:t>
      </w:r>
      <w:r>
        <w:rPr>
          <w:rFonts w:ascii="Times New Roman" w:hAnsi="Times New Roman"/>
          <w:sz w:val="20"/>
        </w:rPr>
        <w:t xml:space="preserve"> with the Loans hereunder in right of payment and secured by the Collateral on a </w:t>
      </w:r>
      <w:r>
        <w:rPr>
          <w:rFonts w:ascii="Times New Roman" w:hAnsi="Times New Roman"/>
          <w:i/>
          <w:sz w:val="20"/>
        </w:rPr>
        <w:t>pari passu</w:t>
      </w:r>
      <w:r>
        <w:rPr>
          <w:rFonts w:ascii="Times New Roman" w:hAnsi="Times New Roman"/>
          <w:sz w:val="20"/>
        </w:rPr>
        <w:t xml:space="preserve"> basis with respect to the Secured Obligations hereunder that are secured on a First Priority Lien basis with respect to the Collateral may participate in any voluntary prepayment of Loans as set forth in </w:t>
      </w:r>
      <w:r>
        <w:rPr>
          <w:rFonts w:ascii="Times New Roman" w:hAnsi="Times New Roman"/>
          <w:sz w:val="20"/>
          <w:u w:val="single"/>
        </w:rPr>
        <w:t>Section 2.11(a)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[reserved]; </w:t>
      </w:r>
    </w:p>
    <w:p>
      <w:pPr>
        <w:pStyle w:val="TextBody"/>
        <w:bidi w:val="0"/>
        <w:spacing w:before="240" w:after="0"/>
        <w:jc w:val="left"/>
        <w:rPr>
          <w:rFonts w:ascii="Times New Roman" w:hAnsi="Times New Roman"/>
          <w:sz w:val="20"/>
        </w:rPr>
      </w:pPr>
      <w:r>
        <w:rPr>
          <w:rFonts w:ascii="Times New Roman" w:hAnsi="Times New Roman"/>
          <w:sz w:val="20"/>
        </w:rPr>
        <w:t xml:space="preserve">(r) Indebtedness of the Borrower and/or any Subsidiary in an aggregate outstanding principal amount not to exceed 100% of the amount of Net Proceeds received by the Borrower and/or any Subsidiary from (i) the issuance or sale of Qualified Capital Stock or (ii) any cash contribution to its common equity with the Net Proceeds from the issuance and sale by any Parent Company of its Qualified Capital Stock or a contribution to the common equity of any Parent Company, in each case, (A) other than any Net Proceeds received from the sale of Capital Stock to, or contributions from, the Borrower or any of its Subsidiaries, (B) to the extent the relevant Net Proceeds have not otherwise been applied to make Investments, Restricted Payments or Restricted Debt Payments hereunder and (C) other than any Cure Amount and/or any Available Excluded Contribution Amount; </w:t>
      </w:r>
    </w:p>
    <w:p>
      <w:pPr>
        <w:pStyle w:val="TextBody"/>
        <w:bidi w:val="0"/>
        <w:spacing w:before="240" w:after="0"/>
        <w:jc w:val="left"/>
        <w:rPr>
          <w:rFonts w:ascii="Times New Roman" w:hAnsi="Times New Roman"/>
          <w:sz w:val="20"/>
        </w:rPr>
      </w:pPr>
      <w:r>
        <w:rPr>
          <w:rFonts w:ascii="Times New Roman" w:hAnsi="Times New Roman"/>
          <w:sz w:val="20"/>
        </w:rPr>
        <w:t xml:space="preserve">(s) Indebtedness of the Borrower and/or any Subsidiary under any Derivative Transaction not entered into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(t) Indebtedness of the Borrower and/or any Subsidiary representing (i) deferred compensation to current or former directors, officers, employees, members of management, managers, and consultants of any Parent Company, the Borrower and/or any Subsidiary in the ordinary course of business and (ii) deferred compensation or other similar arrangements in connection with the Transactions, any Permitted Acquisition or any other Investment permitted hereby; </w:t>
      </w:r>
    </w:p>
    <w:p>
      <w:pPr>
        <w:pStyle w:val="TextBody"/>
        <w:bidi w:val="0"/>
        <w:spacing w:before="240" w:after="0"/>
        <w:jc w:val="left"/>
        <w:rPr>
          <w:rFonts w:ascii="Times New Roman" w:hAnsi="Times New Roman"/>
          <w:sz w:val="20"/>
        </w:rPr>
      </w:pPr>
      <w:r>
        <w:rPr>
          <w:rFonts w:ascii="Times New Roman" w:hAnsi="Times New Roman"/>
          <w:sz w:val="20"/>
        </w:rPr>
        <w:t xml:space="preserve">(u) Indebtedness of the Borrower and/or any Subsidiary in an aggregate outstanding principal amount not to exceed the greater of $175,000,000 and 50%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(v) [reserved]; </w:t>
      </w:r>
    </w:p>
    <w:p>
      <w:pPr>
        <w:pStyle w:val="TextBody"/>
        <w:bidi w:val="0"/>
        <w:spacing w:before="240" w:after="0"/>
        <w:jc w:val="left"/>
        <w:rPr>
          <w:rFonts w:ascii="Times New Roman" w:hAnsi="Times New Roman"/>
          <w:sz w:val="20"/>
        </w:rPr>
      </w:pPr>
      <w:r>
        <w:rPr>
          <w:rFonts w:ascii="Times New Roman" w:hAnsi="Times New Roman"/>
          <w:sz w:val="20"/>
        </w:rPr>
        <w:t xml:space="preserve">(w) Indebtedness of the Borrower and/or any Subsidiary not to exceed (a) the Fixed Incremental Amount </w:t>
      </w:r>
      <w:r>
        <w:rPr>
          <w:rFonts w:ascii="Times New Roman" w:hAnsi="Times New Roman"/>
          <w:sz w:val="20"/>
          <w:u w:val="single"/>
        </w:rPr>
        <w:t>plus</w:t>
      </w:r>
      <w:r>
        <w:rPr>
          <w:rFonts w:ascii="Times New Roman" w:hAnsi="Times New Roman"/>
          <w:sz w:val="20"/>
        </w:rPr>
        <w:t xml:space="preserve"> (b) an additional amount so long as, after giving effect thereto on a Pro Forma Basis as of the last day of the most recently ended Test Period, including the application of the proceeds thereof (in each case, without “netting” the cash proceeds of the applicable Indebtedness being incurred and, in the case of any revolving indebtedness, assuming a full utilization thereof), giving effect to any related transaction in connection therewith and all customary pro forma events and adjustments (such Indebtedness, “</w:t>
      </w:r>
      <w:r>
        <w:rPr>
          <w:rFonts w:ascii="Times New Roman" w:hAnsi="Times New Roman"/>
          <w:sz w:val="20"/>
          <w:u w:val="single"/>
        </w:rPr>
        <w:t>Ratio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such Indebtedness is secured by a Lien on the Collateral that is </w:t>
      </w:r>
      <w:r>
        <w:rPr>
          <w:rFonts w:ascii="Times New Roman" w:hAnsi="Times New Roman"/>
          <w:i/>
          <w:sz w:val="20"/>
        </w:rPr>
        <w:t>pari passu</w:t>
      </w:r>
      <w:r>
        <w:rPr>
          <w:rFonts w:ascii="Times New Roman" w:hAnsi="Times New Roman"/>
          <w:sz w:val="20"/>
        </w:rPr>
        <w:t xml:space="preserve"> with the Lien on the Collateral securing the Initial Revolving Facility, the First Lien Leverage Ratio does not exceed 2.00:1.00;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such Indebtedness is secured by a Lien on the Collateral that is junior to the Lien on the Collateral securing the Initial Revolving Facility, the Secured Leverage Ratio does not exceed 2.00:1.00; or </w:t>
      </w:r>
    </w:p>
    <w:p>
      <w:pPr>
        <w:pStyle w:val="TextBody"/>
        <w:bidi w:val="0"/>
        <w:spacing w:before="120" w:after="0"/>
        <w:jc w:val="left"/>
        <w:rPr>
          <w:rFonts w:ascii="Times New Roman" w:hAnsi="Times New Roman"/>
          <w:sz w:val="20"/>
        </w:rPr>
      </w:pPr>
      <w:r>
        <w:rPr>
          <w:rFonts w:ascii="Times New Roman" w:hAnsi="Times New Roman"/>
          <w:sz w:val="20"/>
        </w:rPr>
        <w:t xml:space="preserve">(iii) if such Indebtedness is unsecured or is secured by assets that do not constitute Collateral, the Total Net Leverage Ratio does not exceed 3.00:1.00;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(x) the final maturity date with respect to such Ratio Debt is no earlier than the Latest Maturity Date on the date of the incurrence thereof (or earlier than 91 days after the Latest Maturity Date then in effect in the case of any Ratio Debt that is unsecured or junior in right of payment or security to the Initial Revolving Facility) and (y) no Ratio Debt in the form of a revolving facility shall require any mandatory or scheduled commitment reductions prior to the Latest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no Ratio Debt shall have a Weighted Average Life to Maturity that is shorter than the remaining Weighted Average Life to Maturity of any Incremental Term Loans outstanding at the time of incurrence of such Ratio Debt, </w:t>
      </w:r>
    </w:p>
    <w:p>
      <w:pPr>
        <w:pStyle w:val="TextBody"/>
        <w:bidi w:val="0"/>
        <w:spacing w:before="120" w:after="0"/>
        <w:jc w:val="left"/>
        <w:rPr>
          <w:rFonts w:ascii="Times New Roman" w:hAnsi="Times New Roman"/>
          <w:sz w:val="20"/>
        </w:rPr>
      </w:pPr>
      <w:r>
        <w:rPr>
          <w:rFonts w:ascii="Times New Roman" w:hAnsi="Times New Roman"/>
          <w:sz w:val="20"/>
        </w:rPr>
        <w:t xml:space="preserve">(C) such Ratio Debt may rank </w:t>
      </w:r>
      <w:r>
        <w:rPr>
          <w:rFonts w:ascii="Times New Roman" w:hAnsi="Times New Roman"/>
          <w:i/>
          <w:sz w:val="20"/>
        </w:rPr>
        <w:t>pari passu</w:t>
      </w:r>
      <w:r>
        <w:rPr>
          <w:rFonts w:ascii="Times New Roman" w:hAnsi="Times New Roman"/>
          <w:sz w:val="20"/>
        </w:rPr>
        <w:t xml:space="preserve"> with or junior to any then-existing Class of Loans in right of payment and/or security or may be unsecured (and to the extent the relevant Ratio Debt is secured or unsecured and subordinated in right of payment to the Obligations, it shall be subject to an Acceptable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(D) no Ratio Debt may be (1) guaranteed by any Person (it being understood that the obligations of any Person with respect to any escrow arrangement into which such Ratio Debt proceeds are deposited shall not constitute a guarantee) other than a Loan Guarantor or (2) secured by any assets other than the Collateral (other than with respect to proceeds of such Ratio Debt that are subject to (and only for so long as they are subject to) an escrow or other similar arrangements and any related deposit of Cash or Cash Equivalents to cover interest and premium with respect to such Ratio Debt), and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herein, no Subsidiary that does not constitute a Loan Party may incur or issue Ratio Debt if, on a pro forma basis after giving effect thereto, to the aggregate outstanding principal amount of Ratio Debt incurred by Subsidiaries that are not Loan Parties would exceed the greater of (x) $87,500,000 and (y) 25% of Consolidated Adjusted EBITDA as of the last day of the most recently ended Test Period (calculated on a Pro Forma Basis);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240" w:after="0"/>
        <w:jc w:val="left"/>
        <w:rPr>
          <w:rFonts w:ascii="Times New Roman" w:hAnsi="Times New Roman"/>
          <w:sz w:val="20"/>
        </w:rPr>
      </w:pPr>
      <w:r>
        <w:rPr>
          <w:rFonts w:ascii="Times New Roman" w:hAnsi="Times New Roman"/>
          <w:sz w:val="20"/>
        </w:rPr>
        <w:t xml:space="preserve">(y) Indebtedness of the Borrower and/or any Subsidiary incurred in connection with Sale and Lease-Back Transactions permitted pursuant to </w:t>
      </w:r>
      <w:r>
        <w:rPr>
          <w:rFonts w:ascii="Times New Roman" w:hAnsi="Times New Roman"/>
          <w:sz w:val="20"/>
          <w:u w:val="single"/>
        </w:rPr>
        <w:t>Section 6.07(bb)(iii)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(z) Incremental Equivalent Debt; </w:t>
      </w:r>
    </w:p>
    <w:p>
      <w:pPr>
        <w:pStyle w:val="TextBody"/>
        <w:bidi w:val="0"/>
        <w:spacing w:before="240" w:after="0"/>
        <w:jc w:val="left"/>
        <w:rPr>
          <w:rFonts w:ascii="Times New Roman" w:hAnsi="Times New Roman"/>
          <w:sz w:val="20"/>
        </w:rPr>
      </w:pPr>
      <w:r>
        <w:rPr>
          <w:rFonts w:ascii="Times New Roman" w:hAnsi="Times New Roman"/>
          <w:sz w:val="20"/>
        </w:rPr>
        <w:t xml:space="preserve">(aa) Indebtedness (including obligations in respect of letters of credit, bank guarantees, surety bonds, performance bonds or similar instruments with respect to such Indebtedness) incurred by the Borrower and/or any Subsidiary in respect of workers compensation claims, unemployment insurance (including premiums related thereto), other types of social security, pension obligations, vacation pay, health, disability or other employee benefits; </w:t>
      </w:r>
    </w:p>
    <w:p>
      <w:pPr>
        <w:pStyle w:val="TextBody"/>
        <w:bidi w:val="0"/>
        <w:spacing w:before="240" w:after="0"/>
        <w:jc w:val="left"/>
        <w:rPr>
          <w:rFonts w:ascii="Times New Roman" w:hAnsi="Times New Roman"/>
          <w:sz w:val="20"/>
        </w:rPr>
      </w:pPr>
      <w:r>
        <w:rPr>
          <w:rFonts w:ascii="Times New Roman" w:hAnsi="Times New Roman"/>
          <w:sz w:val="20"/>
        </w:rPr>
        <w:t xml:space="preserve">(bb)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Indebtedness of the Borrower and/or any Subsidiary in respect of any letter of credit or bank guarantee issued in favor of any Issuing Bank or the Swingline Lender to support any Defaulting Lender’s participation in Letters of Credit issued or Swingline Loans made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(dd) Indebtedness of the Borrower or any Subsidiary supported by any letter of credit permitted by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(ee) unfunded pension fund and other employee benefit plan obligations and liabilities incurred by the Borrower and/or any Subsidiary in the ordinary course of business to the extent that the unfunded amounts would not otherwise cause an Event of Default under </w:t>
      </w:r>
      <w:r>
        <w:rPr>
          <w:rFonts w:ascii="Times New Roman" w:hAnsi="Times New Roman"/>
          <w:sz w:val="20"/>
          <w:u w:val="single"/>
        </w:rPr>
        <w:t>Section 7.01(i)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(ff) in connection with any Permitted Receivables Facility, Indebtedness incurred in connection with a Permitted Receivables Facility in an aggregate outstanding principal amount not to exceed $50,000,000; </w:t>
      </w:r>
    </w:p>
    <w:p>
      <w:pPr>
        <w:pStyle w:val="TextBody"/>
        <w:bidi w:val="0"/>
        <w:spacing w:before="240" w:after="0"/>
        <w:jc w:val="left"/>
        <w:rPr>
          <w:rFonts w:ascii="Times New Roman" w:hAnsi="Times New Roman"/>
          <w:sz w:val="20"/>
        </w:rPr>
      </w:pPr>
      <w:r>
        <w:rPr>
          <w:rFonts w:ascii="Times New Roman" w:hAnsi="Times New Roman"/>
          <w:sz w:val="20"/>
        </w:rPr>
        <w:t xml:space="preserve">(gg) customer deposits and advance payments received in the ordinary course of business from customers for goods and services purchased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(hh) without duplication of any other Indebtedness, all premiums (if any), interest (including post-petition interest and payment in kind interest), accretion or amortization of original issue discount, fees, expenses and charges with respect to Indebtedness of the Borrower and/or any Subsidiary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The Borrower shall not, nor shall it permit any Subsidiary to, create, incur, assume or permit or suffer to exist any Lien with respect to any property of any kind owned by it, whether now owned or hereafter acquired, or any income or profits therefrom, in each case, to secure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securing the Secured Obligations created pursuant to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Liens for Taxes which (i) are not then due, (ii) if due, are not at such time required to be paid or (iii) are not required to be paid in accordance with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30 days, (ii) for amounts that are overdue by more than 30 days and that are being contested in good faith by appropriate proceedings, so long as any reserves or other appropriate provisions required by GAAP have been made for any such contested amounts or (iii) with respect to which the failure to make payment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Liens incurred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(x) any liability for reimbursement or indemnification obligations of insurance carriers providing property, casualty, liability or other insurance to Holdings, the Borrower and/or any Subsidiary or (y) leases or 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(e) Liens consisting of easements, rights-of-way, restrictions, encroachments and other minor defects or irregularities in title, in each case, which do not secure any Indebtedness and do not, in the aggregate, materially interfere with the ordinary conduct of the business of the Borrower and/or its Subsidiaries, taken as a whole, or the use of the affected property for its intended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 (iv) subordination of the interest of the lessee or sub-lessee under such lease to any restriction or encumbrance referred to in the preceding </w:t>
      </w:r>
      <w:r>
        <w:rPr>
          <w:rFonts w:ascii="Times New Roman" w:hAnsi="Times New Roman"/>
          <w:sz w:val="20"/>
          <w:u w:val="single"/>
        </w:rPr>
        <w:t>clause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Liens (i) solely on any Cash earnest money deposits (including as part of any escrow arrangement) made by the Borrower and/or any Subsidiary in connection with any letter of intent or purchase agreement with respect to any Investment permitted hereunder and (ii) consisting of (A) an agreement to Dispose of any property in a Disposition permitted under </w:t>
      </w:r>
      <w:r>
        <w:rPr>
          <w:rFonts w:ascii="Times New Roman" w:hAnsi="Times New Roman"/>
          <w:sz w:val="20"/>
          <w:u w:val="single"/>
        </w:rPr>
        <w:t>Section 6.07</w:t>
      </w:r>
      <w:r>
        <w:rPr>
          <w:rFonts w:ascii="Times New Roman" w:hAnsi="Times New Roman"/>
          <w:sz w:val="20"/>
        </w:rPr>
        <w:t xml:space="preserve"> (other than </w:t>
      </w:r>
      <w:r>
        <w:rPr>
          <w:rFonts w:ascii="Times New Roman" w:hAnsi="Times New Roman"/>
          <w:sz w:val="20"/>
          <w:u w:val="single"/>
        </w:rPr>
        <w:t>Section 6.07(g)(x)</w:t>
      </w:r>
      <w:r>
        <w:rPr>
          <w:rFonts w:ascii="Times New Roman" w:hAnsi="Times New Roman"/>
          <w:sz w:val="20"/>
        </w:rPr>
        <w:t xml:space="preserve">) and/or </w:t>
      </w:r>
      <w:r>
        <w:rPr>
          <w:rFonts w:ascii="Times New Roman" w:hAnsi="Times New Roman"/>
          <w:sz w:val="20"/>
          <w:u w:val="single"/>
        </w:rPr>
        <w:t>(B)</w:t>
      </w:r>
      <w:r>
        <w:rPr>
          <w:rFonts w:ascii="Times New Roman" w:hAnsi="Times New Roman"/>
          <w:sz w:val="20"/>
        </w:rPr>
        <w:t xml:space="preserve"> the pledge of Cash as part of an escrow arrangement required in any Disposition permitted under </w:t>
      </w:r>
      <w:r>
        <w:rPr>
          <w:rFonts w:ascii="Times New Roman" w:hAnsi="Times New Roman"/>
          <w:sz w:val="20"/>
          <w:u w:val="single"/>
        </w:rPr>
        <w:t>Section 6.07</w:t>
      </w:r>
      <w:r>
        <w:rPr>
          <w:rFonts w:ascii="Times New Roman" w:hAnsi="Times New Roman"/>
          <w:sz w:val="20"/>
        </w:rPr>
        <w:t xml:space="preserve"> (other than </w:t>
      </w:r>
      <w:r>
        <w:rPr>
          <w:rFonts w:ascii="Times New Roman" w:hAnsi="Times New Roman"/>
          <w:sz w:val="20"/>
          <w:u w:val="single"/>
        </w:rPr>
        <w:t>Section 6.07(g)(x)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(i) purported Liens evidenced by the filing of UCC financing statements or similar filings relating solely to operating leases or consignment or bailee arrangements entered into in the ordinary course of business and (ii) Liens arising from precautionary UCC financing statements or similar filings; </w:t>
      </w:r>
    </w:p>
    <w:p>
      <w:pPr>
        <w:pStyle w:val="TextBody"/>
        <w:bidi w:val="0"/>
        <w:spacing w:before="240" w:after="0"/>
        <w:jc w:val="left"/>
        <w:rPr>
          <w:rFonts w:ascii="Times New Roman" w:hAnsi="Times New Roman"/>
          <w:sz w:val="20"/>
        </w:rPr>
      </w:pPr>
      <w:r>
        <w:rPr>
          <w:rFonts w:ascii="Times New Roman" w:hAnsi="Times New Roman"/>
          <w:sz w:val="20"/>
        </w:rPr>
        <w:t xml:space="preserve">(i)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(j) Liens in connection with any zoning, building or similar Requirement of Law or right reserved to or vested in any Governmental Authority to control or regulate the use of any or dimensions of real property or the structure thereon, including Liens in connection with any condemnation or eminent domain proceeding, expropriation proceeding or compulsory purchase order, which are not violated by the current use or occupancy of such real property; </w:t>
      </w:r>
    </w:p>
    <w:p>
      <w:pPr>
        <w:pStyle w:val="TextBody"/>
        <w:bidi w:val="0"/>
        <w:spacing w:before="240" w:after="0"/>
        <w:jc w:val="left"/>
        <w:rPr>
          <w:rFonts w:ascii="Times New Roman" w:hAnsi="Times New Roman"/>
          <w:sz w:val="20"/>
        </w:rPr>
      </w:pPr>
      <w:r>
        <w:rPr>
          <w:rFonts w:ascii="Times New Roman" w:hAnsi="Times New Roman"/>
          <w:sz w:val="20"/>
        </w:rPr>
        <w:t xml:space="preserve">(k) Liens securing Indebtedness permitted pursuant to </w:t>
      </w:r>
      <w:r>
        <w:rPr>
          <w:rFonts w:ascii="Times New Roman" w:hAnsi="Times New Roman"/>
          <w:sz w:val="20"/>
          <w:u w:val="single"/>
        </w:rPr>
        <w:t>Section 6.01(p)</w:t>
      </w:r>
      <w:r>
        <w:rPr>
          <w:rFonts w:ascii="Times New Roman" w:hAnsi="Times New Roman"/>
          <w:sz w:val="20"/>
        </w:rPr>
        <w:t xml:space="preserve"> (solely with respect to the permitted refinancing of (x) Indebtedness permitted pursuant to </w:t>
      </w:r>
      <w:r>
        <w:rPr>
          <w:rFonts w:ascii="Times New Roman" w:hAnsi="Times New Roman"/>
          <w:sz w:val="20"/>
          <w:u w:val="single"/>
        </w:rPr>
        <w:t>Sections 6.01(a)</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(p)</w:t>
      </w:r>
      <w:r>
        <w:rPr>
          <w:rFonts w:ascii="Times New Roman" w:hAnsi="Times New Roman"/>
          <w:sz w:val="20"/>
        </w:rPr>
        <w:t>,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w:t>
      </w:r>
      <w:r>
        <w:rPr>
          <w:rFonts w:ascii="Times New Roman" w:hAnsi="Times New Roman"/>
          <w:sz w:val="20"/>
          <w:u w:val="single"/>
        </w:rPr>
        <w:t>(z)</w:t>
      </w:r>
      <w:r>
        <w:rPr>
          <w:rFonts w:ascii="Times New Roman" w:hAnsi="Times New Roman"/>
          <w:sz w:val="20"/>
        </w:rPr>
        <w:t xml:space="preserve"> and (</w:t>
      </w:r>
      <w:r>
        <w:rPr>
          <w:rFonts w:ascii="Times New Roman" w:hAnsi="Times New Roman"/>
          <w:sz w:val="20"/>
          <w:u w:val="single"/>
        </w:rPr>
        <w:t>ff</w:t>
      </w:r>
      <w:r>
        <w:rPr>
          <w:rFonts w:ascii="Times New Roman" w:hAnsi="Times New Roman"/>
          <w:sz w:val="20"/>
        </w:rPr>
        <w:t xml:space="preserve">) and (y) Indebtedness that is secured in reliance on </w:t>
      </w:r>
      <w:r>
        <w:rPr>
          <w:rFonts w:ascii="Times New Roman" w:hAnsi="Times New Roman"/>
          <w:sz w:val="20"/>
          <w:u w:val="single"/>
        </w:rPr>
        <w:t>Section 6.02(u)</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granting of the relevant Lien shall be without duplication of any Lien outstanding under </w:t>
      </w:r>
      <w:r>
        <w:rPr>
          <w:rFonts w:ascii="Times New Roman" w:hAnsi="Times New Roman"/>
          <w:sz w:val="20"/>
          <w:u w:val="single"/>
        </w:rPr>
        <w:t>Section 6.02(u)</w:t>
      </w:r>
      <w:r>
        <w:rPr>
          <w:rFonts w:ascii="Times New Roman" w:hAnsi="Times New Roman"/>
          <w:sz w:val="20"/>
        </w:rPr>
        <w:t xml:space="preserve"> such that the amount available under </w:t>
      </w:r>
      <w:r>
        <w:rPr>
          <w:rFonts w:ascii="Times New Roman" w:hAnsi="Times New Roman"/>
          <w:sz w:val="20"/>
          <w:u w:val="single"/>
        </w:rPr>
        <w:t>Section 6.02(u)</w:t>
      </w:r>
      <w:r>
        <w:rPr>
          <w:rFonts w:ascii="Times New Roman" w:hAnsi="Times New Roman"/>
          <w:sz w:val="20"/>
        </w:rPr>
        <w:t xml:space="preserve"> shall be reduced by the amount of the applicable Lien granted in reliance on this </w:t>
      </w:r>
      <w:r>
        <w:rPr>
          <w:rFonts w:ascii="Times New Roman" w:hAnsi="Times New Roman"/>
          <w:sz w:val="20"/>
          <w:u w:val="single"/>
        </w:rPr>
        <w:t>clause (k)(y)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no such Lien extends to any asset not covered by the Lien securing the Indebtedness that is being refinanced (it being understood that individual financings of the type permitted under </w:t>
      </w:r>
      <w:r>
        <w:rPr>
          <w:rFonts w:ascii="Times New Roman" w:hAnsi="Times New Roman"/>
          <w:sz w:val="20"/>
          <w:u w:val="single"/>
        </w:rPr>
        <w:t>Section 6.01(m)</w:t>
      </w:r>
      <w:r>
        <w:rPr>
          <w:rFonts w:ascii="Times New Roman" w:hAnsi="Times New Roman"/>
          <w:sz w:val="20"/>
        </w:rPr>
        <w:t xml:space="preserve"> provided by any lender may be cross-collateralized to other financings of such type provided by such lender or its Affiliates),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Acceptable Intercreditor Agreement and (iii) no such Lien shall be senior in priority as compared to the lien securing the Indebtedness being refinanced; </w:t>
      </w:r>
    </w:p>
    <w:p>
      <w:pPr>
        <w:pStyle w:val="TextBody"/>
        <w:bidi w:val="0"/>
        <w:spacing w:before="240" w:after="0"/>
        <w:jc w:val="left"/>
        <w:rPr>
          <w:rFonts w:ascii="Times New Roman" w:hAnsi="Times New Roman"/>
          <w:sz w:val="20"/>
        </w:rPr>
      </w:pPr>
      <w:r>
        <w:rPr>
          <w:rFonts w:ascii="Times New Roman" w:hAnsi="Times New Roman"/>
          <w:sz w:val="20"/>
        </w:rPr>
        <w:t xml:space="preserve">(l) Liens existing on the Closing Date and any modification, replacement, refinancing, renewal or extension thereof; </w:t>
      </w:r>
      <w:r>
        <w:rPr>
          <w:rFonts w:ascii="Times New Roman" w:hAnsi="Times New Roman"/>
          <w:sz w:val="20"/>
          <w:u w:val="single"/>
        </w:rPr>
        <w:t>provided</w:t>
      </w:r>
      <w:r>
        <w:rPr>
          <w:rFonts w:ascii="Times New Roman" w:hAnsi="Times New Roman"/>
          <w:sz w:val="20"/>
        </w:rPr>
        <w:t xml:space="preserve">, that any such Liens securing outstanding Indebtedness in excess of $10,000,000 shall be described on </w:t>
      </w:r>
      <w:r>
        <w:rPr>
          <w:rFonts w:ascii="Times New Roman" w:hAnsi="Times New Roman"/>
          <w:sz w:val="20"/>
          <w:u w:val="single"/>
        </w:rPr>
        <w:t>Schedule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no such Lien extends to any additional property other than (A) after-acquired property that is affixed or incorporated into the property covered by such Lien or financed by Indebtedness permitted under </w:t>
      </w:r>
      <w:r>
        <w:rPr>
          <w:rFonts w:ascii="Times New Roman" w:hAnsi="Times New Roman"/>
          <w:sz w:val="20"/>
          <w:u w:val="single"/>
        </w:rPr>
        <w:t>Section 6.01</w:t>
      </w:r>
      <w:r>
        <w:rPr>
          <w:rFonts w:ascii="Times New Roman" w:hAnsi="Times New Roman"/>
          <w:sz w:val="20"/>
        </w:rPr>
        <w:t xml:space="preserve"> and (B) proceeds and products thereof, replacements, accessions or additions thereto and improvements thereon (it being understood that individual financings of the type permitted under </w:t>
      </w:r>
      <w:r>
        <w:rPr>
          <w:rFonts w:ascii="Times New Roman" w:hAnsi="Times New Roman"/>
          <w:sz w:val="20"/>
          <w:u w:val="single"/>
        </w:rPr>
        <w:t>Section 6.01(m)</w:t>
      </w:r>
      <w:r>
        <w:rPr>
          <w:rFonts w:ascii="Times New Roman" w:hAnsi="Times New Roman"/>
          <w:sz w:val="20"/>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Liens arising out of Sale and Lease-Back Transactions permitted under </w:t>
      </w:r>
      <w:r>
        <w:rPr>
          <w:rFonts w:ascii="Times New Roman" w:hAnsi="Times New Roman"/>
          <w:sz w:val="20"/>
          <w:u w:val="single"/>
        </w:rPr>
        <w:t>Section 6.07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Liens are limited to the assets subject to such Sale and Lease-Back Transaction and proceeds and products thereof and accessions and/or additions thereto and improvements thereon; it being understood that individual financings of the type permitted under </w:t>
      </w:r>
      <w:r>
        <w:rPr>
          <w:rFonts w:ascii="Times New Roman" w:hAnsi="Times New Roman"/>
          <w:sz w:val="20"/>
          <w:u w:val="single"/>
        </w:rPr>
        <w:t>Section 6.01(m)</w:t>
      </w:r>
      <w:r>
        <w:rPr>
          <w:rFonts w:ascii="Times New Roman" w:hAnsi="Times New Roman"/>
          <w:sz w:val="20"/>
        </w:rPr>
        <w:t xml:space="preserve"> provided by any lender may be cross-collateralized to other financings of such type provided by such lender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(n) Liens securing Indebtedness permitted pursuant to </w:t>
      </w:r>
      <w:r>
        <w:rPr>
          <w:rFonts w:ascii="Times New Roman" w:hAnsi="Times New Roman"/>
          <w:sz w:val="20"/>
          <w:u w:val="single"/>
        </w:rPr>
        <w:t>Section 6.01(m)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Times New Roman" w:hAnsi="Times New Roman"/>
          <w:sz w:val="20"/>
          <w:u w:val="single"/>
        </w:rPr>
        <w:t>Section 6.01(m)</w:t>
      </w:r>
      <w:r>
        <w:rPr>
          <w:rFonts w:ascii="Times New Roman" w:hAnsi="Times New Roman"/>
          <w:sz w:val="20"/>
        </w:rPr>
        <w:t xml:space="preserve"> provided by any lender may be cross-collateralized to other financings of such type provided by such lender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 Liens securing Indebtedness permitted pursuant to </w:t>
      </w:r>
      <w:r>
        <w:rPr>
          <w:rFonts w:ascii="Times New Roman" w:hAnsi="Times New Roman"/>
          <w:sz w:val="20"/>
          <w:u w:val="single"/>
        </w:rPr>
        <w:t>Section 6.01(n)</w:t>
      </w:r>
      <w:r>
        <w:rPr>
          <w:rFonts w:ascii="Times New Roman" w:hAnsi="Times New Roman"/>
          <w:sz w:val="20"/>
        </w:rPr>
        <w:t xml:space="preserve"> on the relevant acquired assets or on the Capital Stock and assets of the relevant newly acquired Subsidiary; </w:t>
      </w:r>
      <w:r>
        <w:rPr>
          <w:rFonts w:ascii="Times New Roman" w:hAnsi="Times New Roman"/>
          <w:sz w:val="20"/>
          <w:u w:val="single"/>
        </w:rPr>
        <w:t>provided</w:t>
      </w:r>
      <w:r>
        <w:rPr>
          <w:rFonts w:ascii="Times New Roman" w:hAnsi="Times New Roman"/>
          <w:sz w:val="20"/>
        </w:rPr>
        <w:t xml:space="preserve">, that no such Lien (x) extends to or covers any other assets (other than the proceeds or products thereof, replacements, accessions or additions thereto and improvements thereon; it being understood that individual financings of the type permitted under </w:t>
      </w:r>
      <w:r>
        <w:rPr>
          <w:rFonts w:ascii="Times New Roman" w:hAnsi="Times New Roman"/>
          <w:sz w:val="20"/>
          <w:u w:val="single"/>
        </w:rPr>
        <w:t>Section 6.01(m)</w:t>
      </w:r>
      <w:r>
        <w:rPr>
          <w:rFonts w:ascii="Times New Roman" w:hAnsi="Times New Roman"/>
          <w:sz w:val="20"/>
        </w:rPr>
        <w:t xml:space="preserve"> provided by any lender may be cross-collateralized to other financings of such type provided by such lender or its affiliates) or (y) was created in contemplation of the applicable acquisition of assets or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(p) (i) Liens that are contractual rights of setoff or netting relating to (A) the establishment of depositary relations with banks not granted in connection with the issuance of Indebtedness, (B) pooled deposit or sweep accounts of the Borrower and/or any Subsidiary to permit satisfaction of overdraft or similar obligations incurred in the ordinary course of business of the Borrower and/or any Subsidiary, (C) purchase orders and other agreements entered into with customers of the Borrower and/or any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(q) Liens on assets owned by and/or equity interests of Subsidiaries that are not Loan Parties (including Capital Stock owned by such Persons) securing Indebtedness of Subsidiaries that are not Loan Parties permitted pursuant to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Liens securing obligations (other than obligations representing Indebtedness for borrowed money) under operating, reciprocal easement or similar agreements entered into in the ordinary course of business of the Borrower and/or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 Liens on the Collateral securing Indebtedness incurred in reliance on, and subject to the provisions set forth in, </w:t>
      </w:r>
      <w:r>
        <w:rPr>
          <w:rFonts w:ascii="Times New Roman" w:hAnsi="Times New Roman"/>
          <w:sz w:val="20"/>
          <w:u w:val="single"/>
        </w:rPr>
        <w:t>Section 6.01(w)</w:t>
      </w:r>
      <w:r>
        <w:rPr>
          <w:rFonts w:ascii="Times New Roman" w:hAnsi="Times New Roman"/>
          <w:sz w:val="20"/>
        </w:rPr>
        <w:t xml:space="preserve"> or </w:t>
      </w:r>
      <w:r>
        <w:rPr>
          <w:rFonts w:ascii="Times New Roman" w:hAnsi="Times New Roman"/>
          <w:sz w:val="20"/>
          <w:u w:val="single"/>
        </w:rPr>
        <w:t>(z)</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Lien that is granted in reliance on this </w:t>
      </w:r>
      <w:r>
        <w:rPr>
          <w:rFonts w:ascii="Times New Roman" w:hAnsi="Times New Roman"/>
          <w:sz w:val="20"/>
          <w:u w:val="single"/>
        </w:rPr>
        <w:t>clause (s)</w:t>
      </w:r>
      <w:r>
        <w:rPr>
          <w:rFonts w:ascii="Times New Roman" w:hAnsi="Times New Roman"/>
          <w:sz w:val="20"/>
        </w:rPr>
        <w:t xml:space="preserve"> on the Collateral shall be subject to an Acceptable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(t) [reserved]; </w:t>
      </w:r>
    </w:p>
    <w:p>
      <w:pPr>
        <w:pStyle w:val="TextBody"/>
        <w:bidi w:val="0"/>
        <w:spacing w:before="240" w:after="0"/>
        <w:jc w:val="left"/>
        <w:rPr>
          <w:rFonts w:ascii="Times New Roman" w:hAnsi="Times New Roman"/>
          <w:sz w:val="20"/>
        </w:rPr>
      </w:pPr>
      <w:r>
        <w:rPr>
          <w:rFonts w:ascii="Times New Roman" w:hAnsi="Times New Roman"/>
          <w:sz w:val="20"/>
        </w:rPr>
        <w:t xml:space="preserve">(u) Liens on assets securing Indebtedness or other obligations in an aggregate principal amount at any time outstanding not to exceed the greater of $175,000,000 and 50%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(v) (i) Liens on assets securing judgments, awards, attachments and/or decrees and notices of </w:t>
      </w:r>
      <w:r>
        <w:rPr>
          <w:rFonts w:ascii="Times New Roman" w:hAnsi="Times New Roman"/>
          <w:i/>
          <w:sz w:val="20"/>
        </w:rPr>
        <w:t>lis</w:t>
      </w:r>
      <w:r>
        <w:rPr>
          <w:rFonts w:ascii="Times New Roman" w:hAnsi="Times New Roman"/>
          <w:sz w:val="20"/>
        </w:rPr>
        <w:t xml:space="preserve"> </w:t>
      </w:r>
      <w:r>
        <w:rPr>
          <w:rFonts w:ascii="Times New Roman" w:hAnsi="Times New Roman"/>
          <w:i/>
          <w:sz w:val="20"/>
        </w:rPr>
        <w:t>pendens</w:t>
      </w:r>
      <w:r>
        <w:rPr>
          <w:rFonts w:ascii="Times New Roman" w:hAnsi="Times New Roman"/>
          <w:sz w:val="20"/>
        </w:rPr>
        <w:t xml:space="preserve"> and associated rights relating to litigation being contested in good faith not constituting an Event of Default under </w:t>
      </w:r>
      <w:r>
        <w:rPr>
          <w:rFonts w:ascii="Times New Roman" w:hAnsi="Times New Roman"/>
          <w:sz w:val="20"/>
          <w:u w:val="single"/>
        </w:rPr>
        <w:t>Section 7.01(h)</w:t>
      </w:r>
      <w:r>
        <w:rPr>
          <w:rFonts w:ascii="Times New Roman" w:hAnsi="Times New Roman"/>
          <w:sz w:val="20"/>
        </w:rPr>
        <w:t xml:space="preserve"> and (ii) any pledge and/or deposit securing any settlement of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leases, licenses, covenants, options, subleases or sublicenses granted to others in the ordinary course of business which do not secure any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(x) Liens on Securities that are the subject of repurchase agreements constituting Investments permitted under </w:t>
      </w:r>
      <w:r>
        <w:rPr>
          <w:rFonts w:ascii="Times New Roman" w:hAnsi="Times New Roman"/>
          <w:sz w:val="20"/>
          <w:u w:val="single"/>
        </w:rPr>
        <w:t>Section 6.06</w:t>
      </w:r>
      <w:r>
        <w:rPr>
          <w:rFonts w:ascii="Times New Roman" w:hAnsi="Times New Roman"/>
          <w:sz w:val="20"/>
        </w:rPr>
        <w:t xml:space="preserve"> arising out of such repurchase transaction; </w:t>
      </w:r>
    </w:p>
    <w:p>
      <w:pPr>
        <w:pStyle w:val="TextBody"/>
        <w:bidi w:val="0"/>
        <w:spacing w:before="240" w:after="0"/>
        <w:jc w:val="left"/>
        <w:rPr>
          <w:rFonts w:ascii="Times New Roman" w:hAnsi="Times New Roman"/>
          <w:sz w:val="20"/>
        </w:rPr>
      </w:pPr>
      <w:r>
        <w:rPr>
          <w:rFonts w:ascii="Times New Roman" w:hAnsi="Times New Roman"/>
          <w:sz w:val="20"/>
        </w:rPr>
        <w:t xml:space="preserve">(y) Liens securing obligations in respect letters of credit, bank guaranties, surety bonds, performance bonds or similar instruments permitted under </w:t>
      </w:r>
      <w:r>
        <w:rPr>
          <w:rFonts w:ascii="Times New Roman" w:hAnsi="Times New Roman"/>
          <w:sz w:val="20"/>
          <w:u w:val="single"/>
        </w:rPr>
        <w:t>Sections 6.01(d)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(aa)</w:t>
      </w:r>
      <w:r>
        <w:rPr>
          <w:rFonts w:ascii="Times New Roman" w:hAnsi="Times New Roman"/>
          <w:sz w:val="20"/>
        </w:rPr>
        <w:t xml:space="preserve"> and </w:t>
      </w:r>
      <w:r>
        <w:rPr>
          <w:rFonts w:ascii="Times New Roman" w:hAnsi="Times New Roman"/>
          <w:sz w:val="20"/>
          <w:u w:val="single"/>
        </w:rPr>
        <w:t>(cc)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(z) 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(aa) Liens securing obligations incurred in reliance on </w:t>
      </w:r>
      <w:r>
        <w:rPr>
          <w:rFonts w:ascii="Times New Roman" w:hAnsi="Times New Roman"/>
          <w:sz w:val="20"/>
          <w:u w:val="single"/>
        </w:rPr>
        <w:t>Section 6.01(j)</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Lien shall, if requested by the relevant holder of the applicable Surety Bond Indebtedness (or a representative therefor), be subject to a Surety Bond Intercreditor Agreement, which shall be reasonably negotiated and entered into by the Administrative Agent pursuant to </w:t>
      </w:r>
      <w:r>
        <w:rPr>
          <w:rFonts w:ascii="Times New Roman" w:hAnsi="Times New Roman"/>
          <w:sz w:val="20"/>
          <w:u w:val="single"/>
        </w:rPr>
        <w:t>Section 8.10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(bb) Liens on insurance policies and the proceeds thereof securing the financing of the premiums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(cc) 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 </w:t>
      </w:r>
    </w:p>
    <w:p>
      <w:pPr>
        <w:pStyle w:val="TextBody"/>
        <w:bidi w:val="0"/>
        <w:spacing w:before="240" w:after="0"/>
        <w:jc w:val="left"/>
        <w:rPr>
          <w:rFonts w:ascii="Times New Roman" w:hAnsi="Times New Roman"/>
          <w:sz w:val="20"/>
        </w:rPr>
      </w:pPr>
      <w:r>
        <w:rPr>
          <w:rFonts w:ascii="Times New Roman" w:hAnsi="Times New Roman"/>
          <w:sz w:val="20"/>
        </w:rPr>
        <w:t xml:space="preserve">(dd) Liens securing (i) obligations of the type described in </w:t>
      </w:r>
      <w:r>
        <w:rPr>
          <w:rFonts w:ascii="Times New Roman" w:hAnsi="Times New Roman"/>
          <w:sz w:val="20"/>
          <w:u w:val="single"/>
        </w:rPr>
        <w:t>Section 6.01(f)</w:t>
      </w:r>
      <w:r>
        <w:rPr>
          <w:rFonts w:ascii="Times New Roman" w:hAnsi="Times New Roman"/>
          <w:sz w:val="20"/>
        </w:rPr>
        <w:t xml:space="preserve"> (excluding any Secured Obligations) and/or (ii) obligations of the type described in </w:t>
      </w:r>
      <w:r>
        <w:rPr>
          <w:rFonts w:ascii="Times New Roman" w:hAnsi="Times New Roman"/>
          <w:sz w:val="20"/>
          <w:u w:val="single"/>
        </w:rPr>
        <w:t>Section 6.01(s)</w:t>
      </w:r>
      <w:r>
        <w:rPr>
          <w:rFonts w:ascii="Times New Roman" w:hAnsi="Times New Roman"/>
          <w:sz w:val="20"/>
        </w:rPr>
        <w:t xml:space="preserve"> (excluding any Secured Obligations) in an aggregate principal amount, in the case of this </w:t>
      </w:r>
      <w:r>
        <w:rPr>
          <w:rFonts w:ascii="Times New Roman" w:hAnsi="Times New Roman"/>
          <w:sz w:val="20"/>
          <w:u w:val="single"/>
        </w:rPr>
        <w:t>clause (ii)</w:t>
      </w:r>
      <w:r>
        <w:rPr>
          <w:rFonts w:ascii="Times New Roman" w:hAnsi="Times New Roman"/>
          <w:sz w:val="20"/>
        </w:rPr>
        <w:t xml:space="preserve">, at any time outstanding not to exceed $25,000,000; </w:t>
      </w:r>
    </w:p>
    <w:p>
      <w:pPr>
        <w:pStyle w:val="TextBody"/>
        <w:bidi w:val="0"/>
        <w:spacing w:before="240" w:after="0"/>
        <w:jc w:val="left"/>
        <w:rPr>
          <w:rFonts w:ascii="Times New Roman" w:hAnsi="Times New Roman"/>
          <w:sz w:val="20"/>
        </w:rPr>
      </w:pPr>
      <w:r>
        <w:rPr>
          <w:rFonts w:ascii="Times New Roman" w:hAnsi="Times New Roman"/>
          <w:sz w:val="20"/>
        </w:rPr>
        <w:t xml:space="preserve">(ee) (i) Liens on Capital Stock of joint ventures or non-wholly owned Subsidiaries securing capital contributions to, or obligations of, such Persons and (ii) customary rights of first refusal and tag, drag and similar rights in joint venture agreements and agreements with respect to non-Wholly-Owned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(ff) Liens on cash or Cash Equivalents arising in connection with the defeasance, discharge or redemption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(gg) Liens consisting of the prior rights of consignees and their lenders under consignment arrangements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(hh) [reserved]; </w:t>
      </w:r>
    </w:p>
    <w:p>
      <w:pPr>
        <w:pStyle w:val="TextBody"/>
        <w:bidi w:val="0"/>
        <w:spacing w:before="240" w:after="0"/>
        <w:jc w:val="left"/>
        <w:rPr>
          <w:rFonts w:ascii="Times New Roman" w:hAnsi="Times New Roman"/>
          <w:sz w:val="20"/>
        </w:rPr>
      </w:pPr>
      <w:r>
        <w:rPr>
          <w:rFonts w:ascii="Times New Roman" w:hAnsi="Times New Roman"/>
          <w:sz w:val="20"/>
        </w:rPr>
        <w:t xml:space="preserve">(ii) [reserved]; </w:t>
      </w:r>
    </w:p>
    <w:p>
      <w:pPr>
        <w:pStyle w:val="TextBody"/>
        <w:bidi w:val="0"/>
        <w:spacing w:before="240" w:after="0"/>
        <w:jc w:val="left"/>
        <w:rPr>
          <w:rFonts w:ascii="Times New Roman" w:hAnsi="Times New Roman"/>
          <w:sz w:val="20"/>
        </w:rPr>
      </w:pPr>
      <w:r>
        <w:rPr>
          <w:rFonts w:ascii="Times New Roman" w:hAnsi="Times New Roman"/>
          <w:sz w:val="20"/>
        </w:rPr>
        <w:t xml:space="preserve">(jj) [reserved]; </w:t>
      </w:r>
    </w:p>
    <w:p>
      <w:pPr>
        <w:pStyle w:val="TextBody"/>
        <w:bidi w:val="0"/>
        <w:spacing w:before="240" w:after="0"/>
        <w:jc w:val="left"/>
        <w:rPr>
          <w:rFonts w:ascii="Times New Roman" w:hAnsi="Times New Roman"/>
          <w:sz w:val="20"/>
        </w:rPr>
      </w:pPr>
      <w:r>
        <w:rPr>
          <w:rFonts w:ascii="Times New Roman" w:hAnsi="Times New Roman"/>
          <w:sz w:val="20"/>
        </w:rPr>
        <w:t xml:space="preserve">(kk) the rights reserved to or vested in Governmental Authorities by statutory provisions or by the terms of leases, licenses, franchises, grants or permits, which affect any land, to terminate the leases, licenses, franchises, grants or permits or to require annual or other periodic payments as a condition of the continuance thereof; </w:t>
      </w:r>
    </w:p>
    <w:p>
      <w:pPr>
        <w:pStyle w:val="TextBody"/>
        <w:bidi w:val="0"/>
        <w:spacing w:before="240" w:after="0"/>
        <w:jc w:val="left"/>
        <w:rPr>
          <w:rFonts w:ascii="Times New Roman" w:hAnsi="Times New Roman"/>
          <w:sz w:val="20"/>
        </w:rPr>
      </w:pPr>
      <w:r>
        <w:rPr>
          <w:rFonts w:ascii="Times New Roman" w:hAnsi="Times New Roman"/>
          <w:sz w:val="20"/>
        </w:rPr>
        <w:t xml:space="preserve">(ll) [reserved]; </w:t>
      </w:r>
    </w:p>
    <w:p>
      <w:pPr>
        <w:pStyle w:val="TextBody"/>
        <w:bidi w:val="0"/>
        <w:spacing w:before="240" w:after="0"/>
        <w:jc w:val="left"/>
        <w:rPr>
          <w:rFonts w:ascii="Times New Roman" w:hAnsi="Times New Roman"/>
          <w:sz w:val="20"/>
        </w:rPr>
      </w:pPr>
      <w:r>
        <w:rPr>
          <w:rFonts w:ascii="Times New Roman" w:hAnsi="Times New Roman"/>
          <w:sz w:val="20"/>
        </w:rPr>
        <w:t xml:space="preserve">(mm) Liens that do not secure Indebtedness for borrowed money and are customary in the operation of the business of the Borrower and/or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title defects or irregularities which are of a minor nature and in the aggregate will not materially impair the use of the property for the purpose for which it is held; </w:t>
      </w:r>
    </w:p>
    <w:p>
      <w:pPr>
        <w:pStyle w:val="TextBody"/>
        <w:bidi w:val="0"/>
        <w:spacing w:before="240" w:after="0"/>
        <w:jc w:val="left"/>
        <w:rPr>
          <w:rFonts w:ascii="Times New Roman" w:hAnsi="Times New Roman"/>
          <w:sz w:val="20"/>
        </w:rPr>
      </w:pPr>
      <w:r>
        <w:rPr>
          <w:rFonts w:ascii="Times New Roman" w:hAnsi="Times New Roman"/>
          <w:sz w:val="20"/>
        </w:rPr>
        <w:t xml:space="preserve">(oo) Liens on assets of the kind described in the definition of Permitted Receivables Facility that arise or may be deemed to arise from Indebtedness incurred pursuant to </w:t>
      </w:r>
      <w:r>
        <w:rPr>
          <w:rFonts w:ascii="Times New Roman" w:hAnsi="Times New Roman"/>
          <w:sz w:val="20"/>
          <w:u w:val="single"/>
        </w:rPr>
        <w:t>Section 6.01(ff)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(pp) Liens disclosed in any title insurance policy (or commitment) or survey delivered to the Administrative Agent with respect to Material Real Estate Assets and any replacement, extension or renewal thereof; provided, that no such replacement, extension or renewal Lien shall cover any property other than the property that was subject to such Lien prior to such replacement, extension or renewal (and additions thereto, improvements thereon and the proceeds thereof); and </w:t>
      </w:r>
    </w:p>
    <w:p>
      <w:pPr>
        <w:pStyle w:val="TextBody"/>
        <w:bidi w:val="0"/>
        <w:spacing w:before="240" w:after="0"/>
        <w:jc w:val="left"/>
        <w:rPr>
          <w:rFonts w:ascii="Times New Roman" w:hAnsi="Times New Roman"/>
          <w:sz w:val="20"/>
        </w:rPr>
      </w:pPr>
      <w:r>
        <w:rPr>
          <w:rFonts w:ascii="Times New Roman" w:hAnsi="Times New Roman"/>
          <w:sz w:val="20"/>
        </w:rPr>
        <w:t xml:space="preserve">(qq) The reservations, limitations, provisos and conditions, if any, expressed in any original (i) land patents or (ii) grants from the crown of real or immovable property that do not materially affect the use of the affected land for the purpose for which it is used by the Borrower or any of its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Restricted Payments; Restricted Debt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pay or make, directly or indirectly, any Restricted Payment,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may make Restricted Payments to the extent necessary to permit any Parent Company or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(A) to pay general administrative costs and expenses (including corporate overhead, legal or similar expenses and customary salary, bonus and other benefits payable to directors, officers, employees, members of management, managers and/or consultants of any Parent Company or Subsidiary thereof) and franchise Taxes, and similar fees and expenses required to maintain the organizational existence of such Parent Company or Subsidiary thereof, in each case, which are reasonable and customary and incurred in the ordinary course of business, </w:t>
      </w:r>
      <w:r>
        <w:rPr>
          <w:rFonts w:ascii="Times New Roman" w:hAnsi="Times New Roman"/>
          <w:sz w:val="20"/>
          <w:u w:val="single"/>
        </w:rPr>
        <w:t>plus</w:t>
      </w:r>
      <w:r>
        <w:rPr>
          <w:rFonts w:ascii="Times New Roman" w:hAnsi="Times New Roman"/>
          <w:sz w:val="20"/>
        </w:rPr>
        <w:t xml:space="preserve"> any reasonable and customary indemnification claims made by directors, officers, members of management, managers, employees or consultants of any Parent Company or Subsidiary thereof, in each case, to the extent attributable to the ownership or operations of any Parent Company (but excluding, for the avoidance of doubt, the portion of any such amount, if any, that is attributable to the ownership or operations of any Subsidiary of any Parent Company other than (x) the Borrower and/or its Subsidiaries or (y) any other Subsidiary of any Parent Company to the extent (I) such Subsidiary has no material operations and owns no material assets other than direct or indirect equity interests of the Borrower and/or its Subsidiaries and any assets attributable thereto and (II) the aggregate amount of Restricted Payments to Subsidiaries of any Parent Company that are not attributable to such Parent Company’s ownership of the Borrower and/or the Borrower’s Subsidiaries made in reliance on this </w:t>
      </w:r>
      <w:r>
        <w:rPr>
          <w:rFonts w:ascii="Times New Roman" w:hAnsi="Times New Roman"/>
          <w:sz w:val="20"/>
          <w:u w:val="single"/>
        </w:rPr>
        <w:t>Section 6.04(a)(i)</w:t>
      </w:r>
      <w:r>
        <w:rPr>
          <w:rFonts w:ascii="Times New Roman" w:hAnsi="Times New Roman"/>
          <w:sz w:val="20"/>
        </w:rPr>
        <w:t xml:space="preserve"> shall not exceed $1,000,000 in any Fiscal Year which, if not used in such Fiscal Year, shall be carried forward to the immediately succeeding Fiscal Year), and/or its Subsidiaries; </w:t>
      </w:r>
      <w:r>
        <w:rPr>
          <w:rFonts w:ascii="Times New Roman" w:hAnsi="Times New Roman"/>
          <w:sz w:val="20"/>
          <w:u w:val="single"/>
        </w:rPr>
        <w:t>provided</w:t>
      </w:r>
      <w:r>
        <w:rPr>
          <w:rFonts w:ascii="Times New Roman" w:hAnsi="Times New Roman"/>
          <w:sz w:val="20"/>
        </w:rPr>
        <w:t xml:space="preserve"> that the amount of any such distributions made in respect of an Unrestricted Subsidiary will be permitted only to the extent that cash distributions were made by an Unrestricted Subsidiary to the Borrower or any Subsidiary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(C) to pay audit and other accounting and reporting expenses of any Parent Company or Subsidiary thereof to the extent such expenses are attributable to such Parent Company (but excluding, for the avoidance of doubt, the portion of any such expenses, if any, attributable to the ownership or operations of any Subsidiary of any Parent Company other than (x) the Borrower and/or its Subsidiaries or (y) any other Subsidiary of any Parent Company to the extent (I) such Subsidiary has no material operations and owns no material assets other than direct or indirect equity interests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and/or its Subsidiaries and any assets attributable thereto and (II) the aggregate amount of Restricted Payments to Subsidiaries of any Parent Company that are not attributable to such Parent Company’s ownership of the Borrower and/or the Borrower’s Subsidiaries made in reliance on this </w:t>
      </w:r>
      <w:r>
        <w:rPr>
          <w:rFonts w:ascii="Times New Roman" w:hAnsi="Times New Roman"/>
          <w:sz w:val="20"/>
          <w:u w:val="single"/>
        </w:rPr>
        <w:t>Section 6.04(a)(i)</w:t>
      </w:r>
      <w:r>
        <w:rPr>
          <w:rFonts w:ascii="Times New Roman" w:hAnsi="Times New Roman"/>
          <w:sz w:val="20"/>
        </w:rPr>
        <w:t xml:space="preserve"> shall not exceed $1,000,000 in any Fiscal Year which, if not used in such Fiscal Year, shall be carried forward to the immediately succeeding Fiscal Year),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for the payment of any insurance premiums that is payable by, or attributable to any Parent Company (but excluding, for the avoidance of doubt, the portion of any such premiums, if any, attributable to the ownership or operations of any Subsidiary of any Parent Company other than (x) the Borrower and/or its Subsidiaries or (y) any other Subsidiary of any Parent Company to the extent (I) such Subsidiary has no material operations and owns no material assets other than direct or indirect equity interests of the Borrower and/or its Subsidiaries and any assets attributable thereto and (II) the aggregate amount of Restricted Payments to Subsidiaries of any Parent Company that are not attributable to such Parent Company’s ownership of the Borrower and/or the Borrower’s Subsidiaries made in reliance on this </w:t>
      </w:r>
      <w:r>
        <w:rPr>
          <w:rFonts w:ascii="Times New Roman" w:hAnsi="Times New Roman"/>
          <w:sz w:val="20"/>
          <w:u w:val="single"/>
        </w:rPr>
        <w:t>Section 6.04(a)(i)</w:t>
      </w:r>
      <w:r>
        <w:rPr>
          <w:rFonts w:ascii="Times New Roman" w:hAnsi="Times New Roman"/>
          <w:sz w:val="20"/>
        </w:rPr>
        <w:t xml:space="preserve"> shall not exceed $1,000,000 in any Fiscal Year which, if not used in such Fiscal Year, shall be carried forward to the immediately succeeding Fiscal Year), the Borrower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(E) to pay (x) any fee and/or expense related to any debt or equity offering, investment or acquisition (whether or not consummated) and/or any expenses of, or indemnification obligations in favor of any trustee, agent, arranger, underwriter or similar role, and (y) Public Company Costs (but excluding, for the avoidance of doubt, the portion of any such amounts, if any, that are, in the good faith determination of the Borrower, attributable to the ownership or operations of any Subsidiary of any Parent Company other than (I) the Borrower and/or any Subsidiary or (II) any other Subsidiary of any Parent Company to the extent (1) such Subsidiary has no material operations and owns no material assets other than direct or indirect equity interests of the Borrower and/or its Subsidiaries and any assets attributable thereto and (2) the aggregate amount of Restricted Payments to Subsidiaries of any Parent Company that are not attributable to such Parent Company’s ownership of the Borrower and/or the Borrower’s Subsidiaries made in reliance on this </w:t>
      </w:r>
      <w:r>
        <w:rPr>
          <w:rFonts w:ascii="Times New Roman" w:hAnsi="Times New Roman"/>
          <w:sz w:val="20"/>
          <w:u w:val="single"/>
        </w:rPr>
        <w:t>Section 6.04(a)(i)</w:t>
      </w:r>
      <w:r>
        <w:rPr>
          <w:rFonts w:ascii="Times New Roman" w:hAnsi="Times New Roman"/>
          <w:sz w:val="20"/>
        </w:rPr>
        <w:t xml:space="preserve"> shall not exceed $1,000,000 in any Fiscal Year which, if not used in such Fiscal Year, shall be carried forward to the immediately succeeding Fiscal Year); </w:t>
      </w:r>
    </w:p>
    <w:p>
      <w:pPr>
        <w:pStyle w:val="TextBody"/>
        <w:bidi w:val="0"/>
        <w:spacing w:before="120" w:after="0"/>
        <w:jc w:val="left"/>
        <w:rPr>
          <w:rFonts w:ascii="Times New Roman" w:hAnsi="Times New Roman"/>
          <w:sz w:val="20"/>
        </w:rPr>
      </w:pPr>
      <w:r>
        <w:rPr>
          <w:rFonts w:ascii="Times New Roman" w:hAnsi="Times New Roman"/>
          <w:sz w:val="20"/>
        </w:rPr>
        <w:t xml:space="preserve">(F) to finance any Investment permitted under </w:t>
      </w:r>
      <w:r>
        <w:rPr>
          <w:rFonts w:ascii="Times New Roman" w:hAnsi="Times New Roman"/>
          <w:sz w:val="20"/>
          <w:u w:val="single"/>
        </w:rPr>
        <w:t>Section 6.06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(x) any Restricted Payment under this </w:t>
      </w:r>
      <w:r>
        <w:rPr>
          <w:rFonts w:ascii="Times New Roman" w:hAnsi="Times New Roman"/>
          <w:sz w:val="20"/>
          <w:u w:val="single"/>
        </w:rPr>
        <w:t>clause (a)(i)(F)</w:t>
      </w:r>
      <w:r>
        <w:rPr>
          <w:rFonts w:ascii="Times New Roman" w:hAnsi="Times New Roman"/>
          <w:sz w:val="20"/>
        </w:rPr>
        <w:t xml:space="preserve"> shall be made substantially concurrently with the closing of such Investment and (y) the relevant Parent Company shall, promptly following the closing thereof, cause (I) all property acquired to be contributed to the Borrower or one or more of its Subsidiaries, or (II) the merger, consolidation or amalgamation of the Person formed or acquired into the Borrower or one or more of its Subsidiaries, in order to consummate such Investment in compliance with the applicable requirements of </w:t>
      </w:r>
      <w:r>
        <w:rPr>
          <w:rFonts w:ascii="Times New Roman" w:hAnsi="Times New Roman"/>
          <w:sz w:val="20"/>
          <w:u w:val="single"/>
        </w:rPr>
        <w:t>Section 6.06</w:t>
      </w:r>
      <w:r>
        <w:rPr>
          <w:rFonts w:ascii="Times New Roman" w:hAnsi="Times New Roman"/>
          <w:sz w:val="20"/>
        </w:rPr>
        <w:t xml:space="preserve"> as if undertaken as a direct Investment by the Borrower or the relevant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(G) to pay customary salary, bonus, severance and other benefits payable to current or former directors, officers, members of management, managers, employees or consultants of any Parent Company (or any Immediate Family Member of any of the foregoing) to the extent such salary, bonuses and other benefits are attributable and reasonably allocated to the operations of the Borrower and/or any Subsidiary of the Borrower, in each case, so long as such Parent Company applies the amount of any such Restricted Payment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or any entity through which such Person owns Capital Stock in any Parent Company or any Subsidiary) of any Parent Company,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or any Subsidiary (but excluding, in any case, (x) the Sponsor, (y) any present employee, director, member of management, officer, manager or consultant of the Sponsor or (z) any former employee, director, member of management, officer, manager or consultant of the Sponsor, which, in the case of this </w:t>
      </w:r>
      <w:r>
        <w:rPr>
          <w:rFonts w:ascii="Times New Roman" w:hAnsi="Times New Roman"/>
          <w:sz w:val="20"/>
          <w:u w:val="single"/>
        </w:rPr>
        <w:t>clause (z)</w:t>
      </w:r>
      <w:r>
        <w:rPr>
          <w:rFonts w:ascii="Times New Roman" w:hAnsi="Times New Roman"/>
          <w:sz w:val="20"/>
        </w:rPr>
        <w:t xml:space="preserve">, shall be solely in respect of such Capital Stock held or acquired by such Person during the period of such Person’s employment with the Sponsor): </w:t>
      </w:r>
    </w:p>
    <w:p>
      <w:pPr>
        <w:pStyle w:val="TextBody"/>
        <w:bidi w:val="0"/>
        <w:spacing w:before="120" w:after="0"/>
        <w:jc w:val="left"/>
        <w:rPr>
          <w:rFonts w:ascii="Times New Roman" w:hAnsi="Times New Roman"/>
          <w:sz w:val="20"/>
        </w:rPr>
      </w:pPr>
      <w:r>
        <w:rPr>
          <w:rFonts w:ascii="Times New Roman" w:hAnsi="Times New Roman"/>
          <w:sz w:val="20"/>
        </w:rPr>
        <w:t xml:space="preserve">(A) 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the Borrower or any Subsidiary held by any future, present or former employee, director, member of management, officer, manager or consultant (or any Affiliate or Immediate Family Member thereof) of any Parent Company, the Borrower or any Subsidiary) in an amount not to exceed, in any Fiscal Year, commencing with the Fiscal Year ending on or about December 31, 2026, the greater of $175,000,000 and 50% of Consolidated Adjusted EBITDA as of the last day of the most recently ended Test Period, which, if not used in such Fiscal Year, shall be carried forward to the immediately succeeding Fiscal Year; </w:t>
      </w:r>
      <w:r>
        <w:rPr>
          <w:rFonts w:ascii="Times New Roman" w:hAnsi="Times New Roman"/>
          <w:sz w:val="20"/>
          <w:u w:val="single"/>
        </w:rPr>
        <w:t>provided</w:t>
      </w:r>
      <w:r>
        <w:rPr>
          <w:rFonts w:ascii="Times New Roman" w:hAnsi="Times New Roman"/>
          <w:sz w:val="20"/>
        </w:rPr>
        <w:t xml:space="preserve">, that after giving effect to any Restricted Payment made in reliance on this </w:t>
      </w:r>
      <w:r>
        <w:rPr>
          <w:rFonts w:ascii="Times New Roman" w:hAnsi="Times New Roman"/>
          <w:sz w:val="20"/>
          <w:u w:val="single"/>
        </w:rPr>
        <w:t>Section 6.04(a)(ii)(A)</w:t>
      </w:r>
      <w:r>
        <w:rPr>
          <w:rFonts w:ascii="Times New Roman" w:hAnsi="Times New Roman"/>
          <w:sz w:val="20"/>
        </w:rPr>
        <w:t xml:space="preserve">, the Total Net Leverage Ratio, calculated on a Pro Forma Basis, does not exceed 2.00:1.00; </w:t>
      </w:r>
    </w:p>
    <w:p>
      <w:pPr>
        <w:pStyle w:val="TextBody"/>
        <w:bidi w:val="0"/>
        <w:spacing w:before="120" w:after="0"/>
        <w:jc w:val="left"/>
        <w:rPr>
          <w:rFonts w:ascii="Times New Roman" w:hAnsi="Times New Roman"/>
          <w:sz w:val="20"/>
        </w:rPr>
      </w:pPr>
      <w:r>
        <w:rPr>
          <w:rFonts w:ascii="Times New Roman" w:hAnsi="Times New Roman"/>
          <w:sz w:val="20"/>
        </w:rPr>
        <w:t xml:space="preserve">(B) with the proceeds of any sale or issuance of, or any capital contribution in respect of, the Capital Stock of the Borrower or any Parent Company (to the extent such proceeds are contributed in respect of Qualified Capital Stock to the Borrower or any Subsidiary); or </w:t>
      </w:r>
    </w:p>
    <w:p>
      <w:pPr>
        <w:pStyle w:val="TextBody"/>
        <w:bidi w:val="0"/>
        <w:spacing w:before="120" w:after="0"/>
        <w:jc w:val="left"/>
        <w:rPr>
          <w:rFonts w:ascii="Times New Roman" w:hAnsi="Times New Roman"/>
          <w:sz w:val="20"/>
        </w:rPr>
      </w:pPr>
      <w:r>
        <w:rPr>
          <w:rFonts w:ascii="Times New Roman" w:hAnsi="Times New Roman"/>
          <w:sz w:val="20"/>
        </w:rPr>
        <w:t xml:space="preserve">(C) with the net proceeds of any key-man life insurance policies;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may make Restricted Payments in an amount not to exceed (A) the portion, if any, of the Available Amount on such date that the Borrower elects to apply to this </w:t>
      </w:r>
      <w:r>
        <w:rPr>
          <w:rFonts w:ascii="Times New Roman" w:hAnsi="Times New Roman"/>
          <w:sz w:val="20"/>
          <w:u w:val="single"/>
        </w:rPr>
        <w:t>clause (iii)(A)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after giving effect to any Restricted Payment made in reliance on this </w:t>
      </w:r>
      <w:r>
        <w:rPr>
          <w:rFonts w:ascii="Times New Roman" w:hAnsi="Times New Roman"/>
          <w:sz w:val="20"/>
          <w:u w:val="single"/>
        </w:rPr>
        <w:t>Section 6.04(a)(iii)(A)</w:t>
      </w:r>
      <w:r>
        <w:rPr>
          <w:rFonts w:ascii="Times New Roman" w:hAnsi="Times New Roman"/>
          <w:sz w:val="20"/>
        </w:rPr>
        <w:t xml:space="preserve"> (x) no Event of Default under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(solely to the extent arising from a breach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Section 6.15(b)</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at the time of the declaration thereof and (y) the Total Net Leverage Ratio calculated on a Pro Forma Basis does not exceed 2.00:1.00 at the time of the declaration thereof and/or (B) the portion, if any, of the Available Excluded Contribution Amount on such date that the Borrower elects to apply to this </w:t>
      </w:r>
      <w:r>
        <w:rPr>
          <w:rFonts w:ascii="Times New Roman" w:hAnsi="Times New Roman"/>
          <w:sz w:val="20"/>
          <w:u w:val="single"/>
        </w:rPr>
        <w:t>clause (iii)(B)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may make Restricted Payments (i) to any Parent Company to enable such Parent Company to make Cash payments in lieu of the issuance of fractional shares in connection with the exercise of warrants, options or other securities convertible into or exchangeable for Capital Stock of such Parent Company and (ii) consisting of (A) payments made or expected to be made in respect of withholding or similar Taxes payable by any future, present or former officers, directors, employees, members of management, managers or consultants of the Borrower, any Subsidiary or any Parent Company or any of their respective Immediate Family Members and/or (B) repurchases of Capital Stock in consideration of the payments described in </w:t>
      </w:r>
      <w:r>
        <w:rPr>
          <w:rFonts w:ascii="Times New Roman" w:hAnsi="Times New Roman"/>
          <w:sz w:val="20"/>
          <w:u w:val="single"/>
        </w:rPr>
        <w:t>subclause (A)</w:t>
      </w:r>
      <w:r>
        <w:rPr>
          <w:rFonts w:ascii="Times New Roman" w:hAnsi="Times New Roman"/>
          <w:sz w:val="20"/>
        </w:rPr>
        <w:t xml:space="preserve"> above, including demand repurchases in connection with the exercise of stock options;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w:t>
      </w:r>
    </w:p>
    <w:p>
      <w:pPr>
        <w:pStyle w:val="TextBody"/>
        <w:bidi w:val="0"/>
        <w:spacing w:before="120" w:after="0"/>
        <w:jc w:val="left"/>
        <w:rPr>
          <w:rFonts w:ascii="Times New Roman" w:hAnsi="Times New Roman"/>
          <w:sz w:val="20"/>
        </w:rPr>
      </w:pPr>
      <w:r>
        <w:rPr>
          <w:rFonts w:ascii="Times New Roman" w:hAnsi="Times New Roman"/>
          <w:sz w:val="20"/>
        </w:rPr>
        <w:t xml:space="preserve">(vi) the Borrower may make Restricted Payments, the proceeds of which are applied solely to effect the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the Borrower may (or may make Restricted Payments to any Parent Company to enable it to) make Restricted Payments with respect to any Capital Stock in an amount not to exceed 7.00% per annum of Market Capitalization on the relevant date of determination (</w:t>
      </w:r>
      <w:r>
        <w:rPr>
          <w:rFonts w:ascii="Times New Roman" w:hAnsi="Times New Roman"/>
          <w:sz w:val="20"/>
          <w:u w:val="single"/>
        </w:rPr>
        <w:t>minus</w:t>
      </w:r>
      <w:r>
        <w:rPr>
          <w:rFonts w:ascii="Times New Roman" w:hAnsi="Times New Roman"/>
          <w:sz w:val="20"/>
        </w:rPr>
        <w:t xml:space="preserve"> the aggregate principal amount of any Restricted Debt Payments made pursuant to </w:t>
      </w:r>
      <w:r>
        <w:rPr>
          <w:rFonts w:ascii="Times New Roman" w:hAnsi="Times New Roman"/>
          <w:sz w:val="20"/>
          <w:u w:val="single"/>
        </w:rPr>
        <w:t>Section 6.04(b)(ix)</w:t>
      </w:r>
      <w:r>
        <w:rPr>
          <w:rFonts w:ascii="Times New Roman" w:hAnsi="Times New Roman"/>
          <w:sz w:val="20"/>
        </w:rPr>
        <w:t xml:space="preserve"> (solely to the extent incurred pursuant to the reference to </w:t>
      </w:r>
      <w:r>
        <w:rPr>
          <w:rFonts w:ascii="Times New Roman" w:hAnsi="Times New Roman"/>
          <w:sz w:val="20"/>
          <w:u w:val="single"/>
        </w:rPr>
        <w:t>Section 6.04(a)(vii)</w:t>
      </w:r>
      <w:r>
        <w:rPr>
          <w:rFonts w:ascii="Times New Roman" w:hAnsi="Times New Roman"/>
          <w:sz w:val="20"/>
        </w:rPr>
        <w:t xml:space="preserve"> thereunder); </w:t>
      </w:r>
    </w:p>
    <w:p>
      <w:pPr>
        <w:pStyle w:val="TextBody"/>
        <w:bidi w:val="0"/>
        <w:spacing w:before="120" w:after="0"/>
        <w:jc w:val="left"/>
        <w:rPr>
          <w:rFonts w:ascii="Times New Roman" w:hAnsi="Times New Roman"/>
          <w:sz w:val="20"/>
        </w:rPr>
      </w:pPr>
      <w:r>
        <w:rPr>
          <w:rFonts w:ascii="Times New Roman" w:hAnsi="Times New Roman"/>
          <w:sz w:val="20"/>
        </w:rPr>
        <w:t>(viii) the Borrower may make Restricted Payments to (i) redeem, repurchase, retire or otherwise acquire any (A) Capital Stock (“</w:t>
      </w:r>
      <w:r>
        <w:rPr>
          <w:rFonts w:ascii="Times New Roman" w:hAnsi="Times New Roman"/>
          <w:sz w:val="20"/>
          <w:u w:val="single"/>
        </w:rPr>
        <w:t>Treasury Capital Stock</w:t>
      </w:r>
      <w:r>
        <w:rPr>
          <w:rFonts w:ascii="Times New Roman" w:hAnsi="Times New Roman"/>
          <w:sz w:val="20"/>
        </w:rPr>
        <w:t xml:space="preserve">”) of the Borrower and/or any Subsidiary or (B) Capital Stock of any Parent Company, in the case of each of </w:t>
      </w:r>
      <w:r>
        <w:rPr>
          <w:rFonts w:ascii="Times New Roman" w:hAnsi="Times New Roman"/>
          <w:sz w:val="20"/>
          <w:u w:val="single"/>
        </w:rPr>
        <w:t>subclauses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in exchange for, or out of the proceeds of the substantially concurrent sale (other than to Holdings and/or any Subsidiary of Holdings) of, Qualified Capital Stock of the Borrower or any Parent Company to the extent any such proceeds are contributed to the capital of the Borrower and/or any Subsidiary in respect of Qualified Capital Stock (“</w:t>
      </w:r>
      <w:r>
        <w:rPr>
          <w:rFonts w:ascii="Times New Roman" w:hAnsi="Times New Roman"/>
          <w:sz w:val="20"/>
          <w:u w:val="single"/>
        </w:rPr>
        <w:t>Refunding Capital Stock</w:t>
      </w:r>
      <w:r>
        <w:rPr>
          <w:rFonts w:ascii="Times New Roman" w:hAnsi="Times New Roman"/>
          <w:sz w:val="20"/>
        </w:rPr>
        <w:t xml:space="preserve">”) and (ii) declare and pay dividends on any Treasury Capital Stock out of the proceeds of the substantially concurrent sale (other than to the Borrower or a Subsidiary) of any Refunding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(ix) [reserved]; </w:t>
      </w:r>
    </w:p>
    <w:p>
      <w:pPr>
        <w:pStyle w:val="TextBody"/>
        <w:bidi w:val="0"/>
        <w:spacing w:before="120" w:after="0"/>
        <w:jc w:val="left"/>
        <w:rPr>
          <w:rFonts w:ascii="Times New Roman" w:hAnsi="Times New Roman"/>
          <w:sz w:val="20"/>
        </w:rPr>
      </w:pPr>
      <w:r>
        <w:rPr>
          <w:rFonts w:ascii="Times New Roman" w:hAnsi="Times New Roman"/>
          <w:sz w:val="20"/>
        </w:rPr>
        <w:t>(x) the Borrower may make Restricted Payments in an aggregate amount not to exceed the greater of $175,000,000 and 50% of Consolidated Adjusted EBITDA as of the last day of the most recently ended Test Period (</w:t>
      </w:r>
      <w:r>
        <w:rPr>
          <w:rFonts w:ascii="Times New Roman" w:hAnsi="Times New Roman"/>
          <w:sz w:val="20"/>
          <w:u w:val="single"/>
        </w:rPr>
        <w:t>minus</w:t>
      </w:r>
      <w:r>
        <w:rPr>
          <w:rFonts w:ascii="Times New Roman" w:hAnsi="Times New Roman"/>
          <w:sz w:val="20"/>
        </w:rPr>
        <w:t xml:space="preserve"> the aggregate amount of any Restricted Debt Payments made in reliance on </w:t>
      </w:r>
      <w:r>
        <w:rPr>
          <w:rFonts w:ascii="Times New Roman" w:hAnsi="Times New Roman"/>
          <w:sz w:val="20"/>
          <w:u w:val="single"/>
        </w:rPr>
        <w:t>Section 6.04(b)(iv)</w:t>
      </w:r>
      <w:r>
        <w:rPr>
          <w:rFonts w:ascii="Times New Roman" w:hAnsi="Times New Roman"/>
          <w:sz w:val="20"/>
        </w:rPr>
        <w:t xml:space="preserve"> (in each case, solely to the extent incurred pursuant to the reference to </w:t>
      </w:r>
      <w:r>
        <w:rPr>
          <w:rFonts w:ascii="Times New Roman" w:hAnsi="Times New Roman"/>
          <w:sz w:val="20"/>
          <w:u w:val="single"/>
        </w:rPr>
        <w:t>Section 6.04(a)(x)</w:t>
      </w:r>
      <w:r>
        <w:rPr>
          <w:rFonts w:ascii="Times New Roman" w:hAnsi="Times New Roman"/>
          <w:sz w:val="20"/>
        </w:rPr>
        <w:t xml:space="preserve"> thereunder)) so long as (x) no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(solely to the extent arising from a breach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Section 6.15(b)</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at the time of the declaration of such Restricted Payment or would result therefrom and (y) after giving effect to such Restricted Payment the Total Net Leverage Ratio, calculated on a Pro Forma Basis, does not exceed 2.00:1.00; </w:t>
      </w:r>
    </w:p>
    <w:p>
      <w:pPr>
        <w:pStyle w:val="TextBody"/>
        <w:bidi w:val="0"/>
        <w:spacing w:before="120" w:after="0"/>
        <w:jc w:val="left"/>
        <w:rPr>
          <w:rFonts w:ascii="Times New Roman" w:hAnsi="Times New Roman"/>
          <w:sz w:val="20"/>
        </w:rPr>
      </w:pPr>
      <w:r>
        <w:rPr>
          <w:rFonts w:ascii="Times New Roman" w:hAnsi="Times New Roman"/>
          <w:sz w:val="20"/>
        </w:rPr>
        <w:t xml:space="preserve">(xi) the Borrower may make Restricted Payments so long as (i) no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at the time of the declaration of such Restricted Payment or would result therefrom and (ii) the Total Net Leverage Ratio, calculated on a Pro Forma Basis, would not exceed 2.00:1.00; </w:t>
      </w:r>
    </w:p>
    <w:p>
      <w:pPr>
        <w:pStyle w:val="TextBody"/>
        <w:bidi w:val="0"/>
        <w:spacing w:before="120" w:after="0"/>
        <w:jc w:val="left"/>
        <w:rPr>
          <w:rFonts w:ascii="Times New Roman" w:hAnsi="Times New Roman"/>
          <w:sz w:val="20"/>
        </w:rPr>
      </w:pPr>
      <w:r>
        <w:rPr>
          <w:rFonts w:ascii="Times New Roman" w:hAnsi="Times New Roman"/>
          <w:sz w:val="20"/>
        </w:rPr>
        <w:t xml:space="preserve">(xii) the Borrower may declare and make dividend payments or other Restricted Payments payable solely in the Capital Stock (other than Disqualified Capital Stock) of the Borrower or the Capital Stock of any Parent Company;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Restricted Payments in connection with any transaction permitted by </w:t>
      </w:r>
      <w:r>
        <w:rPr>
          <w:rFonts w:ascii="Times New Roman" w:hAnsi="Times New Roman"/>
          <w:sz w:val="20"/>
          <w:u w:val="single"/>
        </w:rPr>
        <w:t>Section 5.17</w:t>
      </w:r>
      <w:r>
        <w:rPr>
          <w:rFonts w:ascii="Times New Roman" w:hAnsi="Times New Roman"/>
          <w:sz w:val="20"/>
        </w:rPr>
        <w:t xml:space="preserve"> (other than </w:t>
      </w:r>
      <w:r>
        <w:rPr>
          <w:rFonts w:ascii="Times New Roman" w:hAnsi="Times New Roman"/>
          <w:sz w:val="20"/>
          <w:u w:val="single"/>
        </w:rPr>
        <w:t>Sections 5.17(a)</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Section 6.06</w:t>
      </w:r>
      <w:r>
        <w:rPr>
          <w:rFonts w:ascii="Times New Roman" w:hAnsi="Times New Roman"/>
          <w:sz w:val="20"/>
        </w:rPr>
        <w:t xml:space="preserve"> (other than </w:t>
      </w:r>
      <w:r>
        <w:rPr>
          <w:rFonts w:ascii="Times New Roman" w:hAnsi="Times New Roman"/>
          <w:sz w:val="20"/>
          <w:u w:val="single"/>
        </w:rPr>
        <w:t>Sections 6.06(j)</w:t>
      </w:r>
      <w:r>
        <w:rPr>
          <w:rFonts w:ascii="Times New Roman" w:hAnsi="Times New Roman"/>
          <w:sz w:val="20"/>
        </w:rPr>
        <w:t xml:space="preserve"> and </w:t>
      </w:r>
      <w:r>
        <w:rPr>
          <w:rFonts w:ascii="Times New Roman" w:hAnsi="Times New Roman"/>
          <w:sz w:val="20"/>
          <w:u w:val="single"/>
        </w:rPr>
        <w:t>(t)</w:t>
      </w:r>
      <w:r>
        <w:rPr>
          <w:rFonts w:ascii="Times New Roman" w:hAnsi="Times New Roman"/>
          <w:sz w:val="20"/>
        </w:rPr>
        <w:t xml:space="preserve">) that constitutes an Investment and/or </w:t>
      </w:r>
      <w:r>
        <w:rPr>
          <w:rFonts w:ascii="Times New Roman" w:hAnsi="Times New Roman"/>
          <w:sz w:val="20"/>
          <w:u w:val="single"/>
        </w:rPr>
        <w:t>Section 6.07</w:t>
      </w:r>
      <w:r>
        <w:rPr>
          <w:rFonts w:ascii="Times New Roman" w:hAnsi="Times New Roman"/>
          <w:sz w:val="20"/>
        </w:rPr>
        <w:t xml:space="preserve"> (other than </w:t>
      </w:r>
      <w:r>
        <w:rPr>
          <w:rFonts w:ascii="Times New Roman" w:hAnsi="Times New Roman"/>
          <w:sz w:val="20"/>
          <w:u w:val="single"/>
        </w:rPr>
        <w:t>Section 6.07(g)</w:t>
      </w:r>
      <w:r>
        <w:rPr>
          <w:rFonts w:ascii="Times New Roman" w:hAnsi="Times New Roman"/>
          <w:sz w:val="20"/>
        </w:rPr>
        <w:t xml:space="preserve">) that constitutes a Disposition; and/or </w:t>
      </w:r>
    </w:p>
    <w:p>
      <w:pPr>
        <w:pStyle w:val="TextBody"/>
        <w:bidi w:val="0"/>
        <w:spacing w:before="120" w:after="0"/>
        <w:jc w:val="left"/>
        <w:rPr>
          <w:rFonts w:ascii="Times New Roman" w:hAnsi="Times New Roman"/>
          <w:sz w:val="20"/>
        </w:rPr>
      </w:pPr>
      <w:r>
        <w:rPr>
          <w:rFonts w:ascii="Times New Roman" w:hAnsi="Times New Roman"/>
          <w:sz w:val="20"/>
        </w:rPr>
        <w:t xml:space="preserve">(xv) (A) for any taxable period (or portion thereof) for which the Borrower is a partnership or disregarded entity for U.S. federal income Tax purposes, the Borrower may make pro rata distributions (in accordance with percentage interests) (or distributions necessary to permit the Parent or any Person of which the Borrower is a direct or indirect wholly owned Subsidiary to make pro rata distributions (in accordance with percentage interests)) to its equity owners in amounts sufficient for each of them (or their direct or indirect owners) to pay their U.S. federal, state, local and other Taxes (including estimated Taxes) with respect to income attributable to the Borrower and its Subsidiaries (and any other entity in which the Borrower owns a direct or indirect interest) for each taxable year (including, for the avoidance of doubt, any allocations under Section 704(c) of the Code), based on an assumed Tax rate equal to the highest combined marginal U.S. federal, state, and local Tax rate applicable to an individual or corporation (whichever is higher) resident in New York, New York, taking into account (1) the character and type of income earned (and for the avoidance of doubt, without regard to any reduction in rate attributable to Section 199A of the Code), (2) Medicare Taxes, (3) any applicable limitations with respect to any deductions (and treating state and local Taxes as non-deductible for individuals), and (4) for purposes of determining the taxable income or gain allocable to any direct or indirect owner of the Borrower, the cumulative net taxable losses of the Borrower (if the Borrower is a disregarded entity for U.S. federal tax purposes, the Borrower’s regarded owner),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for U.S. federal income tax purposes, allocated to such equity owner for all prior taxable years (or portions thereof) commencing on or after the Closing Date, to the extent any such prior losses are available to reduce such income or gain and have not previously been taken into account in the calculation of the tax distribution under this </w:t>
      </w:r>
      <w:r>
        <w:rPr>
          <w:rFonts w:ascii="Times New Roman" w:hAnsi="Times New Roman"/>
          <w:sz w:val="20"/>
          <w:u w:val="single"/>
        </w:rPr>
        <w:t>clause (xv)</w:t>
      </w:r>
      <w:r>
        <w:rPr>
          <w:rFonts w:ascii="Times New Roman" w:hAnsi="Times New Roman"/>
          <w:sz w:val="20"/>
        </w:rPr>
        <w:t xml:space="preserve"> for any prior period (or portion thereof) commencing on or after the Closing Date, which distributions shall be permitted on a quarterly or more frequent basis during such taxable year based on the Borrower’s best estimate of the amounts specified in this </w:t>
      </w:r>
      <w:r>
        <w:rPr>
          <w:rFonts w:ascii="Times New Roman" w:hAnsi="Times New Roman"/>
          <w:sz w:val="20"/>
          <w:u w:val="single"/>
        </w:rPr>
        <w:t>clause (xv)(A)</w:t>
      </w:r>
      <w:r>
        <w:rPr>
          <w:rFonts w:ascii="Times New Roman" w:hAnsi="Times New Roman"/>
          <w:sz w:val="20"/>
        </w:rPr>
        <w:t xml:space="preserve"> (including any distribution to any Parent Company or Subsidiary thereof (that directly or indirectly wholly owns the Borrower) that is necessary to permit such Parent Company or such Subsidiary thereof to pay such amount), (B) for any taxable period (or portion thereof) for which the Borrower is treated as a corporation for U.S. federal income tax purposes that is included in a consolidated, combined, unitary or similar tax group (a “</w:t>
      </w:r>
      <w:r>
        <w:rPr>
          <w:rFonts w:ascii="Times New Roman" w:hAnsi="Times New Roman"/>
          <w:b/>
          <w:i/>
          <w:sz w:val="20"/>
        </w:rPr>
        <w:t>Tax Group</w:t>
      </w:r>
      <w:r>
        <w:rPr>
          <w:rFonts w:ascii="Times New Roman" w:hAnsi="Times New Roman"/>
          <w:sz w:val="20"/>
        </w:rPr>
        <w:t xml:space="preserve">”) for U.S. federal income tax purposes (or is a disregarded entity wholly owned by an entity treated as a corporation for U.S. federal income tax purposes that is included in a Tax Group), the Borrower may make distributions in amounts required for the parent of such Tax Group to pay the aggregate amount of consolidated, combined, unitary or similar group tax liabilities owed by the parent of such Tax Group and attributable to income of the Borrower and its Subsidiaries, reduced by any such Taxes paid directly by the Borrower or any of its Subsidiaries to the relevant taxing authority; provided, that the amount of such payments shall not exceed the amounts that the Borrower and its Subsidiaries would have been required to pay had the Borrower and its Subsidiaries been a stand-alone group for applicable tax purposes, and (C) the Borrower may make pro rata distributions (in accordance with percentage interests) (or distributions necessary to permit any direct or indirect parent to make pro rata distributions (in accordance with percentage interests)) to its equity owners in amounts sufficient to allow Public Parent, or a Subsidiary thereof or a successor thereto, to satisfy its obligations under any Tax Receivable Agreement but only to the extent that distributions under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are insufficient for Public Parent, or a Subsidiary thereof or a successor thereto, to comply with its obligations under the applicable Tax Receivable Agreement after the payment of the actual income Tax liability of Public Parent and its Subsidiaries; </w:t>
      </w:r>
      <w:r>
        <w:rPr>
          <w:rFonts w:ascii="Times New Roman" w:hAnsi="Times New Roman"/>
          <w:sz w:val="20"/>
          <w:u w:val="single"/>
        </w:rPr>
        <w:t>provided</w:t>
      </w:r>
      <w:r>
        <w:rPr>
          <w:rFonts w:ascii="Times New Roman" w:hAnsi="Times New Roman"/>
          <w:sz w:val="20"/>
        </w:rPr>
        <w:t xml:space="preserve">, that any payment of an accelerated lump sum amount payable by reason of an early termination of such Tax Receivable Agreement, to the extent such lump sum amount exceeds the amount that would have been payable under such Tax Receivable Agreement in the absence of such early termination, shall only be permitted so long as no Event of Default under </w:t>
      </w:r>
      <w:r>
        <w:rPr>
          <w:rFonts w:ascii="Times New Roman" w:hAnsi="Times New Roman"/>
          <w:sz w:val="20"/>
          <w:u w:val="single"/>
        </w:rPr>
        <w:t>Section 7.01(a)</w:t>
      </w:r>
      <w:r>
        <w:rPr>
          <w:rFonts w:ascii="Times New Roman" w:hAnsi="Times New Roman"/>
          <w:sz w:val="20"/>
        </w:rPr>
        <w:t xml:space="preserve"> or, solely with respect to the Borrower, </w:t>
      </w:r>
      <w:r>
        <w:rPr>
          <w:rFonts w:ascii="Times New Roman" w:hAnsi="Times New Roman"/>
          <w:sz w:val="20"/>
          <w:u w:val="single"/>
        </w:rPr>
        <w:t>Section 7.01(f)</w:t>
      </w:r>
      <w:r>
        <w:rPr>
          <w:rFonts w:ascii="Times New Roman" w:hAnsi="Times New Roman"/>
          <w:sz w:val="20"/>
        </w:rPr>
        <w:t xml:space="preserve"> or </w:t>
      </w:r>
      <w:r>
        <w:rPr>
          <w:rFonts w:ascii="Times New Roman" w:hAnsi="Times New Roman"/>
          <w:sz w:val="20"/>
          <w:u w:val="single"/>
        </w:rPr>
        <w:t>Section 7.01(g)</w:t>
      </w:r>
      <w:r>
        <w:rPr>
          <w:rFonts w:ascii="Times New Roman" w:hAnsi="Times New Roman"/>
          <w:sz w:val="20"/>
        </w:rPr>
        <w:t xml:space="preserve"> exists at the time of such payment; it being understood and agreed that, in each case, (x) all or any part of any distribution that is permitted to be made pursuant to this </w:t>
      </w:r>
      <w:r>
        <w:rPr>
          <w:rFonts w:ascii="Times New Roman" w:hAnsi="Times New Roman"/>
          <w:sz w:val="20"/>
          <w:u w:val="single"/>
        </w:rPr>
        <w:t>clause (xv)</w:t>
      </w:r>
      <w:r>
        <w:rPr>
          <w:rFonts w:ascii="Times New Roman" w:hAnsi="Times New Roman"/>
          <w:sz w:val="20"/>
        </w:rPr>
        <w:t xml:space="preserve"> may be made at any time during or after the relevant taxable period in respect of which the applicable distribution is permitted, and (y) for purposes of this clause (xv) the term “Subsidiary” shall be interpreted by replacing the words “more than 50%” with “more than 0%”. </w:t>
      </w:r>
    </w:p>
    <w:p>
      <w:pPr>
        <w:pStyle w:val="TextBody"/>
        <w:bidi w:val="0"/>
        <w:spacing w:before="240" w:after="0"/>
        <w:jc w:val="left"/>
        <w:rPr>
          <w:rFonts w:ascii="Times New Roman" w:hAnsi="Times New Roman"/>
          <w:sz w:val="20"/>
        </w:rPr>
      </w:pPr>
      <w:r>
        <w:rPr>
          <w:rFonts w:ascii="Times New Roman" w:hAnsi="Times New Roman"/>
          <w:sz w:val="20"/>
        </w:rPr>
        <w:t>(b) The Borrower shall not, nor shall it permit any Subsidiary to, make any prepayment in Cash in respect of principal of any Restricted Debt, including any sinking fund or similar deposit, on account of the purchase, redemption, retirement, acquisition, cancellation or termination of any Restricted Debt, in each case, more than one year prior to the scheduled maturity date thereof (collectively, “</w:t>
      </w:r>
      <w:r>
        <w:rPr>
          <w:rFonts w:ascii="Times New Roman" w:hAnsi="Times New Roman"/>
          <w:sz w:val="20"/>
          <w:u w:val="single"/>
        </w:rPr>
        <w:t>Restricted Debt Payments</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purchase, defeasance, redemption, repurchase, repayment or other acquisition or retirement thereof made by exchange for, or out of the proceeds of, Refinancing Indebtedness permitted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as part of an applicable high yield discount obligation catch-up payment; </w:t>
      </w:r>
    </w:p>
    <w:p>
      <w:pPr>
        <w:pStyle w:val="TextBody"/>
        <w:bidi w:val="0"/>
        <w:spacing w:before="120" w:after="0"/>
        <w:jc w:val="left"/>
        <w:rPr>
          <w:rFonts w:ascii="Times New Roman" w:hAnsi="Times New Roman"/>
          <w:sz w:val="20"/>
        </w:rPr>
      </w:pPr>
      <w:r>
        <w:rPr>
          <w:rFonts w:ascii="Times New Roman" w:hAnsi="Times New Roman"/>
          <w:sz w:val="20"/>
        </w:rPr>
        <w:t xml:space="preserve">(iii) payments of regularly scheduled principal and interest (including any penalty interest, if applicable) and payments of fees, expenses and indemnification obligations as and when due (other than payments of principal with respect to Junior Indebtedness that are prohibited by the subordination provisions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Restricted Debt Payments in an aggregate amount not to exceed (A) the greater of $122,500,000 and 35% of Consolidated Adjusted EBITDA as of the last day of the most recently ended Test Period </w:t>
      </w:r>
      <w:r>
        <w:rPr>
          <w:rFonts w:ascii="Times New Roman" w:hAnsi="Times New Roman"/>
          <w:sz w:val="20"/>
          <w:u w:val="single"/>
        </w:rPr>
        <w:t>plus</w:t>
      </w:r>
      <w:r>
        <w:rPr>
          <w:rFonts w:ascii="Times New Roman" w:hAnsi="Times New Roman"/>
          <w:sz w:val="20"/>
        </w:rPr>
        <w:t xml:space="preserve"> (B) at the election of the Borrower, the amount of any Restricted Payments then permitted to be made by the Borrower in reliance on </w:t>
      </w:r>
      <w:r>
        <w:rPr>
          <w:rFonts w:ascii="Times New Roman" w:hAnsi="Times New Roman"/>
          <w:sz w:val="20"/>
          <w:u w:val="single"/>
        </w:rPr>
        <w:t>Section 6.04(a)(x)</w:t>
      </w:r>
      <w:r>
        <w:rPr>
          <w:rFonts w:ascii="Times New Roman" w:hAnsi="Times New Roman"/>
          <w:sz w:val="20"/>
        </w:rPr>
        <w:t xml:space="preserve"> (it being understood that any amount utilized under this </w:t>
      </w:r>
      <w:r>
        <w:rPr>
          <w:rFonts w:ascii="Times New Roman" w:hAnsi="Times New Roman"/>
          <w:sz w:val="20"/>
          <w:u w:val="single"/>
        </w:rPr>
        <w:t>clause (B)</w:t>
      </w:r>
      <w:r>
        <w:rPr>
          <w:rFonts w:ascii="Times New Roman" w:hAnsi="Times New Roman"/>
          <w:sz w:val="20"/>
        </w:rPr>
        <w:t xml:space="preserve"> to make a Restricted Debt Payment shall result in a reduction in availability under </w:t>
      </w:r>
      <w:r>
        <w:rPr>
          <w:rFonts w:ascii="Times New Roman" w:hAnsi="Times New Roman"/>
          <w:sz w:val="20"/>
          <w:u w:val="single"/>
        </w:rPr>
        <w:t>Section 6.04(a)(x)</w:t>
      </w:r>
      <w:r>
        <w:rPr>
          <w:rFonts w:ascii="Times New Roman" w:hAnsi="Times New Roman"/>
          <w:sz w:val="20"/>
        </w:rPr>
        <w:t xml:space="preserve">), so long as no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at the time of delivery of irrevocable notice of such Restricted Debt Payment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(v) (A) Restricted Debt Payments in exchange for, or with proceeds of any issuance of, Qualified Capital Stock of the Borrower and/or any capital contribution in respect of Qualified Capital Stock of the Borrower, (B) Restricted Debt Payments as a result of the conversion of all or any portion of any Restricted Debt into Qualified Capital Stock of the Borrower and (C) to the extent constituting a Restricted Debt Payment, payment-in-kind interest with respect to any Restricted Debt that is permitted under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Restricted Debt Payments in an aggregate amount not to exceed (A) the portion, if any, of the Available Amount on such date that the Borrower elects to apply to this </w:t>
      </w:r>
      <w:r>
        <w:rPr>
          <w:rFonts w:ascii="Times New Roman" w:hAnsi="Times New Roman"/>
          <w:sz w:val="20"/>
          <w:u w:val="single"/>
        </w:rPr>
        <w:t>clause (vi)(A)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after giving effect to any Restricted Debt Payment made in reliance on this </w:t>
      </w:r>
      <w:r>
        <w:rPr>
          <w:rFonts w:ascii="Times New Roman" w:hAnsi="Times New Roman"/>
          <w:sz w:val="20"/>
          <w:u w:val="single"/>
        </w:rPr>
        <w:t>Section 6.04(b)(vi)(A)</w:t>
      </w:r>
      <w:r>
        <w:rPr>
          <w:rFonts w:ascii="Times New Roman" w:hAnsi="Times New Roman"/>
          <w:sz w:val="20"/>
        </w:rPr>
        <w:t xml:space="preserve">, (x) no Event of Default under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at the time of the declaration thereof and (y) solely to the extent any Restricted Debt Payment is made in reliance on this </w:t>
      </w:r>
      <w:r>
        <w:rPr>
          <w:rFonts w:ascii="Times New Roman" w:hAnsi="Times New Roman"/>
          <w:sz w:val="20"/>
          <w:u w:val="single"/>
        </w:rPr>
        <w:t>Section 6.04(b)(vi)(A)</w:t>
      </w:r>
      <w:r>
        <w:rPr>
          <w:rFonts w:ascii="Times New Roman" w:hAnsi="Times New Roman"/>
          <w:sz w:val="20"/>
        </w:rPr>
        <w:t xml:space="preserve"> using the amount available under </w:t>
      </w:r>
      <w:r>
        <w:rPr>
          <w:rFonts w:ascii="Times New Roman" w:hAnsi="Times New Roman"/>
          <w:sz w:val="20"/>
          <w:u w:val="single"/>
        </w:rPr>
        <w:t>clause (a)(ii)</w:t>
      </w:r>
      <w:r>
        <w:rPr>
          <w:rFonts w:ascii="Times New Roman" w:hAnsi="Times New Roman"/>
          <w:sz w:val="20"/>
        </w:rPr>
        <w:t xml:space="preserve"> of the definition of “Available Amount”, the Total Net Leverage Ratio, calculated on a Pro Forma Basis, does not exceed 2.25:1.00 and/or (B) the portion, if any, of the Available Excluded Contribution Amount on such date that the Borrower elects to apply to this </w:t>
      </w:r>
      <w:r>
        <w:rPr>
          <w:rFonts w:ascii="Times New Roman" w:hAnsi="Times New Roman"/>
          <w:sz w:val="20"/>
          <w:u w:val="single"/>
        </w:rPr>
        <w:t>clause (vi)(B)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Restricted Debt Payments in an unlimited amount; </w:t>
      </w:r>
      <w:r>
        <w:rPr>
          <w:rFonts w:ascii="Times New Roman" w:hAnsi="Times New Roman"/>
          <w:sz w:val="20"/>
          <w:u w:val="single"/>
        </w:rPr>
        <w:t>provided</w:t>
      </w:r>
      <w:r>
        <w:rPr>
          <w:rFonts w:ascii="Times New Roman" w:hAnsi="Times New Roman"/>
          <w:sz w:val="20"/>
        </w:rPr>
        <w:t xml:space="preserve">, that (A) no Event of Default under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exists at the time of delivery of irrevocable notice of such Restricted Debt Payment or would result therefrom and (B) the Total Net Leverage Ratio, calculated on a Pro Forma Basis, would not exceed 2.25:1.00; </w:t>
      </w:r>
    </w:p>
    <w:p>
      <w:pPr>
        <w:pStyle w:val="TextBody"/>
        <w:bidi w:val="0"/>
        <w:spacing w:before="120" w:after="0"/>
        <w:jc w:val="left"/>
        <w:rPr>
          <w:rFonts w:ascii="Times New Roman" w:hAnsi="Times New Roman"/>
          <w:sz w:val="20"/>
        </w:rPr>
      </w:pPr>
      <w:r>
        <w:rPr>
          <w:rFonts w:ascii="Times New Roman" w:hAnsi="Times New Roman"/>
          <w:sz w:val="20"/>
        </w:rPr>
        <w:t xml:space="preserve">(viii) [reserved]; and/or </w:t>
      </w:r>
    </w:p>
    <w:p>
      <w:pPr>
        <w:pStyle w:val="TextBody"/>
        <w:bidi w:val="0"/>
        <w:spacing w:before="120" w:after="0"/>
        <w:jc w:val="left"/>
        <w:rPr>
          <w:rFonts w:ascii="Times New Roman" w:hAnsi="Times New Roman"/>
          <w:sz w:val="20"/>
        </w:rPr>
      </w:pPr>
      <w:r>
        <w:rPr>
          <w:rFonts w:ascii="Times New Roman" w:hAnsi="Times New Roman"/>
          <w:sz w:val="20"/>
        </w:rPr>
        <w:t>(ix) Restricted Debt Payments in an aggregate amount not to exceed amount of Restricted Payments then permitted to be made in reliance on</w:t>
      </w:r>
      <w:r>
        <w:rPr>
          <w:rFonts w:ascii="Times New Roman" w:hAnsi="Times New Roman"/>
          <w:sz w:val="20"/>
          <w:u w:val="single"/>
        </w:rPr>
        <w:t xml:space="preserve"> Section 6.04(a)(vii)</w:t>
      </w:r>
      <w:r>
        <w:rPr>
          <w:rFonts w:ascii="Times New Roman" w:hAnsi="Times New Roman"/>
          <w:sz w:val="20"/>
        </w:rPr>
        <w:t xml:space="preserve"> (it being understood that any amount utilized under this </w:t>
      </w:r>
      <w:r>
        <w:rPr>
          <w:rFonts w:ascii="Times New Roman" w:hAnsi="Times New Roman"/>
          <w:sz w:val="20"/>
          <w:u w:val="single"/>
        </w:rPr>
        <w:t>clause (ix)</w:t>
      </w:r>
      <w:r>
        <w:rPr>
          <w:rFonts w:ascii="Times New Roman" w:hAnsi="Times New Roman"/>
          <w:sz w:val="20"/>
        </w:rPr>
        <w:t xml:space="preserve"> to make a Restricted Debt Payment shall result in a reduction in the amount available under </w:t>
      </w:r>
      <w:r>
        <w:rPr>
          <w:rFonts w:ascii="Times New Roman" w:hAnsi="Times New Roman"/>
          <w:sz w:val="20"/>
          <w:u w:val="single"/>
        </w:rPr>
        <w:t>Section 6.04(a)(vii)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Burdensome Agreements</w:t>
      </w:r>
      <w:r>
        <w:rPr>
          <w:rFonts w:ascii="Times New Roman" w:hAnsi="Times New Roman"/>
          <w:sz w:val="20"/>
        </w:rPr>
        <w:t xml:space="preserve">. Except as provided herein or in any other Loan Document, in any agreement with respect to any Incremental Equivalent Debt and/or in any agreement with respect to any refinancing, renewal or replacement of such Indebtedness that is permitted by </w:t>
      </w:r>
      <w:r>
        <w:rPr>
          <w:rFonts w:ascii="Times New Roman" w:hAnsi="Times New Roman"/>
          <w:sz w:val="20"/>
          <w:u w:val="single"/>
        </w:rPr>
        <w:t>Section 6.01</w:t>
      </w:r>
      <w:r>
        <w:rPr>
          <w:rFonts w:ascii="Times New Roman" w:hAnsi="Times New Roman"/>
          <w:sz w:val="20"/>
        </w:rPr>
        <w:t>, the Borrower shall not, nor shall it permit any Subsidiary to, enter into or cause to exist any agreement restricting the ability of (x) any Subsidiary of the Borrower that is not a Loan Party to pay dividends or other distributions to the Borrower or any other Loan Party, (y) any Subsidiary to make cash loans or advances to the Borrower or any other Loan Party or (z) any Loan Party to create, permit or grant a Lien on any of its properties or assets to secure the Secured Obligations (after giving effect to the applicable anti-assignment provisions of the UCC and/or any other applicable Requirement of Law) (any such agreement, a “</w:t>
      </w:r>
      <w:r>
        <w:rPr>
          <w:rFonts w:ascii="Times New Roman" w:hAnsi="Times New Roman"/>
          <w:sz w:val="20"/>
          <w:u w:val="single"/>
        </w:rPr>
        <w:t>Burdensome Agreement</w:t>
      </w:r>
      <w:r>
        <w:rPr>
          <w:rFonts w:ascii="Times New Roman" w:hAnsi="Times New Roman"/>
          <w:sz w:val="20"/>
        </w:rPr>
        <w:t xml:space="preserve">”), except restrictions: </w:t>
      </w:r>
    </w:p>
    <w:p>
      <w:pPr>
        <w:pStyle w:val="TextBody"/>
        <w:bidi w:val="0"/>
        <w:spacing w:before="120" w:after="0"/>
        <w:jc w:val="left"/>
        <w:rPr>
          <w:rFonts w:ascii="Times New Roman" w:hAnsi="Times New Roman"/>
          <w:sz w:val="20"/>
        </w:rPr>
      </w:pPr>
      <w:r>
        <w:rPr>
          <w:rFonts w:ascii="Times New Roman" w:hAnsi="Times New Roman"/>
          <w:sz w:val="20"/>
        </w:rPr>
        <w:t xml:space="preserve">(a) set forth in any agreement evidencing (i) Indebtedness of a Subsidiary that is not a Loan Party permitted by </w:t>
      </w:r>
      <w:r>
        <w:rPr>
          <w:rFonts w:ascii="Times New Roman" w:hAnsi="Times New Roman"/>
          <w:sz w:val="20"/>
          <w:u w:val="single"/>
        </w:rPr>
        <w:t>Section 6.01</w:t>
      </w:r>
      <w:r>
        <w:rPr>
          <w:rFonts w:ascii="Times New Roman" w:hAnsi="Times New Roman"/>
          <w:sz w:val="20"/>
        </w:rPr>
        <w:t xml:space="preserve">, (ii) Indebtedness permitted by </w:t>
      </w:r>
      <w:r>
        <w:rPr>
          <w:rFonts w:ascii="Times New Roman" w:hAnsi="Times New Roman"/>
          <w:sz w:val="20"/>
          <w:u w:val="single"/>
        </w:rPr>
        <w:t>Section 6.01</w:t>
      </w:r>
      <w:r>
        <w:rPr>
          <w:rFonts w:ascii="Times New Roman" w:hAnsi="Times New Roman"/>
          <w:sz w:val="20"/>
        </w:rPr>
        <w:t xml:space="preserve"> that is secured by a Permitted Lien if the relevant restriction applies only to the Person obligated under such Indebtedness and its Subsidiaries or the assets intended to secure such Indebtedness and (iii) Indebtedness permitted pursuant to </w:t>
      </w:r>
      <w:r>
        <w:rPr>
          <w:rFonts w:ascii="Times New Roman" w:hAnsi="Times New Roman"/>
          <w:sz w:val="20"/>
          <w:u w:val="single"/>
        </w:rPr>
        <w:t>clauses (j)</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(p)</w:t>
      </w:r>
      <w:r>
        <w:rPr>
          <w:rFonts w:ascii="Times New Roman" w:hAnsi="Times New Roman"/>
          <w:sz w:val="20"/>
        </w:rPr>
        <w:t xml:space="preserve"> (as it relates to Indebtedness in respect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and/or </w:t>
      </w:r>
      <w:r>
        <w:rPr>
          <w:rFonts w:ascii="Times New Roman" w:hAnsi="Times New Roman"/>
          <w:sz w:val="20"/>
          <w:u w:val="single"/>
        </w:rPr>
        <w:t>(ff)</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(r)</w:t>
      </w:r>
      <w:r>
        <w:rPr>
          <w:rFonts w:ascii="Times New Roman" w:hAnsi="Times New Roman"/>
          <w:sz w:val="20"/>
        </w:rPr>
        <w:t xml:space="preserve">, </w:t>
      </w:r>
      <w:r>
        <w:rPr>
          <w:rFonts w:ascii="Times New Roman" w:hAnsi="Times New Roman"/>
          <w:sz w:val="20"/>
          <w:u w:val="single"/>
        </w:rPr>
        <w:t>(u)</w:t>
      </w:r>
      <w:r>
        <w:rPr>
          <w:rFonts w:ascii="Times New Roman" w:hAnsi="Times New Roman"/>
          <w:sz w:val="20"/>
        </w:rPr>
        <w:t xml:space="preserve">, </w:t>
      </w: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and/or </w:t>
      </w:r>
      <w:r>
        <w:rPr>
          <w:rFonts w:ascii="Times New Roman" w:hAnsi="Times New Roman"/>
          <w:sz w:val="20"/>
          <w:u w:val="single"/>
        </w:rPr>
        <w:t>(ff)</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arising under customary provisions restricting assignments, licensing, sublicensing, subletting or other transfers (including the granting of any Lien) contained in leases, subleases, licenses, sublicenses, joint venture agreements and other agreements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that are or were created by virtue of any Lien granted upon, transfer of, agreement to transfer or grant of, any option or right with respect to any assets or Capital Stock not otherwise prohibited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 </w:t>
      </w:r>
    </w:p>
    <w:p>
      <w:pPr>
        <w:pStyle w:val="TextBody"/>
        <w:bidi w:val="0"/>
        <w:spacing w:before="240" w:after="0"/>
        <w:jc w:val="left"/>
        <w:rPr>
          <w:rFonts w:ascii="Times New Roman" w:hAnsi="Times New Roman"/>
          <w:sz w:val="20"/>
        </w:rPr>
      </w:pPr>
      <w:r>
        <w:rPr>
          <w:rFonts w:ascii="Times New Roman" w:hAnsi="Times New Roman"/>
          <w:sz w:val="20"/>
        </w:rPr>
        <w:t xml:space="preserve">(e) set forth in any agreement for any Disposition of any Subsidiary (or all or substantially all of the assets thereof) that restricts the payment of dividends or other distributions or the making of cash loans or advances by such Subsidiary pending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(f) (i) set forth in provisions in agreements or instruments which prohibit the payment of dividends or the making of other distributions with respect to any class of Capital Stock of a Person other than on a pro rata basis and/or (ii) set forth in the documentation governing any Surety Bond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(g) imposed by customary provisions in partnership agreements, limited liability company organizational governance documents, joint venture agreements and other similar agreements; </w:t>
      </w:r>
    </w:p>
    <w:p>
      <w:pPr>
        <w:pStyle w:val="TextBody"/>
        <w:bidi w:val="0"/>
        <w:spacing w:before="240" w:after="0"/>
        <w:jc w:val="left"/>
        <w:rPr>
          <w:rFonts w:ascii="Times New Roman" w:hAnsi="Times New Roman"/>
          <w:sz w:val="20"/>
        </w:rPr>
      </w:pPr>
      <w:r>
        <w:rPr>
          <w:rFonts w:ascii="Times New Roman" w:hAnsi="Times New Roman"/>
          <w:sz w:val="20"/>
        </w:rPr>
        <w:t xml:space="preserve">(h) (i) on Cash, other deposits, working capital or net worth or similar restrictions imposed by any Person under any contract entered into in the ordinary course of business (including any agreement relating to Surety Bond Indebtedness) or for whose benefit such Cash, other deposits or net worth or similar restrictions exist and/or (ii) applicable solely to one or more Project Development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set forth in documents which exist on the Closing Date and were not created in contemplation thereof; </w:t>
      </w:r>
    </w:p>
    <w:p>
      <w:pPr>
        <w:pStyle w:val="TextBody"/>
        <w:bidi w:val="0"/>
        <w:spacing w:before="240" w:after="0"/>
        <w:jc w:val="left"/>
        <w:rPr>
          <w:rFonts w:ascii="Times New Roman" w:hAnsi="Times New Roman"/>
          <w:sz w:val="20"/>
        </w:rPr>
      </w:pPr>
      <w:r>
        <w:rPr>
          <w:rFonts w:ascii="Times New Roman" w:hAnsi="Times New Roman"/>
          <w:sz w:val="20"/>
        </w:rPr>
        <w:t xml:space="preserve">(j) 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(k) arising under or as a result of applicable Requirements of Law or the terms of any license, authorization, concession or permit; </w:t>
      </w:r>
    </w:p>
    <w:p>
      <w:pPr>
        <w:pStyle w:val="TextBody"/>
        <w:bidi w:val="0"/>
        <w:spacing w:before="240" w:after="0"/>
        <w:jc w:val="left"/>
        <w:rPr>
          <w:rFonts w:ascii="Times New Roman" w:hAnsi="Times New Roman"/>
          <w:sz w:val="20"/>
        </w:rPr>
      </w:pPr>
      <w:r>
        <w:rPr>
          <w:rFonts w:ascii="Times New Roman" w:hAnsi="Times New Roman"/>
          <w:sz w:val="20"/>
        </w:rPr>
        <w:t xml:space="preserve">(l) arising in any Hedge Agreement and/or any agreement or arrangement relating to any Banking Services and, in the case of any restriction on Liens, limited to assets permitted to be subject to Liens securing such obligations under Hedge Agreements and/or Banking Services; </w:t>
      </w:r>
    </w:p>
    <w:p>
      <w:pPr>
        <w:pStyle w:val="TextBody"/>
        <w:bidi w:val="0"/>
        <w:spacing w:before="240" w:after="0"/>
        <w:jc w:val="left"/>
        <w:rPr>
          <w:rFonts w:ascii="Times New Roman" w:hAnsi="Times New Roman"/>
          <w:sz w:val="20"/>
        </w:rPr>
      </w:pPr>
      <w:r>
        <w:rPr>
          <w:rFonts w:ascii="Times New Roman" w:hAnsi="Times New Roman"/>
          <w:sz w:val="20"/>
        </w:rPr>
        <w:t xml:space="preserve">(m) relating to any asset (or all of the assets) of and/or the Capital Stock of the Borrower and/or any Subsidiary which is imposed pursuant to an agreement entered into in connection with any Disposition of such asset (or assets) and/or all or a portion of the Capital Stock of the relevant Person that is permitted or not restricted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 set forth in any agreement relating to any Permitted Lien that limit the right of the Borrower and/or any Subsidiary to Dispose of or encumber the assets subject thereto; </w:t>
      </w:r>
    </w:p>
    <w:p>
      <w:pPr>
        <w:pStyle w:val="TextBody"/>
        <w:bidi w:val="0"/>
        <w:spacing w:before="240" w:after="0"/>
        <w:jc w:val="left"/>
        <w:rPr>
          <w:rFonts w:ascii="Times New Roman" w:hAnsi="Times New Roman"/>
          <w:sz w:val="20"/>
        </w:rPr>
      </w:pPr>
      <w:r>
        <w:rPr>
          <w:rFonts w:ascii="Times New Roman" w:hAnsi="Times New Roman"/>
          <w:sz w:val="20"/>
        </w:rPr>
        <w:t xml:space="preserve">(o) imposed by any amendment, modification, restatement, renewal, increase, supplement, refunding, replacement or refinancing of any contract, instrument or obligation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(n)</w:t>
      </w:r>
      <w:r>
        <w:rPr>
          <w:rFonts w:ascii="Times New Roman" w:hAnsi="Times New Roman"/>
          <w:sz w:val="20"/>
        </w:rPr>
        <w:t xml:space="preserve"> above; </w:t>
      </w:r>
      <w:r>
        <w:rPr>
          <w:rFonts w:ascii="Times New Roman" w:hAnsi="Times New Roman"/>
          <w:sz w:val="20"/>
          <w:u w:val="single"/>
        </w:rPr>
        <w:t>provided</w:t>
      </w:r>
      <w:r>
        <w:rPr>
          <w:rFonts w:ascii="Times New Roman" w:hAnsi="Times New Roman"/>
          <w:sz w:val="20"/>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customary subordination and/or subrogation provisions set forth in guaranty or similar documentation (not relating to Indebtedness for borrowed money) that is entered into in the ordinary course of business; and/or </w:t>
      </w:r>
    </w:p>
    <w:p>
      <w:pPr>
        <w:pStyle w:val="TextBody"/>
        <w:bidi w:val="0"/>
        <w:spacing w:before="240" w:after="0"/>
        <w:jc w:val="left"/>
        <w:rPr>
          <w:rFonts w:ascii="Times New Roman" w:hAnsi="Times New Roman"/>
          <w:sz w:val="20"/>
        </w:rPr>
      </w:pPr>
      <w:r>
        <w:rPr>
          <w:rFonts w:ascii="Times New Roman" w:hAnsi="Times New Roman"/>
          <w:sz w:val="20"/>
        </w:rPr>
        <w:t xml:space="preserve">(q) any restriction created in connection with any factoring program implemented in the ordinary course of business, so long as in the case of any prohibition on Liens, the relevant restriction relates solely to assets subject to such factoring program and, solely to the extent such Person constitutes an Excluded Subsidiary, the Capital Stock of any Person participating in such factoring program.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Investments</w:t>
      </w:r>
      <w:r>
        <w:rPr>
          <w:rFonts w:ascii="Times New Roman" w:hAnsi="Times New Roman"/>
          <w:sz w:val="20"/>
        </w:rPr>
        <w:t xml:space="preserve">. The Borrower shall not, nor shall it permit any Subsidiary to, make or own any Investment in any other Person, except: </w:t>
      </w:r>
    </w:p>
    <w:p>
      <w:pPr>
        <w:pStyle w:val="TextBody"/>
        <w:bidi w:val="0"/>
        <w:spacing w:before="120" w:after="0"/>
        <w:jc w:val="left"/>
        <w:rPr>
          <w:rFonts w:ascii="Times New Roman" w:hAnsi="Times New Roman"/>
          <w:sz w:val="20"/>
        </w:rPr>
      </w:pPr>
      <w:r>
        <w:rPr>
          <w:rFonts w:ascii="Times New Roman" w:hAnsi="Times New Roman"/>
          <w:sz w:val="20"/>
        </w:rPr>
        <w:t xml:space="preserve">(a) Cash or Investments that were Cash Equivalents at the time made; </w:t>
      </w:r>
    </w:p>
    <w:p>
      <w:pPr>
        <w:pStyle w:val="TextBody"/>
        <w:bidi w:val="0"/>
        <w:spacing w:before="240" w:after="0"/>
        <w:jc w:val="left"/>
        <w:rPr>
          <w:rFonts w:ascii="Times New Roman" w:hAnsi="Times New Roman"/>
          <w:sz w:val="20"/>
        </w:rPr>
      </w:pPr>
      <w:r>
        <w:rPr>
          <w:rFonts w:ascii="Times New Roman" w:hAnsi="Times New Roman"/>
          <w:sz w:val="20"/>
        </w:rPr>
        <w:t xml:space="preserve">(b) Investments: </w:t>
      </w:r>
    </w:p>
    <w:p>
      <w:pPr>
        <w:pStyle w:val="TextBody"/>
        <w:bidi w:val="0"/>
        <w:spacing w:before="120" w:after="0"/>
        <w:jc w:val="left"/>
        <w:rPr>
          <w:rFonts w:ascii="Times New Roman" w:hAnsi="Times New Roman"/>
          <w:sz w:val="20"/>
        </w:rPr>
      </w:pPr>
      <w:r>
        <w:rPr>
          <w:rFonts w:ascii="Times New Roman" w:hAnsi="Times New Roman"/>
          <w:sz w:val="20"/>
        </w:rPr>
        <w:t xml:space="preserve">(i) existing on the Closing Date in the Borrower or in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(ii) made after the Closing Date among the Loan Parties (other than Investments in Holdings); </w:t>
      </w:r>
    </w:p>
    <w:p>
      <w:pPr>
        <w:pStyle w:val="TextBody"/>
        <w:bidi w:val="0"/>
        <w:spacing w:before="120" w:after="0"/>
        <w:jc w:val="left"/>
        <w:rPr>
          <w:rFonts w:ascii="Times New Roman" w:hAnsi="Times New Roman"/>
          <w:sz w:val="20"/>
        </w:rPr>
      </w:pPr>
      <w:r>
        <w:rPr>
          <w:rFonts w:ascii="Times New Roman" w:hAnsi="Times New Roman"/>
          <w:sz w:val="20"/>
        </w:rPr>
        <w:t xml:space="preserve">(iii) made by any Subsidiary that is not a Loan Party in any Loan Party (other than Holdings) and/or any other Subsidiary that is not a Loan Party, and/or </w:t>
      </w:r>
    </w:p>
    <w:p>
      <w:pPr>
        <w:pStyle w:val="TextBody"/>
        <w:bidi w:val="0"/>
        <w:spacing w:before="120" w:after="0"/>
        <w:jc w:val="left"/>
        <w:rPr>
          <w:rFonts w:ascii="Times New Roman" w:hAnsi="Times New Roman"/>
          <w:sz w:val="20"/>
        </w:rPr>
      </w:pPr>
      <w:r>
        <w:rPr>
          <w:rFonts w:ascii="Times New Roman" w:hAnsi="Times New Roman"/>
          <w:sz w:val="20"/>
        </w:rPr>
        <w:t xml:space="preserve">(iv) made after the Closing Date by any Loan Party in any Subsidiary that is not a Loan Party; </w:t>
      </w:r>
      <w:r>
        <w:rPr>
          <w:rFonts w:ascii="Times New Roman" w:hAnsi="Times New Roman"/>
          <w:sz w:val="20"/>
          <w:u w:val="single"/>
        </w:rPr>
        <w:t>provided</w:t>
      </w:r>
      <w:r>
        <w:rPr>
          <w:rFonts w:ascii="Times New Roman" w:hAnsi="Times New Roman"/>
          <w:sz w:val="20"/>
        </w:rPr>
        <w:t xml:space="preserve"> that the aggregate outstanding amount of Investments made by any Loan Party in any Subsidiary that is not a Loan Party in reliance on this </w:t>
      </w:r>
      <w:r>
        <w:rPr>
          <w:rFonts w:ascii="Times New Roman" w:hAnsi="Times New Roman"/>
          <w:sz w:val="20"/>
          <w:u w:val="single"/>
        </w:rPr>
        <w:t>Section 6.06(b)(iv)</w:t>
      </w:r>
      <w:r>
        <w:rPr>
          <w:rFonts w:ascii="Times New Roman" w:hAnsi="Times New Roman"/>
          <w:sz w:val="20"/>
        </w:rPr>
        <w:t xml:space="preserve"> together with the aggregate consideration paid in respect of Investments made in a Subsidiary that is not a Loan Party or in assets that are not acquired by any Loan Party in reliance on </w:t>
      </w:r>
      <w:r>
        <w:rPr>
          <w:rFonts w:ascii="Times New Roman" w:hAnsi="Times New Roman"/>
          <w:sz w:val="20"/>
          <w:u w:val="single"/>
        </w:rPr>
        <w:t>Section 6.06(e)</w:t>
      </w:r>
      <w:r>
        <w:rPr>
          <w:rFonts w:ascii="Times New Roman" w:hAnsi="Times New Roman"/>
          <w:sz w:val="20"/>
        </w:rPr>
        <w:t xml:space="preserve"> pursuant to the proviso thereof shall not exceed the greater of $175,000,000 and 50%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(c) Investments (i) constituting deposits, prepayments and/or other credits to suppliers, (ii) made in connection with obtaining, maintaining or renewing client and customer contracts and/or (iii) in the form of advances made to distributors, suppliers, licensors and licensees, in each case, in the ordinary course of business or, in the case of </w:t>
      </w:r>
      <w:r>
        <w:rPr>
          <w:rFonts w:ascii="Times New Roman" w:hAnsi="Times New Roman"/>
          <w:sz w:val="20"/>
          <w:u w:val="single"/>
        </w:rPr>
        <w:t>clause (iii)</w:t>
      </w:r>
      <w:r>
        <w:rPr>
          <w:rFonts w:ascii="Times New Roman" w:hAnsi="Times New Roman"/>
          <w:sz w:val="20"/>
        </w:rPr>
        <w:t xml:space="preserve">, to the extent necessary to maintain the ordinary course of supplies to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Investments in any joint venture and/or non-Wholly-Owned Subsidiary in an aggregate outstanding amount not to exceed the greater of $122,500,000 and 35%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(e) Permitted Acquisitions; </w:t>
      </w:r>
      <w:r>
        <w:rPr>
          <w:rFonts w:ascii="Times New Roman" w:hAnsi="Times New Roman"/>
          <w:sz w:val="20"/>
          <w:u w:val="single"/>
        </w:rPr>
        <w:t>provided</w:t>
      </w:r>
      <w:r>
        <w:rPr>
          <w:rFonts w:ascii="Times New Roman" w:hAnsi="Times New Roman"/>
          <w:sz w:val="20"/>
        </w:rPr>
        <w:t xml:space="preserve">, that the total consideration paid by the Loan Parties for (i) the Capital Stock of any Person that does not become a Loan Party or is not a Loan Party, (ii) with respect to any Investment (x) in any Subsidiary the effect of which is to increase the equity ownership of any Subsidiary in such Subsidiary or (y) in any joint venture for the purpose of increasing the equity ownership of any Subsidiary in such joint venture, in each case, after giving effect to which the relevant joint venture is not or does not become a Loan Party or (iii) in the case of an asset acquisition, assets that are not acquired by any Loan Party, together with the aggregate amount of Investments made in reliance on </w:t>
      </w:r>
      <w:r>
        <w:rPr>
          <w:rFonts w:ascii="Times New Roman" w:hAnsi="Times New Roman"/>
          <w:sz w:val="20"/>
          <w:u w:val="single"/>
        </w:rPr>
        <w:t>Section 6.06(b)(iv)</w:t>
      </w:r>
      <w:r>
        <w:rPr>
          <w:rFonts w:ascii="Times New Roman" w:hAnsi="Times New Roman"/>
          <w:sz w:val="20"/>
        </w:rPr>
        <w:t xml:space="preserve"> shall not exceed the greater of $175,000,000 and 50% of Consolidated Adjusted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 existing on, or contractually committed to or contemplated as of, the Closing Date; </w:t>
      </w:r>
      <w:r>
        <w:rPr>
          <w:rFonts w:ascii="Times New Roman" w:hAnsi="Times New Roman"/>
          <w:sz w:val="20"/>
          <w:u w:val="single"/>
        </w:rPr>
        <w:t>provided</w:t>
      </w:r>
      <w:r>
        <w:rPr>
          <w:rFonts w:ascii="Times New Roman" w:hAnsi="Times New Roman"/>
          <w:sz w:val="20"/>
        </w:rPr>
        <w:t xml:space="preserve">, that any such Investments in excess of $10,000,000 shall be described on </w:t>
      </w:r>
      <w:r>
        <w:rPr>
          <w:rFonts w:ascii="Times New Roman" w:hAnsi="Times New Roman"/>
          <w:sz w:val="20"/>
          <w:u w:val="single"/>
        </w:rPr>
        <w:t>Schedule 6.06</w:t>
      </w:r>
      <w:r>
        <w:rPr>
          <w:rFonts w:ascii="Times New Roman" w:hAnsi="Times New Roman"/>
          <w:sz w:val="20"/>
        </w:rPr>
        <w:t xml:space="preserve"> and (ii) any modification, replacement, renewal or extension of any Investment described in </w:t>
      </w:r>
      <w:r>
        <w:rPr>
          <w:rFonts w:ascii="Times New Roman" w:hAnsi="Times New Roman"/>
          <w:sz w:val="20"/>
          <w:u w:val="single"/>
        </w:rPr>
        <w:t>clause (i)</w:t>
      </w:r>
      <w:r>
        <w:rPr>
          <w:rFonts w:ascii="Times New Roman" w:hAnsi="Times New Roman"/>
          <w:sz w:val="20"/>
        </w:rPr>
        <w:t xml:space="preserve"> above so long as no such modification, renewal or extension increases the amount of such Investment except by the terms thereof or as otherwise permitted by this </w:t>
      </w:r>
      <w:r>
        <w:rPr>
          <w:rFonts w:ascii="Times New Roman" w:hAnsi="Times New Roman"/>
          <w:sz w:val="20"/>
          <w:u w:val="single"/>
        </w:rPr>
        <w:t>Section 6.06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Investments received in lieu of Cash in connection with any Disposition permitted by </w:t>
      </w:r>
      <w:r>
        <w:rPr>
          <w:rFonts w:ascii="Times New Roman" w:hAnsi="Times New Roman"/>
          <w:sz w:val="20"/>
          <w:u w:val="single"/>
        </w:rPr>
        <w:t>Section 6.07</w:t>
      </w:r>
      <w:r>
        <w:rPr>
          <w:rFonts w:ascii="Times New Roman" w:hAnsi="Times New Roman"/>
          <w:sz w:val="20"/>
        </w:rPr>
        <w:t xml:space="preserve"> or any other disposition of assets not constituting a Disposition; </w:t>
      </w:r>
    </w:p>
    <w:p>
      <w:pPr>
        <w:pStyle w:val="TextBody"/>
        <w:bidi w:val="0"/>
        <w:spacing w:before="240" w:after="0"/>
        <w:jc w:val="left"/>
        <w:rPr>
          <w:rFonts w:ascii="Times New Roman" w:hAnsi="Times New Roman"/>
          <w:sz w:val="20"/>
        </w:rPr>
      </w:pPr>
      <w:r>
        <w:rPr>
          <w:rFonts w:ascii="Times New Roman" w:hAnsi="Times New Roman"/>
          <w:sz w:val="20"/>
        </w:rPr>
        <w:t xml:space="preserve">(h) loans or advances to present or former employees, directors, members of management, officers, managers or consultants or independent contractors (or their respective Immediate Family Members) of any Parent Company, the Borrower, any Subsidiary and/or any joint venture to the extent permitted by Requirements of Law, in connection with such Person’s purchase of Capital Stock of any Parent Company, either (i) in an aggregate principal amount not to exceed the greater of $21,000,000 and 6% of Consolidated Adjusted EBITDA as of the last day of the most recently ended Test Period at any one time outstanding or (ii) so long as the proceeds of such loan or advance are substantially contemporaneously contributed to the Borrower for the purchase of such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 Investments consisting of extensions of credit in the nature of accounts receivable or notes receivable arising from the grant of trade credit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Investments consisting of (or resulting from) Indebtedness permitted under </w:t>
      </w:r>
      <w:r>
        <w:rPr>
          <w:rFonts w:ascii="Times New Roman" w:hAnsi="Times New Roman"/>
          <w:sz w:val="20"/>
          <w:u w:val="single"/>
        </w:rPr>
        <w:t>Section 6.01</w:t>
      </w:r>
      <w:r>
        <w:rPr>
          <w:rFonts w:ascii="Times New Roman" w:hAnsi="Times New Roman"/>
          <w:sz w:val="20"/>
        </w:rPr>
        <w:t xml:space="preserve"> (other than Indebtedness permitted under </w:t>
      </w:r>
      <w:r>
        <w:rPr>
          <w:rFonts w:ascii="Times New Roman" w:hAnsi="Times New Roman"/>
          <w:sz w:val="20"/>
          <w:u w:val="single"/>
        </w:rPr>
        <w:t>Sections 6.01(b)</w:t>
      </w:r>
      <w:r>
        <w:rPr>
          <w:rFonts w:ascii="Times New Roman" w:hAnsi="Times New Roman"/>
          <w:sz w:val="20"/>
        </w:rPr>
        <w:t xml:space="preserve"> and </w:t>
      </w:r>
      <w:r>
        <w:rPr>
          <w:rFonts w:ascii="Times New Roman" w:hAnsi="Times New Roman"/>
          <w:sz w:val="20"/>
          <w:u w:val="single"/>
        </w:rPr>
        <w:t>(h</w:t>
      </w:r>
      <w:r>
        <w:rPr>
          <w:rFonts w:ascii="Times New Roman" w:hAnsi="Times New Roman"/>
          <w:sz w:val="20"/>
        </w:rPr>
        <w:t xml:space="preserve">)), Permitted Liens, Restricted Payments permitted under </w:t>
      </w:r>
      <w:r>
        <w:rPr>
          <w:rFonts w:ascii="Times New Roman" w:hAnsi="Times New Roman"/>
          <w:sz w:val="20"/>
          <w:u w:val="single"/>
        </w:rPr>
        <w:t>Section 6.04</w:t>
      </w:r>
      <w:r>
        <w:rPr>
          <w:rFonts w:ascii="Times New Roman" w:hAnsi="Times New Roman"/>
          <w:sz w:val="20"/>
        </w:rPr>
        <w:t xml:space="preserve">), Restricted Debt Payments permitted by </w:t>
      </w:r>
      <w:r>
        <w:rPr>
          <w:rFonts w:ascii="Times New Roman" w:hAnsi="Times New Roman"/>
          <w:sz w:val="20"/>
          <w:u w:val="single"/>
        </w:rPr>
        <w:t>Section 6.04</w:t>
      </w:r>
      <w:r>
        <w:rPr>
          <w:rFonts w:ascii="Times New Roman" w:hAnsi="Times New Roman"/>
          <w:sz w:val="20"/>
        </w:rPr>
        <w:t xml:space="preserve"> and mergers, consolidations, amalgamations, liquidations, windings up, dissolutions or Dispositions permitted by </w:t>
      </w:r>
      <w:r>
        <w:rPr>
          <w:rFonts w:ascii="Times New Roman" w:hAnsi="Times New Roman"/>
          <w:sz w:val="20"/>
          <w:u w:val="single"/>
        </w:rPr>
        <w:t>Section 6.07</w:t>
      </w:r>
      <w:r>
        <w:rPr>
          <w:rFonts w:ascii="Times New Roman" w:hAnsi="Times New Roman"/>
          <w:sz w:val="20"/>
        </w:rPr>
        <w:t xml:space="preserve"> (other than </w:t>
      </w:r>
      <w:r>
        <w:rPr>
          <w:rFonts w:ascii="Times New Roman" w:hAnsi="Times New Roman"/>
          <w:sz w:val="20"/>
          <w:u w:val="single"/>
        </w:rPr>
        <w:t>Section 6.07(a)</w:t>
      </w:r>
      <w:r>
        <w:rPr>
          <w:rFonts w:ascii="Times New Roman" w:hAnsi="Times New Roman"/>
          <w:sz w:val="20"/>
        </w:rPr>
        <w:t xml:space="preserve"> (if made in reliance on </w:t>
      </w:r>
      <w:r>
        <w:rPr>
          <w:rFonts w:ascii="Times New Roman" w:hAnsi="Times New Roman"/>
          <w:sz w:val="20"/>
          <w:u w:val="single"/>
        </w:rPr>
        <w:t>subclause (ii)</w:t>
      </w:r>
      <w:r>
        <w:rPr>
          <w:rFonts w:ascii="Times New Roman" w:hAnsi="Times New Roman"/>
          <w:sz w:val="20"/>
        </w:rPr>
        <w:t xml:space="preserve"> of the proviso thereto), Section 6.07(b) (if made in reliance on </w:t>
      </w:r>
      <w:r>
        <w:rPr>
          <w:rFonts w:ascii="Times New Roman" w:hAnsi="Times New Roman"/>
          <w:sz w:val="20"/>
          <w:u w:val="single"/>
        </w:rPr>
        <w:t>clause (ii)</w:t>
      </w:r>
      <w:r>
        <w:rPr>
          <w:rFonts w:ascii="Times New Roman" w:hAnsi="Times New Roman"/>
          <w:sz w:val="20"/>
        </w:rPr>
        <w:t xml:space="preserve"> therein), </w:t>
      </w:r>
      <w:r>
        <w:rPr>
          <w:rFonts w:ascii="Times New Roman" w:hAnsi="Times New Roman"/>
          <w:sz w:val="20"/>
          <w:u w:val="single"/>
        </w:rPr>
        <w:t>Section 6.07(c)(ii)</w:t>
      </w:r>
      <w:r>
        <w:rPr>
          <w:rFonts w:ascii="Times New Roman" w:hAnsi="Times New Roman"/>
          <w:sz w:val="20"/>
        </w:rPr>
        <w:t xml:space="preserve"> (if made in reliance on </w:t>
      </w:r>
      <w:r>
        <w:rPr>
          <w:rFonts w:ascii="Times New Roman" w:hAnsi="Times New Roman"/>
          <w:sz w:val="20"/>
          <w:u w:val="single"/>
        </w:rPr>
        <w:t>clause (B)</w:t>
      </w:r>
      <w:r>
        <w:rPr>
          <w:rFonts w:ascii="Times New Roman" w:hAnsi="Times New Roman"/>
          <w:sz w:val="20"/>
        </w:rPr>
        <w:t xml:space="preserve"> therein) and </w:t>
      </w:r>
      <w:r>
        <w:rPr>
          <w:rFonts w:ascii="Times New Roman" w:hAnsi="Times New Roman"/>
          <w:sz w:val="20"/>
          <w:u w:val="single"/>
        </w:rPr>
        <w:t>Section 6.07(g)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Investments in the ordinary course of business consisting of endorsements for collection or deposit and customary trade arrangements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(l) 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 </w:t>
      </w:r>
    </w:p>
    <w:p>
      <w:pPr>
        <w:pStyle w:val="TextBody"/>
        <w:bidi w:val="0"/>
        <w:spacing w:before="240" w:after="0"/>
        <w:jc w:val="left"/>
        <w:rPr>
          <w:rFonts w:ascii="Times New Roman" w:hAnsi="Times New Roman"/>
          <w:sz w:val="20"/>
        </w:rPr>
      </w:pPr>
      <w:r>
        <w:rPr>
          <w:rFonts w:ascii="Times New Roman" w:hAnsi="Times New Roman"/>
          <w:sz w:val="20"/>
        </w:rPr>
        <w:t xml:space="preserve">(m) loans and advances of payroll payments or other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other Subsidiary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Investments to the extent that payment therefor is made solely with Capital Stock of any Parent Company or Qualified Capital Stock of the Borrower or any Subsidiary, in each case, to the extent not resulting in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(o) (i) Investments of any Subsidiary acquired after the Closing Date, or of any Person acquired by, or merged into or consolidated or amalgamated with, the Borrower or any Subsidiary after the Closing Date, in each case, as part of an Investment otherwise permitted by this </w:t>
      </w:r>
      <w:r>
        <w:rPr>
          <w:rFonts w:ascii="Times New Roman" w:hAnsi="Times New Roman"/>
          <w:sz w:val="20"/>
          <w:u w:val="single"/>
        </w:rPr>
        <w:t>Section 6.06</w:t>
      </w:r>
      <w:r>
        <w:rPr>
          <w:rFonts w:ascii="Times New Roman" w:hAnsi="Times New Roman"/>
          <w:sz w:val="20"/>
        </w:rPr>
        <w:t xml:space="preserv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6.06(o)</w:t>
      </w:r>
      <w:r>
        <w:rPr>
          <w:rFonts w:ascii="Times New Roman" w:hAnsi="Times New Roman"/>
          <w:sz w:val="20"/>
        </w:rPr>
        <w:t xml:space="preserve"> so long as no such modification, replacement, renewal or extension thereof increases the original amount of such Investment except as otherwise permitted by this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Investments made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Investments made after the Closing Date by the Borrower and/or any of its Subsidiaries in an aggregate amount at any time outstanding not to exceed: </w:t>
      </w:r>
    </w:p>
    <w:p>
      <w:pPr>
        <w:pStyle w:val="TextBody"/>
        <w:bidi w:val="0"/>
        <w:spacing w:before="120" w:after="0"/>
        <w:jc w:val="left"/>
        <w:rPr>
          <w:rFonts w:ascii="Times New Roman" w:hAnsi="Times New Roman"/>
          <w:sz w:val="20"/>
        </w:rPr>
      </w:pPr>
      <w:r>
        <w:rPr>
          <w:rFonts w:ascii="Times New Roman" w:hAnsi="Times New Roman"/>
          <w:sz w:val="20"/>
        </w:rPr>
        <w:t xml:space="preserve">(i) (A) the greater of $235,000,000 and 75% of Consolidated Adjusted EBITDA as of the last day of the most recently ended Test Period, </w:t>
      </w:r>
      <w:r>
        <w:rPr>
          <w:rFonts w:ascii="Times New Roman" w:hAnsi="Times New Roman"/>
          <w:sz w:val="20"/>
          <w:u w:val="single"/>
        </w:rPr>
        <w:t>plus</w:t>
      </w:r>
      <w:r>
        <w:rPr>
          <w:rFonts w:ascii="Times New Roman" w:hAnsi="Times New Roman"/>
          <w:sz w:val="20"/>
        </w:rPr>
        <w:t xml:space="preserve"> (B) at the election of the Borrower, the amount of Restricted Payments then permitted to be made by the Borrower or any Subsidiary in reliance on </w:t>
      </w:r>
      <w:r>
        <w:rPr>
          <w:rFonts w:ascii="Times New Roman" w:hAnsi="Times New Roman"/>
          <w:sz w:val="20"/>
          <w:u w:val="single"/>
        </w:rPr>
        <w:t>Section 6.04(a)(x)</w:t>
      </w:r>
      <w:r>
        <w:rPr>
          <w:rFonts w:ascii="Times New Roman" w:hAnsi="Times New Roman"/>
          <w:sz w:val="20"/>
        </w:rPr>
        <w:t xml:space="preserve"> (it being understood that any amount utilized under this </w:t>
      </w:r>
      <w:r>
        <w:rPr>
          <w:rFonts w:ascii="Times New Roman" w:hAnsi="Times New Roman"/>
          <w:sz w:val="20"/>
          <w:u w:val="single"/>
        </w:rPr>
        <w:t>clause (B)</w:t>
      </w:r>
      <w:r>
        <w:rPr>
          <w:rFonts w:ascii="Times New Roman" w:hAnsi="Times New Roman"/>
          <w:sz w:val="20"/>
        </w:rPr>
        <w:t xml:space="preserve"> to make an Investment shall result in a reduction in availability under </w:t>
      </w:r>
      <w:r>
        <w:rPr>
          <w:rFonts w:ascii="Times New Roman" w:hAnsi="Times New Roman"/>
          <w:sz w:val="20"/>
          <w:u w:val="single"/>
        </w:rPr>
        <w:t>Section 6.04(a)(x)</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(C) at the election of the Borrower, the amount of Restricted Debt Payments then permitted to be made by the Borrower or any Subsidiary in reliance on </w:t>
      </w:r>
      <w:r>
        <w:rPr>
          <w:rFonts w:ascii="Times New Roman" w:hAnsi="Times New Roman"/>
          <w:sz w:val="20"/>
          <w:u w:val="single"/>
        </w:rPr>
        <w:t>Section 6.04(b)(iv)(A)</w:t>
      </w:r>
      <w:r>
        <w:rPr>
          <w:rFonts w:ascii="Times New Roman" w:hAnsi="Times New Roman"/>
          <w:sz w:val="20"/>
        </w:rPr>
        <w:t xml:space="preserve"> (it being understood that any amount utilized under this </w:t>
      </w:r>
      <w:r>
        <w:rPr>
          <w:rFonts w:ascii="Times New Roman" w:hAnsi="Times New Roman"/>
          <w:sz w:val="20"/>
          <w:u w:val="single"/>
        </w:rPr>
        <w:t>clause (C)</w:t>
      </w:r>
      <w:r>
        <w:rPr>
          <w:rFonts w:ascii="Times New Roman" w:hAnsi="Times New Roman"/>
          <w:sz w:val="20"/>
        </w:rPr>
        <w:t xml:space="preserve"> to make an Investment shall result in a reduction in availability under </w:t>
      </w:r>
      <w:r>
        <w:rPr>
          <w:rFonts w:ascii="Times New Roman" w:hAnsi="Times New Roman"/>
          <w:sz w:val="20"/>
          <w:u w:val="single"/>
        </w:rPr>
        <w:t>Section 6.04(b)(iv)(A)</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(A) the Borrower or any of its Subsidiaries makes any Investment in reliance on </w:t>
      </w:r>
      <w:r>
        <w:rPr>
          <w:rFonts w:ascii="Times New Roman" w:hAnsi="Times New Roman"/>
          <w:sz w:val="20"/>
          <w:u w:val="single"/>
        </w:rPr>
        <w:t>Section 6.06(d)</w:t>
      </w:r>
      <w:r>
        <w:rPr>
          <w:rFonts w:ascii="Times New Roman" w:hAnsi="Times New Roman"/>
          <w:sz w:val="20"/>
        </w:rPr>
        <w:t xml:space="preserve">, </w:t>
      </w:r>
      <w:r>
        <w:rPr>
          <w:rFonts w:ascii="Times New Roman" w:hAnsi="Times New Roman"/>
          <w:sz w:val="20"/>
          <w:u w:val="single"/>
        </w:rPr>
        <w:t>Section 6.06(q)(i)</w:t>
      </w:r>
      <w:r>
        <w:rPr>
          <w:rFonts w:ascii="Times New Roman" w:hAnsi="Times New Roman"/>
          <w:sz w:val="20"/>
        </w:rPr>
        <w:t xml:space="preserve">, </w:t>
      </w:r>
      <w:r>
        <w:rPr>
          <w:rFonts w:ascii="Times New Roman" w:hAnsi="Times New Roman"/>
          <w:sz w:val="20"/>
          <w:u w:val="single"/>
        </w:rPr>
        <w:t>Section 6.06(r)</w:t>
      </w:r>
      <w:r>
        <w:rPr>
          <w:rFonts w:ascii="Times New Roman" w:hAnsi="Times New Roman"/>
          <w:sz w:val="20"/>
        </w:rPr>
        <w:t xml:space="preserve">, </w:t>
      </w:r>
      <w:r>
        <w:rPr>
          <w:rFonts w:ascii="Times New Roman" w:hAnsi="Times New Roman"/>
          <w:sz w:val="20"/>
          <w:u w:val="single"/>
        </w:rPr>
        <w:t>Section 6.06(ee)</w:t>
      </w:r>
      <w:r>
        <w:rPr>
          <w:rFonts w:ascii="Times New Roman" w:hAnsi="Times New Roman"/>
          <w:sz w:val="20"/>
        </w:rPr>
        <w:t xml:space="preserve"> and/or </w:t>
      </w:r>
      <w:r>
        <w:rPr>
          <w:rFonts w:ascii="Times New Roman" w:hAnsi="Times New Roman"/>
          <w:sz w:val="20"/>
          <w:u w:val="single"/>
        </w:rPr>
        <w:t>Section 6.06(gg)</w:t>
      </w:r>
      <w:r>
        <w:rPr>
          <w:rFonts w:ascii="Times New Roman" w:hAnsi="Times New Roman"/>
          <w:sz w:val="20"/>
        </w:rPr>
        <w:t xml:space="preserve"> after the Closing Date in any Person that is not a Subsidiary and (B) such Person subsequently becomes a Subsidiary, an amount equal to 100% of the fair market value of such Investment as of the date on which such Person becomes a Subsidiary; </w:t>
      </w:r>
    </w:p>
    <w:p>
      <w:pPr>
        <w:pStyle w:val="TextBody"/>
        <w:bidi w:val="0"/>
        <w:spacing w:before="240" w:after="0"/>
        <w:jc w:val="left"/>
        <w:rPr>
          <w:rFonts w:ascii="Times New Roman" w:hAnsi="Times New Roman"/>
          <w:sz w:val="20"/>
        </w:rPr>
      </w:pPr>
      <w:r>
        <w:rPr>
          <w:rFonts w:ascii="Times New Roman" w:hAnsi="Times New Roman"/>
          <w:sz w:val="20"/>
        </w:rPr>
        <w:t xml:space="preserve">(r) Investments made after the Closing Date by the Borrower and/or any of its Subsidiaries in an aggregate outstanding amount not to exceed (i) the portion, if any, of the Available Amount on such date that the Borrower elects to apply to this </w:t>
      </w:r>
      <w:r>
        <w:rPr>
          <w:rFonts w:ascii="Times New Roman" w:hAnsi="Times New Roman"/>
          <w:sz w:val="20"/>
          <w:u w:val="single"/>
        </w:rPr>
        <w:t>clause (r)(i)</w:t>
      </w:r>
      <w:r>
        <w:rPr>
          <w:rFonts w:ascii="Times New Roman" w:hAnsi="Times New Roman"/>
          <w:sz w:val="20"/>
        </w:rPr>
        <w:t xml:space="preserve"> and/or (ii) the portion, if any, of the Available Excluded Contribution Amount on such date that the Borrower elects to apply to this </w:t>
      </w:r>
      <w:r>
        <w:rPr>
          <w:rFonts w:ascii="Times New Roman" w:hAnsi="Times New Roman"/>
          <w:sz w:val="20"/>
          <w:u w:val="single"/>
        </w:rPr>
        <w:t>clause (r)(ii)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(i) Guarantees of leases (other than Capital Leases) or of other obligations not constituting Indebtedness and (ii) Guarantees of the lease obligations of suppliers, customers, franchisees and licensees of the Borrower and/or any of its Subsidiaries,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 Investments in any Parent Company in amounts and for purposes for which Restricted Payments to such Parent Company are permitted under </w:t>
      </w:r>
      <w:r>
        <w:rPr>
          <w:rFonts w:ascii="Times New Roman" w:hAnsi="Times New Roman"/>
          <w:sz w:val="20"/>
          <w:u w:val="single"/>
        </w:rPr>
        <w:t>Section 6.04(a)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Investment made as provided above in lieu of any such Restricted Payment shall reduce availability under the applicable Restricted Payment basket under </w:t>
      </w:r>
      <w:r>
        <w:rPr>
          <w:rFonts w:ascii="Times New Roman" w:hAnsi="Times New Roman"/>
          <w:sz w:val="20"/>
          <w:u w:val="single"/>
        </w:rPr>
        <w:t>Section 6.04(a)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 Investments in Unrestricted Subsidiaries in an aggregate outstanding amount not to exceed $100,000,000 (this </w:t>
      </w:r>
      <w:r>
        <w:rPr>
          <w:rFonts w:ascii="Times New Roman" w:hAnsi="Times New Roman"/>
          <w:sz w:val="20"/>
          <w:u w:val="single"/>
        </w:rPr>
        <w:t>clause (u)</w:t>
      </w:r>
      <w:r>
        <w:rPr>
          <w:rFonts w:ascii="Times New Roman" w:hAnsi="Times New Roman"/>
          <w:sz w:val="20"/>
        </w:rPr>
        <w:t>, the “</w:t>
      </w:r>
      <w:r>
        <w:rPr>
          <w:rFonts w:ascii="Times New Roman" w:hAnsi="Times New Roman"/>
          <w:sz w:val="20"/>
          <w:u w:val="single"/>
        </w:rPr>
        <w:t>Unrestricted Subsidiary Investment Basket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Investments in Subsidiaries in connection with internal reorganizations and/or restructurings and activities related to tax planning; </w:t>
      </w:r>
      <w:r>
        <w:rPr>
          <w:rFonts w:ascii="Times New Roman" w:hAnsi="Times New Roman"/>
          <w:sz w:val="20"/>
          <w:u w:val="single"/>
        </w:rPr>
        <w:t>provided</w:t>
      </w:r>
      <w:r>
        <w:rPr>
          <w:rFonts w:ascii="Times New Roman" w:hAnsi="Times New Roman"/>
          <w:sz w:val="20"/>
        </w:rPr>
        <w:t xml:space="preserve">, that, after giving effect to any such reorganization, restructuring or activity, the security interest of the Administrative Agent in the Collateral, taken as a whole, is not materially impaired; </w:t>
      </w:r>
    </w:p>
    <w:p>
      <w:pPr>
        <w:pStyle w:val="TextBody"/>
        <w:bidi w:val="0"/>
        <w:spacing w:before="240" w:after="0"/>
        <w:jc w:val="left"/>
        <w:rPr>
          <w:rFonts w:ascii="Times New Roman" w:hAnsi="Times New Roman"/>
          <w:sz w:val="20"/>
        </w:rPr>
      </w:pPr>
      <w:r>
        <w:rPr>
          <w:rFonts w:ascii="Times New Roman" w:hAnsi="Times New Roman"/>
          <w:sz w:val="20"/>
        </w:rPr>
        <w:t xml:space="preserve">(w) Investments under any Derivative Transaction of the type permitted under </w:t>
      </w:r>
      <w:r>
        <w:rPr>
          <w:rFonts w:ascii="Times New Roman" w:hAnsi="Times New Roman"/>
          <w:sz w:val="20"/>
          <w:u w:val="single"/>
        </w:rPr>
        <w:t>Section 6.01(s)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240" w:after="0"/>
        <w:jc w:val="left"/>
        <w:rPr>
          <w:rFonts w:ascii="Times New Roman" w:hAnsi="Times New Roman"/>
          <w:sz w:val="20"/>
        </w:rPr>
      </w:pPr>
      <w:r>
        <w:rPr>
          <w:rFonts w:ascii="Times New Roman" w:hAnsi="Times New Roman"/>
          <w:sz w:val="20"/>
        </w:rPr>
        <w:t xml:space="preserve">(y) Investments made in joint ventures as required by, or made pursuant to, customary buy/sell arrangements between the joint venture parties set forth in joint venture agreements and similar binding arrangements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(z) Investments made in connection with any nonqualified deferred compensation plan or arrangement for any present or former employee, director, member of management, officer, manager or consultant or independent contractor (or any Immediate Family Member thereof) of any Parent Company, the Borrower, any other Subsidiary and/or any joint venture; </w:t>
      </w:r>
    </w:p>
    <w:p>
      <w:pPr>
        <w:pStyle w:val="TextBody"/>
        <w:bidi w:val="0"/>
        <w:spacing w:before="240" w:after="0"/>
        <w:jc w:val="left"/>
        <w:rPr>
          <w:rFonts w:ascii="Times New Roman" w:hAnsi="Times New Roman"/>
          <w:sz w:val="20"/>
        </w:rPr>
      </w:pPr>
      <w:r>
        <w:rPr>
          <w:rFonts w:ascii="Times New Roman" w:hAnsi="Times New Roman"/>
          <w:sz w:val="20"/>
        </w:rPr>
        <w:t xml:space="preserve">(aa) Investments in the Borrower, any Subsidiary and/or joint venture in connection with intercompany cash management arrangements and related activities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Investments so long as, after giving effect thereto on a Pro Forma Basis, the Total Net Leverage Ratio does not exceed 2.25:1.00; </w:t>
      </w:r>
    </w:p>
    <w:p>
      <w:pPr>
        <w:pStyle w:val="TextBody"/>
        <w:bidi w:val="0"/>
        <w:spacing w:before="240" w:after="0"/>
        <w:jc w:val="left"/>
        <w:rPr>
          <w:rFonts w:ascii="Times New Roman" w:hAnsi="Times New Roman"/>
          <w:sz w:val="20"/>
        </w:rPr>
      </w:pPr>
      <w:r>
        <w:rPr>
          <w:rFonts w:ascii="Times New Roman" w:hAnsi="Times New Roman"/>
          <w:sz w:val="20"/>
        </w:rPr>
        <w:t xml:space="preserve">(cc) any Investment made by any Unrestricted Subsidiary prior to the date on which such Unrestricted Subsidiary is designated as a Subsidiary so long as the relevant Investment was not made in contemplation of the designation of such Unrestricted Subsidiary as a Subsidiary; </w:t>
      </w:r>
    </w:p>
    <w:p>
      <w:pPr>
        <w:pStyle w:val="TextBody"/>
        <w:bidi w:val="0"/>
        <w:spacing w:before="240" w:after="0"/>
        <w:jc w:val="left"/>
        <w:rPr>
          <w:rFonts w:ascii="Times New Roman" w:hAnsi="Times New Roman"/>
          <w:sz w:val="20"/>
        </w:rPr>
      </w:pPr>
      <w:r>
        <w:rPr>
          <w:rFonts w:ascii="Times New Roman" w:hAnsi="Times New Roman"/>
          <w:sz w:val="20"/>
        </w:rPr>
        <w:t xml:space="preserve">(dd) Investments consisting of the licensing, sublicensing or contribution of any IP Rights (i) pursuant to joint marketing, joint development arrangements or strategic partnerships with other Persons or (ii)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(ee) Investments in an aggregate outstanding amount not to exceed amount of Restricted Payments then permitted to be made in reliance on </w:t>
      </w:r>
      <w:r>
        <w:rPr>
          <w:rFonts w:ascii="Times New Roman" w:hAnsi="Times New Roman"/>
          <w:sz w:val="20"/>
          <w:u w:val="single"/>
        </w:rPr>
        <w:t>Section 6.04(a)(vii)</w:t>
      </w:r>
      <w:r>
        <w:rPr>
          <w:rFonts w:ascii="Times New Roman" w:hAnsi="Times New Roman"/>
          <w:sz w:val="20"/>
        </w:rPr>
        <w:t xml:space="preserve"> (it being understood that any amount utilized under this </w:t>
      </w:r>
      <w:r>
        <w:rPr>
          <w:rFonts w:ascii="Times New Roman" w:hAnsi="Times New Roman"/>
          <w:sz w:val="20"/>
          <w:u w:val="single"/>
        </w:rPr>
        <w:t>clause (ee)</w:t>
      </w:r>
      <w:r>
        <w:rPr>
          <w:rFonts w:ascii="Times New Roman" w:hAnsi="Times New Roman"/>
          <w:sz w:val="20"/>
        </w:rPr>
        <w:t xml:space="preserve"> to make an Investment shall result in a reduction in the amount available under </w:t>
      </w:r>
      <w:r>
        <w:rPr>
          <w:rFonts w:ascii="Times New Roman" w:hAnsi="Times New Roman"/>
          <w:sz w:val="20"/>
          <w:u w:val="single"/>
        </w:rPr>
        <w:t>Section 6.04(a)(vii)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(ff) loans and advances to any Parent Company not in excess of the amount of (after giving effect to any other loan, advance or Restricted Payment in respect thereof) Restricted Payments that are permitted to be made to such Parent Company in accordance with </w:t>
      </w:r>
      <w:r>
        <w:rPr>
          <w:rFonts w:ascii="Times New Roman" w:hAnsi="Times New Roman"/>
          <w:sz w:val="20"/>
          <w:u w:val="single"/>
        </w:rPr>
        <w:t>Section 6.04(a)(i)</w:t>
      </w:r>
      <w:r>
        <w:rPr>
          <w:rFonts w:ascii="Times New Roman" w:hAnsi="Times New Roman"/>
          <w:sz w:val="20"/>
        </w:rPr>
        <w:t xml:space="preserve">, such Investment being treated for purposes of the applicable provision of </w:t>
      </w:r>
      <w:r>
        <w:rPr>
          <w:rFonts w:ascii="Times New Roman" w:hAnsi="Times New Roman"/>
          <w:sz w:val="20"/>
          <w:u w:val="single"/>
        </w:rPr>
        <w:t>Section 6.04(a)</w:t>
      </w:r>
      <w:r>
        <w:rPr>
          <w:rFonts w:ascii="Times New Roman" w:hAnsi="Times New Roman"/>
          <w:sz w:val="20"/>
        </w:rPr>
        <w:t xml:space="preserve">, including any limitation, as a Restricted Payment made pursuant to such clause; </w:t>
      </w:r>
    </w:p>
    <w:p>
      <w:pPr>
        <w:pStyle w:val="TextBody"/>
        <w:bidi w:val="0"/>
        <w:spacing w:before="240" w:after="0"/>
        <w:jc w:val="left"/>
        <w:rPr>
          <w:rFonts w:ascii="Times New Roman" w:hAnsi="Times New Roman"/>
          <w:sz w:val="20"/>
        </w:rPr>
      </w:pPr>
      <w:r>
        <w:rPr>
          <w:rFonts w:ascii="Times New Roman" w:hAnsi="Times New Roman"/>
          <w:sz w:val="20"/>
        </w:rPr>
        <w:t xml:space="preserve">(gg) Investments in Similar Businesses in an aggregate outstanding amount not to exceed the greater of $100,000,000 and 35%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(hh) Investments in connection with any Permitted Receivables Facility, including Investments made to fund the payment of fees and expenses incurred in connection with such Permitted Receivables Facility and the purchase of assets pursuant to a repurchase obligation in connection with such Permitted Receivables Facility; </w:t>
      </w:r>
    </w:p>
    <w:p>
      <w:pPr>
        <w:pStyle w:val="TextBody"/>
        <w:bidi w:val="0"/>
        <w:spacing w:before="240" w:after="0"/>
        <w:jc w:val="left"/>
        <w:rPr>
          <w:rFonts w:ascii="Times New Roman" w:hAnsi="Times New Roman"/>
          <w:sz w:val="20"/>
        </w:rPr>
      </w:pPr>
      <w:r>
        <w:rPr>
          <w:rFonts w:ascii="Times New Roman" w:hAnsi="Times New Roman"/>
          <w:sz w:val="20"/>
        </w:rPr>
        <w:t xml:space="preserve">(ii) [reserved]; and </w:t>
      </w:r>
    </w:p>
    <w:p>
      <w:pPr>
        <w:pStyle w:val="TextBody"/>
        <w:bidi w:val="0"/>
        <w:spacing w:before="240" w:after="0"/>
        <w:jc w:val="left"/>
        <w:rPr>
          <w:rFonts w:ascii="Times New Roman" w:hAnsi="Times New Roman"/>
          <w:sz w:val="20"/>
        </w:rPr>
      </w:pPr>
      <w:r>
        <w:rPr>
          <w:rFonts w:ascii="Times New Roman" w:hAnsi="Times New Roman"/>
          <w:sz w:val="20"/>
        </w:rPr>
        <w:t xml:space="preserve">(jj) Investments in Immaterial Subsidiaries so long as after giving effect thereto on a Pro Forma Basis, the relevant subsidiary remains an Immaterial Subsidiary.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(i) no Loan Party shall be permitted to make any transfer (via Investment, sales or other Dispositions and Restricted Payments (including dividends)) that would constitute an IP Separation Transaction in reliance on this </w:t>
      </w:r>
      <w:r>
        <w:rPr>
          <w:rFonts w:ascii="Times New Roman" w:hAnsi="Times New Roman"/>
          <w:sz w:val="20"/>
          <w:u w:val="single"/>
        </w:rPr>
        <w:t>Section 6.06</w:t>
      </w:r>
      <w:r>
        <w:rPr>
          <w:rFonts w:ascii="Times New Roman" w:hAnsi="Times New Roman"/>
          <w:sz w:val="20"/>
        </w:rPr>
        <w:t xml:space="preserve"> or otherwise and (ii) the only basket available for transfers (including, without limitation, Investments in, sales or other Dispositions and Restricted Payments (including dividends)) to Unrestricted Subsidiaries and designations of Unrestricted Subsidiaries, shall be the Unrestricted Subsidiary Investment Basket, and there shall be no reclassification of any amount invested in or otherwise transferred to an Unrestricted Subsidiary in reliance on the Unrestricted Subsidiary Investment Basket.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Fundamental Changes; Disposition of Assets</w:t>
      </w:r>
      <w:r>
        <w:rPr>
          <w:rFonts w:ascii="Times New Roman" w:hAnsi="Times New Roman"/>
          <w:sz w:val="20"/>
        </w:rPr>
        <w:t xml:space="preserve">. The Borrower shall not, nor shall it permit any of its Subsidiaries to, enter into any transaction of merger, consolidation or amalgamation, or liquidate, wind up or dissolve themselves (or suffer any liquidation or dissolution), or make any Disposition of any assets (including, in each case, pursuant to a Division) outside the ordinary course of business having a fair market value in excess of $15,000,000 in a single transaction or a series of related transactions, except: </w:t>
      </w:r>
    </w:p>
    <w:p>
      <w:pPr>
        <w:pStyle w:val="TextBody"/>
        <w:bidi w:val="0"/>
        <w:spacing w:before="240" w:after="0"/>
        <w:jc w:val="left"/>
        <w:rPr>
          <w:rFonts w:ascii="Times New Roman" w:hAnsi="Times New Roman"/>
          <w:sz w:val="20"/>
        </w:rPr>
      </w:pPr>
      <w:r>
        <w:rPr>
          <w:rFonts w:ascii="Times New Roman" w:hAnsi="Times New Roman"/>
          <w:sz w:val="20"/>
        </w:rPr>
        <w:t xml:space="preserve">(a) any Subsidiary may be merged, consolidated or amalgamated with or into the Borrower or any other Subsidiary; </w:t>
      </w:r>
      <w:r>
        <w:rPr>
          <w:rFonts w:ascii="Times New Roman" w:hAnsi="Times New Roman"/>
          <w:sz w:val="20"/>
          <w:u w:val="single"/>
        </w:rPr>
        <w:t>provided</w:t>
      </w:r>
      <w:r>
        <w:rPr>
          <w:rFonts w:ascii="Times New Roman" w:hAnsi="Times New Roman"/>
          <w:sz w:val="20"/>
        </w:rPr>
        <w:t>, that in the case of any such merger, consolidation or amalgamation with or into the Borrower, (A) the Borrower shall be the continuing or surviving Person or (B) if the Person formed by or surviving any such merger, consolidation or amalgamation is not the Borrower (any such Person, the “</w:t>
      </w:r>
      <w:r>
        <w:rPr>
          <w:rFonts w:ascii="Times New Roman" w:hAnsi="Times New Roman"/>
          <w:sz w:val="20"/>
          <w:u w:val="single"/>
        </w:rPr>
        <w:t>Successor Borrower</w:t>
      </w:r>
      <w:r>
        <w:rPr>
          <w:rFonts w:ascii="Times New Roman" w:hAnsi="Times New Roman"/>
          <w:sz w:val="20"/>
        </w:rPr>
        <w:t xml:space="preserve">”), (1) the Successor Borrower shall be an entity organized or existing under the law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U.S., any state thereof or the District of Columbia, (2) the Successor Borrower shall expressly assume the Obligations of the Borrower in a manner reasonably satisfactory to the Administrative Agent, (3) written notice of such merger, consolidation or amalgamation must be provided to the Administrative Agent (for distribution to each Lender) at least five Business Days prior to the effectiveness thereof, (4) the Borrower shall have delivered to the Administrative Agent (for distribution to each Lender) all documentation and other information requested by the Administrative Agent or any Lender with respect to such Successor Borrower (including any Beneficial Ownership Certification) required by regulatory authorities under applicable “know your customer” and anti-money laundering rules and regulations, including without limitation the USA PATRIOT Act and the Beneficial Ownership Regulation, no later than three Business Days prior to the date of such effectiveness (or such later date as may be reasonably agreed by the Administrative Agent) and (5) except as the Administrative Agent may otherwise agree, the Successor Borrower shall have delivered to the Administrative Agent (for distribution to the Lenders) customary opinions of counsel (in a form reasonably satisfactory to the Administrative Agent) with respect to the capacity of the Successor Borrower and perfection of security interests in the Collateral owned by the Successor Borrower; it being understood and agreed that if the foregoing conditions under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(5)</w:t>
      </w:r>
      <w:r>
        <w:rPr>
          <w:rFonts w:ascii="Times New Roman" w:hAnsi="Times New Roman"/>
          <w:sz w:val="20"/>
        </w:rPr>
        <w:t xml:space="preserve"> are satisfied, the Successor Borrower will succeed to, and be substituted for, the Borrower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Dispositions (including of Capital Stock) among the Borrower and/or any Subsidiary (upon voluntary liquidation or otherwise); </w:t>
      </w:r>
      <w:r>
        <w:rPr>
          <w:rFonts w:ascii="Times New Roman" w:hAnsi="Times New Roman"/>
          <w:sz w:val="20"/>
          <w:u w:val="single"/>
        </w:rPr>
        <w:t>provided</w:t>
      </w:r>
      <w:r>
        <w:rPr>
          <w:rFonts w:ascii="Times New Roman" w:hAnsi="Times New Roman"/>
          <w:sz w:val="20"/>
        </w:rPr>
        <w:t xml:space="preserve">, that any such Disposition made by any Loan Party to any Person that is not a Loan Party shall be treated as an Investment and otherwise made in compliance with </w:t>
      </w:r>
      <w:r>
        <w:rPr>
          <w:rFonts w:ascii="Times New Roman" w:hAnsi="Times New Roman"/>
          <w:sz w:val="20"/>
          <w:u w:val="single"/>
        </w:rPr>
        <w:t>Section 6.06</w:t>
      </w:r>
      <w:r>
        <w:rPr>
          <w:rFonts w:ascii="Times New Roman" w:hAnsi="Times New Roman"/>
          <w:sz w:val="20"/>
        </w:rPr>
        <w:t xml:space="preserve"> (other than in reliance on </w:t>
      </w:r>
      <w:r>
        <w:rPr>
          <w:rFonts w:ascii="Times New Roman" w:hAnsi="Times New Roman"/>
          <w:sz w:val="20"/>
          <w:u w:val="single"/>
        </w:rPr>
        <w:t>clause (j)</w:t>
      </w:r>
      <w:r>
        <w:rPr>
          <w:rFonts w:ascii="Times New Roman" w:hAnsi="Times New Roman"/>
          <w:sz w:val="20"/>
        </w:rPr>
        <w:t xml:space="preserve"> thereof); </w:t>
      </w:r>
    </w:p>
    <w:p>
      <w:pPr>
        <w:pStyle w:val="TextBody"/>
        <w:bidi w:val="0"/>
        <w:spacing w:before="240" w:after="0"/>
        <w:jc w:val="left"/>
        <w:rPr>
          <w:rFonts w:ascii="Times New Roman" w:hAnsi="Times New Roman"/>
          <w:sz w:val="20"/>
        </w:rPr>
      </w:pPr>
      <w:r>
        <w:rPr>
          <w:rFonts w:ascii="Times New Roman" w:hAnsi="Times New Roman"/>
          <w:sz w:val="20"/>
        </w:rPr>
        <w:t xml:space="preserve">(c) (i) the liquidation or dissolution of any Subsidiary if the Borrower determines in good faith that such liquidation or dissolution is in the best interests of the Borrower, is not materially disadvantageous to the Lenders (taken as a whole) and the Borrower or any Subsidiary receives the assets (if any) of the relevant dissolved or liquidated Subsidiary; </w:t>
      </w:r>
      <w:r>
        <w:rPr>
          <w:rFonts w:ascii="Times New Roman" w:hAnsi="Times New Roman"/>
          <w:sz w:val="20"/>
          <w:u w:val="single"/>
        </w:rPr>
        <w:t>provided</w:t>
      </w:r>
      <w:r>
        <w:rPr>
          <w:rFonts w:ascii="Times New Roman" w:hAnsi="Times New Roman"/>
          <w:sz w:val="20"/>
        </w:rPr>
        <w:t xml:space="preserve">, that in the case of any liquidation or dissolution of any Loan Party that results in a distribution of assets to any Subsidiary that is not a Loan Party, such distribution shall be treated as an Investment and shall comply with </w:t>
      </w:r>
      <w:r>
        <w:rPr>
          <w:rFonts w:ascii="Times New Roman" w:hAnsi="Times New Roman"/>
          <w:sz w:val="20"/>
          <w:u w:val="single"/>
        </w:rPr>
        <w:t>Section 6.06</w:t>
      </w:r>
      <w:r>
        <w:rPr>
          <w:rFonts w:ascii="Times New Roman" w:hAnsi="Times New Roman"/>
          <w:sz w:val="20"/>
        </w:rPr>
        <w:t xml:space="preserve"> (other than in reliance on </w:t>
      </w:r>
      <w:r>
        <w:rPr>
          <w:rFonts w:ascii="Times New Roman" w:hAnsi="Times New Roman"/>
          <w:sz w:val="20"/>
          <w:u w:val="single"/>
        </w:rPr>
        <w:t>clause (j)</w:t>
      </w:r>
      <w:r>
        <w:rPr>
          <w:rFonts w:ascii="Times New Roman" w:hAnsi="Times New Roman"/>
          <w:sz w:val="20"/>
        </w:rPr>
        <w:t xml:space="preserve"> thereof); (ii) any merger, amalgamation, dissolution, liquidation or consolidation, the purpose of which is to effect (A) any Disposition otherwise permitted under this </w:t>
      </w:r>
      <w:r>
        <w:rPr>
          <w:rFonts w:ascii="Times New Roman" w:hAnsi="Times New Roman"/>
          <w:sz w:val="20"/>
          <w:u w:val="single"/>
        </w:rPr>
        <w:t>Section 6.07</w:t>
      </w:r>
      <w:r>
        <w:rPr>
          <w:rFonts w:ascii="Times New Roman" w:hAnsi="Times New Roman"/>
          <w:sz w:val="20"/>
        </w:rPr>
        <w:t xml:space="preserve"> (other than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clause (b)</w:t>
      </w:r>
      <w:r>
        <w:rPr>
          <w:rFonts w:ascii="Times New Roman" w:hAnsi="Times New Roman"/>
          <w:sz w:val="20"/>
        </w:rPr>
        <w:t xml:space="preserve"> or this </w:t>
      </w:r>
      <w:r>
        <w:rPr>
          <w:rFonts w:ascii="Times New Roman" w:hAnsi="Times New Roman"/>
          <w:sz w:val="20"/>
          <w:u w:val="single"/>
        </w:rPr>
        <w:t>clause (c)</w:t>
      </w:r>
      <w:r>
        <w:rPr>
          <w:rFonts w:ascii="Times New Roman" w:hAnsi="Times New Roman"/>
          <w:sz w:val="20"/>
        </w:rPr>
        <w:t xml:space="preserve">) or (B) any Investment permitted under </w:t>
      </w:r>
      <w:r>
        <w:rPr>
          <w:rFonts w:ascii="Times New Roman" w:hAnsi="Times New Roman"/>
          <w:sz w:val="20"/>
          <w:u w:val="single"/>
        </w:rPr>
        <w:t>Section 6.06</w:t>
      </w:r>
      <w:r>
        <w:rPr>
          <w:rFonts w:ascii="Times New Roman" w:hAnsi="Times New Roman"/>
          <w:sz w:val="20"/>
        </w:rPr>
        <w:t xml:space="preserve"> and/or any DevCo Acquisition and (iii) the conversion of the Borrower (so long as in the case of any conversion of the Borrower that results in the Borrower being a new Person, the Borrower has delivered to the Administrative Agent (for distribution to each Lender) (x) written notice of such conversion at least five Business Days prior to the effectiveness thereof and (y) all documentation requested by the Administrative Agent or any Lender with respect to the Person that will be the Borrower after giving effect to such conversion (including any Beneficial Ownership Certification) required by regulatory authorities under applicable “know your customer” and anti-money laundering rules and regulations, including, without limitation, the USA PATRIOT Act and the Beneficial Ownership Regulation, no later than three Business Days prior to the date of such conversion (or such later date as may be reasonably agreed by the Administrative Agent)) or any Subsidiary into another form of entity, so long as such conversion does not adversely affect the value of the Collateral, if any; </w:t>
      </w:r>
    </w:p>
    <w:p>
      <w:pPr>
        <w:pStyle w:val="TextBody"/>
        <w:bidi w:val="0"/>
        <w:spacing w:before="240" w:after="0"/>
        <w:jc w:val="left"/>
        <w:rPr>
          <w:rFonts w:ascii="Times New Roman" w:hAnsi="Times New Roman"/>
          <w:sz w:val="20"/>
        </w:rPr>
      </w:pPr>
      <w:r>
        <w:rPr>
          <w:rFonts w:ascii="Times New Roman" w:hAnsi="Times New Roman"/>
          <w:sz w:val="20"/>
        </w:rPr>
        <w:t xml:space="preserve">(d) (i) Dispositions of inventory or equipment or immaterial assets in the ordinary course of business (including on an intercompany basis) and (ii) the leasing or subleasing of real property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Dispositions of surplus, obsolete, used or worn out property or other property that, in the reasonable judgment of the Borrower, is (A) no longer useful in its business (or in the business of any Subsidiary) or (B) otherwise economically impracticable to maintain; </w:t>
      </w:r>
    </w:p>
    <w:p>
      <w:pPr>
        <w:pStyle w:val="TextBody"/>
        <w:bidi w:val="0"/>
        <w:spacing w:before="240" w:after="0"/>
        <w:jc w:val="left"/>
        <w:rPr>
          <w:rFonts w:ascii="Times New Roman" w:hAnsi="Times New Roman"/>
          <w:sz w:val="20"/>
        </w:rPr>
      </w:pPr>
      <w:r>
        <w:rPr>
          <w:rFonts w:ascii="Times New Roman" w:hAnsi="Times New Roman"/>
          <w:sz w:val="20"/>
        </w:rPr>
        <w:t xml:space="preserve">(f) Dispositions of Cash and/or Cash Equivalents and/or other assets that were Cash Equivalents when the relevant original Investment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Dispositions, mergers, amalgamations, consolidations or conveyances that constitute (w) Investments permitted pursuant to </w:t>
      </w:r>
      <w:r>
        <w:rPr>
          <w:rFonts w:ascii="Times New Roman" w:hAnsi="Times New Roman"/>
          <w:sz w:val="20"/>
          <w:u w:val="single"/>
        </w:rPr>
        <w:t>Section 6.06</w:t>
      </w:r>
      <w:r>
        <w:rPr>
          <w:rFonts w:ascii="Times New Roman" w:hAnsi="Times New Roman"/>
          <w:sz w:val="20"/>
        </w:rPr>
        <w:t xml:space="preserve"> (other than </w:t>
      </w:r>
      <w:r>
        <w:rPr>
          <w:rFonts w:ascii="Times New Roman" w:hAnsi="Times New Roman"/>
          <w:sz w:val="20"/>
          <w:u w:val="single"/>
        </w:rPr>
        <w:t>Section 6.06(j)</w:t>
      </w:r>
      <w:r>
        <w:rPr>
          <w:rFonts w:ascii="Times New Roman" w:hAnsi="Times New Roman"/>
          <w:sz w:val="20"/>
        </w:rPr>
        <w:t xml:space="preserve">), (x) Permitted Liens and (y) Restricted Payments permitted by </w:t>
      </w:r>
      <w:r>
        <w:rPr>
          <w:rFonts w:ascii="Times New Roman" w:hAnsi="Times New Roman"/>
          <w:sz w:val="20"/>
          <w:u w:val="single"/>
        </w:rPr>
        <w:t>Section 6.04(a)</w:t>
      </w:r>
      <w:r>
        <w:rPr>
          <w:rFonts w:ascii="Times New Roman" w:hAnsi="Times New Roman"/>
          <w:sz w:val="20"/>
        </w:rPr>
        <w:t xml:space="preserve"> (other than </w:t>
      </w:r>
      <w:r>
        <w:rPr>
          <w:rFonts w:ascii="Times New Roman" w:hAnsi="Times New Roman"/>
          <w:sz w:val="20"/>
          <w:u w:val="single"/>
        </w:rPr>
        <w:t>Section 6.04(a)(ix))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Dispositions for fair market value; </w:t>
      </w:r>
      <w:r>
        <w:rPr>
          <w:rFonts w:ascii="Times New Roman" w:hAnsi="Times New Roman"/>
          <w:sz w:val="20"/>
          <w:u w:val="single"/>
        </w:rPr>
        <w:t>provided</w:t>
      </w:r>
      <w:r>
        <w:rPr>
          <w:rFonts w:ascii="Times New Roman" w:hAnsi="Times New Roman"/>
          <w:sz w:val="20"/>
        </w:rPr>
        <w:t>, that with respect to any such Disposition (other than any Permitted Asset Swap) with a purchase price in excess of the greater of $52,500,000 and 15% of Consolidated Adjusted EBITDA as of the last day of the most recently ended Test Period, at least 75% of the consideration for such Disposition (other than the portion of any such Disposition consisting of a Permitted Asset Swap) shall consist of Cash or Cash Equivalents (</w:t>
      </w:r>
      <w:r>
        <w:rPr>
          <w:rFonts w:ascii="Times New Roman" w:hAnsi="Times New Roman"/>
          <w:sz w:val="20"/>
          <w:u w:val="single"/>
        </w:rPr>
        <w:t>provided</w:t>
      </w:r>
      <w:r>
        <w:rPr>
          <w:rFonts w:ascii="Times New Roman" w:hAnsi="Times New Roman"/>
          <w:sz w:val="20"/>
        </w:rPr>
        <w:t xml:space="preserve">, that for purposes of the 75% Cash consideration requirement, (i) the amount of any Indebtedness or other liabilities (other than Indebtedness or other liabilities that are subordinated to the Obligations or that are owed to the Borrower and/or any Subsidiary) of the Borrower and/or any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the Borrower and/or its applicable Subsidiary have been validly released by all relevant creditors in writing, (ii) the amount of any trade-in value applied to the purchase price of any replacement assets acquired in connection with such Disposition, (iii) any Security received by the Borrower and/or any Subsidiary from such transferee that is converted by such Person into Cash or Cash Equivalents (to the extent of the Cash or Cash Equivalents received) within 180 days following the closing of the applicable Disposition and (iv) any Designated Non-Cash Consideration received in respect of such Disposition having an aggregate fair market value, taken together with all other Designated Non-Cash Consideration received pursuant to this </w:t>
      </w:r>
      <w:r>
        <w:rPr>
          <w:rFonts w:ascii="Times New Roman" w:hAnsi="Times New Roman"/>
          <w:sz w:val="20"/>
          <w:u w:val="single"/>
        </w:rPr>
        <w:t>clause (h)</w:t>
      </w:r>
      <w:r>
        <w:rPr>
          <w:rFonts w:ascii="Times New Roman" w:hAnsi="Times New Roman"/>
          <w:sz w:val="20"/>
        </w:rPr>
        <w:t xml:space="preserve"> that is at that time outstanding, not in excess of the greater of $52,500,000 and 15% of Consolidated Adjusted EBITDA as of the last day of the most recently ended Test Period, in each case, shall be deemed to be Cash);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immediately prior to and after giving effect to such Disposition, as determined on the date on which the agreement governing such Disposition is executed, no Event of Default under </w:t>
      </w:r>
      <w:r>
        <w:rPr>
          <w:rFonts w:ascii="Times New Roman" w:hAnsi="Times New Roman"/>
          <w:sz w:val="20"/>
          <w:u w:val="single"/>
        </w:rPr>
        <w:t>Sections 7.01(a)</w:t>
      </w:r>
      <w:r>
        <w:rPr>
          <w:rFonts w:ascii="Times New Roman" w:hAnsi="Times New Roman"/>
          <w:sz w:val="20"/>
        </w:rPr>
        <w:t xml:space="preserve">, </w:t>
      </w:r>
      <w:r>
        <w:rPr>
          <w:rFonts w:ascii="Times New Roman" w:hAnsi="Times New Roman"/>
          <w:sz w:val="20"/>
          <w:u w:val="single"/>
        </w:rPr>
        <w:t>7.01(f)</w:t>
      </w:r>
      <w:r>
        <w:rPr>
          <w:rFonts w:ascii="Times New Roman" w:hAnsi="Times New Roman"/>
          <w:sz w:val="20"/>
        </w:rPr>
        <w:t xml:space="preserve"> or </w:t>
      </w:r>
      <w:r>
        <w:rPr>
          <w:rFonts w:ascii="Times New Roman" w:hAnsi="Times New Roman"/>
          <w:sz w:val="20"/>
          <w:u w:val="single"/>
        </w:rPr>
        <w:t>7.01(g)</w:t>
      </w:r>
      <w:r>
        <w:rPr>
          <w:rFonts w:ascii="Times New Roman" w:hAnsi="Times New Roman"/>
          <w:sz w:val="20"/>
        </w:rPr>
        <w:t xml:space="preserve"> exists; </w:t>
      </w:r>
    </w:p>
    <w:p>
      <w:pPr>
        <w:pStyle w:val="TextBody"/>
        <w:bidi w:val="0"/>
        <w:spacing w:before="240" w:after="0"/>
        <w:jc w:val="left"/>
        <w:rPr>
          <w:rFonts w:ascii="Times New Roman" w:hAnsi="Times New Roman"/>
          <w:sz w:val="20"/>
        </w:rPr>
      </w:pPr>
      <w:r>
        <w:rPr>
          <w:rFonts w:ascii="Times New Roman" w:hAnsi="Times New Roman"/>
          <w:sz w:val="20"/>
        </w:rPr>
        <w:t xml:space="preserve">(i) to the extent that (i) the relevant property is exchanged for credit against the purchase price of similar replacement property or (ii) the proceeds of the relevant Disposition are promptly applied to the purchase price of such replacement property; </w:t>
      </w:r>
    </w:p>
    <w:p>
      <w:pPr>
        <w:pStyle w:val="TextBody"/>
        <w:bidi w:val="0"/>
        <w:spacing w:before="240" w:after="0"/>
        <w:jc w:val="left"/>
        <w:rPr>
          <w:rFonts w:ascii="Times New Roman" w:hAnsi="Times New Roman"/>
          <w:sz w:val="20"/>
        </w:rPr>
      </w:pPr>
      <w:r>
        <w:rPr>
          <w:rFonts w:ascii="Times New Roman" w:hAnsi="Times New Roman"/>
          <w:sz w:val="20"/>
        </w:rPr>
        <w:t xml:space="preserve">(j) Dispositions of Investments in joint ventures to the extent required by, or made pursuant to, buy/sell arrangements between joint venture or similar parties set forth in the relevant joint venture arrangements and/or similar binding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(k) Dispositions of notes receivable or accounts receivable in the ordinary course of business (including any discount and/or forgiveness thereof) or in connection with the collection or compromise thereof; </w:t>
      </w:r>
    </w:p>
    <w:p>
      <w:pPr>
        <w:pStyle w:val="TextBody"/>
        <w:bidi w:val="0"/>
        <w:spacing w:before="240" w:after="0"/>
        <w:jc w:val="left"/>
        <w:rPr>
          <w:rFonts w:ascii="Times New Roman" w:hAnsi="Times New Roman"/>
          <w:sz w:val="20"/>
        </w:rPr>
      </w:pPr>
      <w:r>
        <w:rPr>
          <w:rFonts w:ascii="Times New Roman" w:hAnsi="Times New Roman"/>
          <w:sz w:val="20"/>
        </w:rPr>
        <w:t xml:space="preserve">(l) Dispositions and/or terminations of leases, subleases, licenses or sublicenses (including the provision of software under any open source license), (i) the Disposition or termination of which will not materially interfere with the business of the Borrower and/or its Subsidiaries, (ii) which relate to closed facilities or the discontinuation of any product line or (iii) which, in the reasonable judgment of the Borrower are (A) no longer useful in its business (or in the business of any Subsidiary) or (B) no longer economical to maintain in light of the use of the IP Rights or other rights leased, subleased, licensed or sublicensed thereunder; </w:t>
      </w:r>
    </w:p>
    <w:p>
      <w:pPr>
        <w:pStyle w:val="TextBody"/>
        <w:bidi w:val="0"/>
        <w:spacing w:before="240" w:after="0"/>
        <w:jc w:val="left"/>
        <w:rPr>
          <w:rFonts w:ascii="Times New Roman" w:hAnsi="Times New Roman"/>
          <w:sz w:val="20"/>
        </w:rPr>
      </w:pPr>
      <w:r>
        <w:rPr>
          <w:rFonts w:ascii="Times New Roman" w:hAnsi="Times New Roman"/>
          <w:sz w:val="20"/>
        </w:rPr>
        <w:t xml:space="preserve">(m) (i)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 Dispositions of property subject to foreclosure, casualty, eminent domain or condemnation proceedings (including in lieu thereof or any similar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Dispositions or consignments of equipment, inventory or other assets (including leasehold interests in real property) with respect to facilities that are temporarily not in use, held for sale or closed; </w:t>
      </w:r>
    </w:p>
    <w:p>
      <w:pPr>
        <w:pStyle w:val="TextBody"/>
        <w:bidi w:val="0"/>
        <w:spacing w:before="240" w:after="0"/>
        <w:jc w:val="left"/>
        <w:rPr>
          <w:rFonts w:ascii="Times New Roman" w:hAnsi="Times New Roman"/>
          <w:sz w:val="20"/>
        </w:rPr>
      </w:pPr>
      <w:r>
        <w:rPr>
          <w:rFonts w:ascii="Times New Roman" w:hAnsi="Times New Roman"/>
          <w:sz w:val="20"/>
        </w:rPr>
        <w:t xml:space="preserve">(p) to the extent otherwise restricted by this </w:t>
      </w:r>
      <w:r>
        <w:rPr>
          <w:rFonts w:ascii="Times New Roman" w:hAnsi="Times New Roman"/>
          <w:sz w:val="20"/>
          <w:u w:val="single"/>
        </w:rPr>
        <w:t>Section 6.07</w:t>
      </w:r>
      <w:r>
        <w:rPr>
          <w:rFonts w:ascii="Times New Roman" w:hAnsi="Times New Roman"/>
          <w:sz w:val="20"/>
        </w:rPr>
        <w:t xml:space="preserve">,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(q) Dispositions of non-core (as determined by the Borrower in good faith) assets acquired in connection with any acquisition or any other similar Investment permitted hereunder and sales of Real Estate Assets acquired in any acquisition or other similar Investment permitted hereunder which, within 90 days of the date of such acquisition or similar Investment, are designated in writing to the Administrative Agent as being held for sale and not for the continued operation of the Borrower and/or any of its Subsidiaries or any of their respective businesses; </w:t>
      </w:r>
      <w:r>
        <w:rPr>
          <w:rFonts w:ascii="Times New Roman" w:hAnsi="Times New Roman"/>
          <w:sz w:val="20"/>
          <w:u w:val="single"/>
        </w:rPr>
        <w:t>provided</w:t>
      </w:r>
      <w:r>
        <w:rPr>
          <w:rFonts w:ascii="Times New Roman" w:hAnsi="Times New Roman"/>
          <w:sz w:val="20"/>
        </w:rPr>
        <w:t xml:space="preserve">, that no Event of Default exists on the date on which the definitive agreement governing the relevant Disposition is executed; </w:t>
      </w:r>
    </w:p>
    <w:p>
      <w:pPr>
        <w:pStyle w:val="TextBody"/>
        <w:bidi w:val="0"/>
        <w:spacing w:before="240" w:after="0"/>
        <w:jc w:val="left"/>
        <w:rPr>
          <w:rFonts w:ascii="Times New Roman" w:hAnsi="Times New Roman"/>
          <w:sz w:val="20"/>
        </w:rPr>
      </w:pPr>
      <w:r>
        <w:rPr>
          <w:rFonts w:ascii="Times New Roman" w:hAnsi="Times New Roman"/>
          <w:sz w:val="20"/>
        </w:rPr>
        <w:t xml:space="preserve">(r) exchanges or swaps, including transactions covered by Section 1031 of the Code (or any comparable provision of any foreign jurisdiction), of assets so long as any such exchange or swap is made for fair value (as reasonably determined by the Borrower) for like assets (including Related Business Assets); </w:t>
      </w:r>
      <w:r>
        <w:rPr>
          <w:rFonts w:ascii="Times New Roman" w:hAnsi="Times New Roman"/>
          <w:sz w:val="20"/>
          <w:u w:val="single"/>
        </w:rPr>
        <w:t>provided</w:t>
      </w:r>
      <w:r>
        <w:rPr>
          <w:rFonts w:ascii="Times New Roman" w:hAnsi="Times New Roman"/>
          <w:sz w:val="20"/>
        </w:rPr>
        <w:t xml:space="preserve">, that upon the consummation of any such exchange or swap by any Loan Party, to the extent the assets received do not constitute an Excluded Asset, the Administrative Agent has a perfected Lien with the same priority as the Lien held on the Real Estate Assets so exchanged or swapped; </w:t>
      </w:r>
    </w:p>
    <w:p>
      <w:pPr>
        <w:pStyle w:val="TextBody"/>
        <w:bidi w:val="0"/>
        <w:spacing w:before="240" w:after="0"/>
        <w:jc w:val="left"/>
        <w:rPr>
          <w:rFonts w:ascii="Times New Roman" w:hAnsi="Times New Roman"/>
          <w:sz w:val="20"/>
        </w:rPr>
      </w:pPr>
      <w:r>
        <w:rPr>
          <w:rFonts w:ascii="Times New Roman" w:hAnsi="Times New Roman"/>
          <w:sz w:val="20"/>
        </w:rPr>
        <w:t xml:space="preserve">(s) Dispositions of assets of the Borrower that do not constitute Collateral for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(t) (i) licensing, sublicensing or cross-licensing arrangements involving any technology, software, intellectual property or IP Rights of the Borrower or any Subsidiary in the ordinary course of business and (ii) Dispositions, abandonments, cancellations, failures to maintain or lapses of any technology, software, intellectual property or IP Rights, or any issuances or registrations, or any applications for issuances or registrations, of any intellectual property or IP Rights, which, in the reasonable judgment of the Borrower, are not material to the conduct of the business of the Borrower and/or any of its Subsidiaries, or are no longer economical to maintain in light of its use; </w:t>
      </w:r>
    </w:p>
    <w:p>
      <w:pPr>
        <w:pStyle w:val="TextBody"/>
        <w:bidi w:val="0"/>
        <w:spacing w:before="240" w:after="0"/>
        <w:jc w:val="left"/>
        <w:rPr>
          <w:rFonts w:ascii="Times New Roman" w:hAnsi="Times New Roman"/>
          <w:sz w:val="20"/>
        </w:rPr>
      </w:pPr>
      <w:r>
        <w:rPr>
          <w:rFonts w:ascii="Times New Roman" w:hAnsi="Times New Roman"/>
          <w:sz w:val="20"/>
        </w:rPr>
        <w:t xml:space="preserve">(u) Dispositions in connection with the terminations or unwinds of Derivative Transactions; </w:t>
      </w:r>
    </w:p>
    <w:p>
      <w:pPr>
        <w:pStyle w:val="TextBody"/>
        <w:bidi w:val="0"/>
        <w:spacing w:before="240" w:after="0"/>
        <w:jc w:val="left"/>
        <w:rPr>
          <w:rFonts w:ascii="Times New Roman" w:hAnsi="Times New Roman"/>
          <w:sz w:val="20"/>
        </w:rPr>
      </w:pPr>
      <w:r>
        <w:rPr>
          <w:rFonts w:ascii="Times New Roman" w:hAnsi="Times New Roman"/>
          <w:sz w:val="20"/>
        </w:rPr>
        <w:t xml:space="preserve">(v) any DevCo Disposition; </w:t>
      </w:r>
    </w:p>
    <w:p>
      <w:pPr>
        <w:pStyle w:val="TextBody"/>
        <w:bidi w:val="0"/>
        <w:spacing w:before="240" w:after="0"/>
        <w:jc w:val="left"/>
        <w:rPr>
          <w:rFonts w:ascii="Times New Roman" w:hAnsi="Times New Roman"/>
          <w:sz w:val="20"/>
        </w:rPr>
      </w:pPr>
      <w:r>
        <w:rPr>
          <w:rFonts w:ascii="Times New Roman" w:hAnsi="Times New Roman"/>
          <w:sz w:val="20"/>
        </w:rPr>
        <w:t xml:space="preserve">(w) Dispositions of Real Estate Assets and related assets in the ordinary course of business in connection with relocation activities for directors, officers, employees, members of management, managers or consultants of any Parent Company,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 Dispositions made to comply with any order of any Governmental Authority or any applicable Requirement of Law (including as a condition to, or in connection with,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(y) any merger, consolidation, amalgamation, Disposition or conveyance the sole purpose of which is to reincorporate or reorganize (i) any U.S. Subsidiary in another jurisdiction in the U.S. and/or (ii) any Non-U.S. Subsidiary in the U.S. or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(z) any sale of motor vehicles and information technology equipment purchased at the end of an operating lease and resold thereafter; </w:t>
      </w:r>
    </w:p>
    <w:p>
      <w:pPr>
        <w:pStyle w:val="TextBody"/>
        <w:bidi w:val="0"/>
        <w:spacing w:before="240" w:after="0"/>
        <w:jc w:val="left"/>
        <w:rPr>
          <w:rFonts w:ascii="Times New Roman" w:hAnsi="Times New Roman"/>
          <w:sz w:val="20"/>
        </w:rPr>
      </w:pPr>
      <w:r>
        <w:rPr>
          <w:rFonts w:ascii="Times New Roman" w:hAnsi="Times New Roman"/>
          <w:sz w:val="20"/>
        </w:rPr>
        <w:t xml:space="preserve">(aa) Dispositions involving assets having a fair market value of not more than the greater of $52,500,000 and 15% of Consolidated Adjusted EBITDA as of the last day of the most recently ended Test Period in any Fiscal Year, commencing with the Fiscal Year ending on or about December 31, 2026, which, if not used in such Fiscal Year, shall be carried forward to the immediately succeeding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(i) Dispositions of receivables in connection with any Permitted Receivables Facility, (ii) Equipment Sale and Leaseback Transactions and (iii) other Sale and Lease-Back Transactions; </w:t>
      </w:r>
      <w:r>
        <w:rPr>
          <w:rFonts w:ascii="Times New Roman" w:hAnsi="Times New Roman"/>
          <w:sz w:val="20"/>
          <w:u w:val="single"/>
        </w:rPr>
        <w:t>provided</w:t>
      </w:r>
      <w:r>
        <w:rPr>
          <w:rFonts w:ascii="Times New Roman" w:hAnsi="Times New Roman"/>
          <w:sz w:val="20"/>
        </w:rPr>
        <w:t xml:space="preserve">, that in the case of this </w:t>
      </w:r>
      <w:r>
        <w:rPr>
          <w:rFonts w:ascii="Times New Roman" w:hAnsi="Times New Roman"/>
          <w:sz w:val="20"/>
          <w:u w:val="single"/>
        </w:rPr>
        <w:t>clause (iii)</w:t>
      </w:r>
      <w:r>
        <w:rPr>
          <w:rFonts w:ascii="Times New Roman" w:hAnsi="Times New Roman"/>
          <w:sz w:val="20"/>
        </w:rPr>
        <w:t xml:space="preserve">, the fair market value of all property so Disposed of after the Closing Date shall not exceed the greater of $52,500,000 and 15% of Consolidated Adjusted EBITDA as of the last day of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(cc) any Disposition of property or assets, if the acquisition of such property or assets was financed with an Available Excluded Contribution Amount; </w:t>
      </w:r>
    </w:p>
    <w:p>
      <w:pPr>
        <w:pStyle w:val="TextBody"/>
        <w:bidi w:val="0"/>
        <w:spacing w:before="240" w:after="0"/>
        <w:jc w:val="left"/>
        <w:rPr>
          <w:rFonts w:ascii="Times New Roman" w:hAnsi="Times New Roman"/>
          <w:sz w:val="20"/>
        </w:rPr>
      </w:pPr>
      <w:r>
        <w:rPr>
          <w:rFonts w:ascii="Times New Roman" w:hAnsi="Times New Roman"/>
          <w:sz w:val="20"/>
        </w:rPr>
        <w:t xml:space="preserve">(dd) [reserved]; and </w:t>
      </w:r>
    </w:p>
    <w:p>
      <w:pPr>
        <w:pStyle w:val="TextBody"/>
        <w:bidi w:val="0"/>
        <w:spacing w:before="240" w:after="0"/>
        <w:jc w:val="left"/>
        <w:rPr>
          <w:rFonts w:ascii="Times New Roman" w:hAnsi="Times New Roman"/>
          <w:sz w:val="20"/>
        </w:rPr>
      </w:pPr>
      <w:r>
        <w:rPr>
          <w:rFonts w:ascii="Times New Roman" w:hAnsi="Times New Roman"/>
          <w:sz w:val="20"/>
        </w:rPr>
        <w:t xml:space="preserve">(ee) Dispositions of Capital Stock of, or sales of Indebtedness or other Securities or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it is understood and agreed that (a) to the extent that any Collateral is Disposed of as permitted by this </w:t>
      </w:r>
      <w:r>
        <w:rPr>
          <w:rFonts w:ascii="Times New Roman" w:hAnsi="Times New Roman"/>
          <w:sz w:val="20"/>
          <w:u w:val="single"/>
        </w:rPr>
        <w:t>Section 6.07</w:t>
      </w:r>
      <w:r>
        <w:rPr>
          <w:rFonts w:ascii="Times New Roman" w:hAnsi="Times New Roman"/>
          <w:sz w:val="20"/>
        </w:rPr>
        <w:t xml:space="preserve"> to any Person other than a Loan Party, such Collateral shall be Disposed of free and clear of the Liens created by the Loan Documents, which Liens shall be automatically released upon the consummation of such Disposition, and the Administrative Agent shall be authorized to take, and shall take, any action reasonably requested by the Borrower in order to effect the foregoing; </w:t>
      </w:r>
      <w:r>
        <w:rPr>
          <w:rFonts w:ascii="Times New Roman" w:hAnsi="Times New Roman"/>
          <w:sz w:val="20"/>
          <w:u w:val="single"/>
        </w:rPr>
        <w:t>provided</w:t>
      </w:r>
      <w:r>
        <w:rPr>
          <w:rFonts w:ascii="Times New Roman" w:hAnsi="Times New Roman"/>
          <w:sz w:val="20"/>
        </w:rPr>
        <w:t xml:space="preserve">, that (x) in connection with any such requested action, upon the reasonable request of the Administrative Agent, the Borrower shall deliver a customary certificate of a Responsible Officer certifying that the relevant transaction has been consummated in compliance with the terms of this Agreement and the Administrative Agent is authorized or permitted to take the actions requested by the Borrower to effect the release of Liens contemplated herein and (y) in the case of a Disposition made to any Loan Party, the relevant transferred assets shall become part of the Collateral of the transferee Loan Party (except to the extent such assets constitute Excluded Assets), (b) any determination of fair market value shall be made by the Borrower in good faith at its election either (1) at the time of the execution of the definitive agreement governing such Disposition or (2) the date on which such Disposition is consummated and (c) no Loan Party shall be permitted to make any transfer (via Investment, sales or other Dispositions and Restricted Payments (including dividends)) that would constitute an IP Separation Transaction in reliance on this </w:t>
      </w:r>
      <w:r>
        <w:rPr>
          <w:rFonts w:ascii="Times New Roman" w:hAnsi="Times New Roman"/>
          <w:sz w:val="20"/>
          <w:u w:val="single"/>
        </w:rPr>
        <w:t>Section 6.07</w:t>
      </w:r>
      <w:r>
        <w:rPr>
          <w:rFonts w:ascii="Times New Roman" w:hAnsi="Times New Roman"/>
          <w:sz w:val="20"/>
        </w:rPr>
        <w:t xml:space="preserve">. For purposes of this </w:t>
      </w:r>
      <w:r>
        <w:rPr>
          <w:rFonts w:ascii="Times New Roman" w:hAnsi="Times New Roman"/>
          <w:sz w:val="20"/>
          <w:u w:val="single"/>
        </w:rPr>
        <w:t>Section 6.07</w:t>
      </w:r>
      <w:r>
        <w:rPr>
          <w:rFonts w:ascii="Times New Roman" w:hAnsi="Times New Roman"/>
          <w:sz w:val="20"/>
        </w:rPr>
        <w:t xml:space="preserve">, any determination of fair market value shall be made by the Borrower in good faith at its election either (1) at the time of the execution of the definitive agreement governing such Disposition or (2) the date on which such Disposition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Amendments or Waivers of Organizational Documents</w:t>
      </w:r>
      <w:r>
        <w:rPr>
          <w:rFonts w:ascii="Times New Roman" w:hAnsi="Times New Roman"/>
          <w:sz w:val="20"/>
        </w:rPr>
        <w:t xml:space="preserve">. The Borrower shall not, nor shall it permit any of its Subsidiaries to, amend or modify its Organizational Documents in a manner that is materially adverse to the Lenders (in their capacities as such), taken as a whole, without obtaining the prior written consent of the Administrative Agent; </w:t>
      </w:r>
      <w:r>
        <w:rPr>
          <w:rFonts w:ascii="Times New Roman" w:hAnsi="Times New Roman"/>
          <w:sz w:val="20"/>
          <w:u w:val="single"/>
        </w:rPr>
        <w:t>provided</w:t>
      </w:r>
      <w:r>
        <w:rPr>
          <w:rFonts w:ascii="Times New Roman" w:hAnsi="Times New Roman"/>
          <w:sz w:val="20"/>
        </w:rPr>
        <w:t xml:space="preserve">, that, for purposes of clarity, it is understood and agreed that the Borrower and/or any Subsidiary may effect a change to its organizational form and/or consummate any other transaction that is permitted under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Amendments of or Waivers with Respect to Restricted Debt</w:t>
      </w:r>
      <w:r>
        <w:rPr>
          <w:rFonts w:ascii="Times New Roman" w:hAnsi="Times New Roman"/>
          <w:sz w:val="20"/>
        </w:rPr>
        <w:t xml:space="preserve">. The Borrower shall not, nor shall it permit any if its Subsidiaries to, amend or otherwise modify the subordination terms of any Restricted Debt (or the subordination terms of the documentation governing any Restricted Debt) (a) if the effect of such amendment or modification, together with all other amendments or modifications made, is materially adverse to the interests of the Lenders (in their capacities as such) or (b) in violation of any Acceptable Intercreditor Agreement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subordination terms set forth in the definitive documentation governing any Restricted Debt; </w:t>
      </w:r>
      <w:r>
        <w:rPr>
          <w:rFonts w:ascii="Times New Roman" w:hAnsi="Times New Roman"/>
          <w:sz w:val="20"/>
          <w:u w:val="single"/>
        </w:rPr>
        <w:t>provided</w:t>
      </w:r>
      <w:r>
        <w:rPr>
          <w:rFonts w:ascii="Times New Roman" w:hAnsi="Times New Roman"/>
          <w:sz w:val="20"/>
        </w:rPr>
        <w:t xml:space="preserve">,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Permitted Activities of Holdings</w:t>
      </w:r>
      <w:r>
        <w:rPr>
          <w:rFonts w:ascii="Times New Roman" w:hAnsi="Times New Roman"/>
          <w:sz w:val="20"/>
        </w:rPr>
        <w:t xml:space="preserve">. Holdings shall not own any operating assets or engage in any material operating activities; </w:t>
      </w:r>
      <w:r>
        <w:rPr>
          <w:rFonts w:ascii="Times New Roman" w:hAnsi="Times New Roman"/>
          <w:sz w:val="20"/>
          <w:u w:val="single"/>
        </w:rPr>
        <w:t>provided</w:t>
      </w:r>
      <w:r>
        <w:rPr>
          <w:rFonts w:ascii="Times New Roman" w:hAnsi="Times New Roman"/>
          <w:sz w:val="20"/>
        </w:rPr>
        <w:t xml:space="preserve">, that for the avoidance of doubt, the following activities shall in all cases be permitted: </w:t>
      </w:r>
    </w:p>
    <w:p>
      <w:pPr>
        <w:pStyle w:val="TextBody"/>
        <w:bidi w:val="0"/>
        <w:spacing w:before="120" w:after="0"/>
        <w:jc w:val="left"/>
        <w:rPr>
          <w:rFonts w:ascii="Times New Roman" w:hAnsi="Times New Roman"/>
          <w:sz w:val="20"/>
        </w:rPr>
      </w:pPr>
      <w:r>
        <w:rPr>
          <w:rFonts w:ascii="Times New Roman" w:hAnsi="Times New Roman"/>
          <w:sz w:val="20"/>
        </w:rPr>
        <w:t xml:space="preserve">(a) owning, directly or indirectly, the Capital Stock of the Borrower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entry into, and the performance of its obligations with respect to the Loan Documents and/or under guarantees of any Indebtedness permitted by </w:t>
      </w:r>
      <w:r>
        <w:rPr>
          <w:rFonts w:ascii="Times New Roman" w:hAnsi="Times New Roman"/>
          <w:sz w:val="20"/>
          <w:u w:val="single"/>
        </w:rPr>
        <w:t>Section 6.01</w:t>
      </w:r>
      <w:r>
        <w:rPr>
          <w:rFonts w:ascii="Times New Roman" w:hAnsi="Times New Roman"/>
          <w:sz w:val="20"/>
        </w:rPr>
        <w:t xml:space="preserve"> and any documentation relating to the foregoing and/or any permitted refinancing of the foregoing, including any Surety Bond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(i) the consummation of the Transactions and entry into and performance of its obligations related thereto, (ii) transactions permitted under </w:t>
      </w:r>
      <w:r>
        <w:rPr>
          <w:rFonts w:ascii="Times New Roman" w:hAnsi="Times New Roman"/>
          <w:sz w:val="20"/>
          <w:u w:val="single"/>
        </w:rPr>
        <w:t>Section 6.04</w:t>
      </w:r>
      <w:r>
        <w:rPr>
          <w:rFonts w:ascii="Times New Roman" w:hAnsi="Times New Roman"/>
          <w:sz w:val="20"/>
        </w:rPr>
        <w:t xml:space="preserve"> and/or </w:t>
      </w:r>
      <w:r>
        <w:rPr>
          <w:rFonts w:ascii="Times New Roman" w:hAnsi="Times New Roman"/>
          <w:sz w:val="20"/>
          <w:u w:val="single"/>
        </w:rPr>
        <w:t>Section 6.07</w:t>
      </w:r>
      <w:r>
        <w:rPr>
          <w:rFonts w:ascii="Times New Roman" w:hAnsi="Times New Roman"/>
          <w:sz w:val="20"/>
        </w:rPr>
        <w:t xml:space="preserve"> and (iii) Permitted Liens that do not, in the good faith determination of the Borrower, relate to operating activities (other than with respect to any Surety Bond Indebtedness); </w:t>
      </w:r>
      <w:r>
        <w:rPr>
          <w:rFonts w:ascii="Times New Roman" w:hAnsi="Times New Roman"/>
          <w:sz w:val="20"/>
          <w:u w:val="single"/>
        </w:rPr>
        <w:t>provided</w:t>
      </w:r>
      <w:r>
        <w:rPr>
          <w:rFonts w:ascii="Times New Roman" w:hAnsi="Times New Roman"/>
          <w:sz w:val="20"/>
        </w:rPr>
        <w:t xml:space="preserve">, that in no event shall Holdings grant a Lien on the Capital Stock of the Borrower (in each case, other than the Liens granted to secure (A) the Secured Obligations or (B) any other Indebtedness permitted to be incurred pursuant to </w:t>
      </w:r>
      <w:r>
        <w:rPr>
          <w:rFonts w:ascii="Times New Roman" w:hAnsi="Times New Roman"/>
          <w:sz w:val="20"/>
          <w:u w:val="single"/>
        </w:rPr>
        <w:t>Section 6.01</w:t>
      </w:r>
      <w:r>
        <w:rPr>
          <w:rFonts w:ascii="Times New Roman" w:hAnsi="Times New Roman"/>
          <w:sz w:val="20"/>
        </w:rPr>
        <w:t xml:space="preserve"> and secured by a Lien on the Capital Stock of the Borrower pursuant to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issuance of its own Capital Stock (including, for the avoidance of doubt, the making of any dividend or distribution on account of, or any redemption, retirement, sinking fund or similar payment, purchase or other acquisition for value of, any shares of any class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the payment of dividends and distributions, the making of contributions to the capital of its subsidiaries and guarantees of Indebtedness and/or other obligations permitted to be incurred hereunder by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(f) the maintenance of its legal existence (including the ability to incur fees, costs and expenses relating to such maintenance and performance of activities relating to its officers, directors, managers and employees and those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holding director and equityholder meetings, preparing organizational records and other organizational activities required to maintain its separate organizational structure or to comply with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(h) the participation in tax, accounting and other administrative matters, including compliance with applicable Requirements of Law and legal, tax and accounting matters related thereto and activities relating to its officers, directors, managers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(i) the holding of any cash and Cash Equivalents, other than as permitted under </w:t>
      </w:r>
      <w:r>
        <w:rPr>
          <w:rFonts w:ascii="Times New Roman" w:hAnsi="Times New Roman"/>
          <w:sz w:val="20"/>
          <w:u w:val="single"/>
        </w:rPr>
        <w:t>clause (j)</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(j) the holding of any other property received by it as a distribution from any of its Subsidiaries or contributions from its Parent Companies and the making of further contributions, loans and/or distributions of or with such property to the extent otherwise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(k) the entry into and performance of its obligations with respect to contracts relating to activities otherwise permitted by this </w:t>
      </w:r>
      <w:r>
        <w:rPr>
          <w:rFonts w:ascii="Times New Roman" w:hAnsi="Times New Roman"/>
          <w:sz w:val="20"/>
          <w:u w:val="single"/>
        </w:rPr>
        <w:t>Section 6.14</w:t>
      </w:r>
      <w:r>
        <w:rPr>
          <w:rFonts w:ascii="Times New Roman" w:hAnsi="Times New Roman"/>
          <w:sz w:val="20"/>
        </w:rPr>
        <w:t xml:space="preserve">, including the providing of indemnification to officers, managers, directors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filing of Tax reports and paying Taxes (including pursuant to any Tax sharing arrangement or as a result of any intercompany distribution or pursuant to </w:t>
      </w:r>
      <w:r>
        <w:rPr>
          <w:rFonts w:ascii="Times New Roman" w:hAnsi="Times New Roman"/>
          <w:sz w:val="20"/>
          <w:u w:val="single"/>
        </w:rPr>
        <w:t>Section 6.04(a)(xv</w:t>
      </w:r>
      <w:r>
        <w:rPr>
          <w:rFonts w:ascii="Times New Roman" w:hAnsi="Times New Roman"/>
          <w:sz w:val="20"/>
        </w:rPr>
        <w:t xml:space="preserve">) and other customary obligations related thereto in the ordinary course (and contesting any Taxes); </w:t>
      </w:r>
    </w:p>
    <w:p>
      <w:pPr>
        <w:pStyle w:val="TextBody"/>
        <w:bidi w:val="0"/>
        <w:spacing w:before="240" w:after="0"/>
        <w:jc w:val="left"/>
        <w:rPr>
          <w:rFonts w:ascii="Times New Roman" w:hAnsi="Times New Roman"/>
          <w:sz w:val="20"/>
        </w:rPr>
      </w:pPr>
      <w:r>
        <w:rPr>
          <w:rFonts w:ascii="Times New Roman" w:hAnsi="Times New Roman"/>
          <w:sz w:val="20"/>
        </w:rPr>
        <w:t xml:space="preserve">(m) the preparation of reports to Governmental Authorities and to its equityholders; </w:t>
      </w:r>
    </w:p>
    <w:p>
      <w:pPr>
        <w:pStyle w:val="TextBody"/>
        <w:bidi w:val="0"/>
        <w:spacing w:before="240" w:after="0"/>
        <w:jc w:val="left"/>
        <w:rPr>
          <w:rFonts w:ascii="Times New Roman" w:hAnsi="Times New Roman"/>
          <w:sz w:val="20"/>
        </w:rPr>
      </w:pPr>
      <w:r>
        <w:rPr>
          <w:rFonts w:ascii="Times New Roman" w:hAnsi="Times New Roman"/>
          <w:sz w:val="20"/>
        </w:rPr>
        <w:t xml:space="preserve">(n) the making of Investments in its subsidiaries (including the Borrower) to the extent otherwise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performance of obligations under and compliance with its Organizational Documents, any demands or requests from or requirements of a Governmental Authority or any applicable Requirement of Law, ordinance, regulation, rule, order, judgment, decree or permit, including as a result of or in connection with the activities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(p) the participation in any surety bond program that is permitted or not otherwise prohibited by this Agreement; </w:t>
      </w:r>
    </w:p>
    <w:p>
      <w:pPr>
        <w:pStyle w:val="TextBody"/>
        <w:bidi w:val="0"/>
        <w:spacing w:before="240" w:after="0"/>
        <w:jc w:val="left"/>
        <w:rPr>
          <w:rFonts w:ascii="Times New Roman" w:hAnsi="Times New Roman"/>
          <w:sz w:val="20"/>
        </w:rPr>
      </w:pPr>
      <w:r>
        <w:rPr>
          <w:rFonts w:ascii="Times New Roman" w:hAnsi="Times New Roman"/>
          <w:sz w:val="20"/>
        </w:rPr>
        <w:t>(q) so long as no Default or Event of Default exists or would result therefrom, (i) Holdings may consolidate or amalgamate with, or merge with or into, any other Person (other than the Borrower and any of its Subsidiaries) so long as (1) Holdings is the continuing or surviving Person or (2) if the Person formed by or surviving any such consolidation, amalgamation or merger is not Holdings (such successor Person, “</w:t>
      </w:r>
      <w:r>
        <w:rPr>
          <w:rFonts w:ascii="Times New Roman" w:hAnsi="Times New Roman"/>
          <w:sz w:val="20"/>
          <w:u w:val="single"/>
        </w:rPr>
        <w:t>Successor Holdings</w:t>
      </w:r>
      <w:r>
        <w:rPr>
          <w:rFonts w:ascii="Times New Roman" w:hAnsi="Times New Roman"/>
          <w:sz w:val="20"/>
        </w:rPr>
        <w:t xml:space="preserve">”), (w) the Successor Holdings shall be an entity organized or existing under the laws of the U.S., any state thereof or the District of Columbia, (x) the successor Person expressly assumes all obligations of Holdings under this Agreement and the other Loan Documents to which Holdings is a party pursuant to a supplement hereto and/or thereto in a form reasonably satisfactory to the Administrative Agent, (y) the Borrower delivers a certificate of a Responsible Officer with respect to the satisfaction of the conditions set forth in </w:t>
      </w:r>
      <w:r>
        <w:rPr>
          <w:rFonts w:ascii="Times New Roman" w:hAnsi="Times New Roman"/>
          <w:sz w:val="20"/>
          <w:u w:val="single"/>
        </w:rPr>
        <w:t>clause (x)</w:t>
      </w:r>
      <w:r>
        <w:rPr>
          <w:rFonts w:ascii="Times New Roman" w:hAnsi="Times New Roman"/>
          <w:sz w:val="20"/>
        </w:rPr>
        <w:t xml:space="preserve"> of this </w:t>
      </w:r>
      <w:r>
        <w:rPr>
          <w:rFonts w:ascii="Times New Roman" w:hAnsi="Times New Roman"/>
          <w:sz w:val="20"/>
          <w:u w:val="single"/>
        </w:rPr>
        <w:t>clause (i)(A)</w:t>
      </w:r>
      <w:r>
        <w:rPr>
          <w:rFonts w:ascii="Times New Roman" w:hAnsi="Times New Roman"/>
          <w:sz w:val="20"/>
        </w:rPr>
        <w:t xml:space="preserve"> and (z) the Administrative Agent and each requesting Lender shall have received documentation and other information as shall have been reasonably requested by the Administrative Agent or any Lender (which in the case of any requests from a Lender shall be made to the Borrower through the Administrative Agent) that the Administrative Agent or such Lender, as applicable, shall have reasonably determined is required by regulatory authorities under applicable “know your customer” and anti-money laundering rules and regulations, including the USA Patriot Act and (ii) Holdings may otherwise convey, sell or otherwise transfer all or substantially all of its assets to any other Person (other than the Borrower and any of its Subsidiaries) so long as (x) no Change of Control results therefrom, (y) the Person acquiring such assets expressly assumes all of the obligations of Holdings under this Agreement and the other Loan Documents to which Holdings is a party pursuant to a supplement hereto and/or thereto in a form reasonably satisfactory to the Administrative Agent and (z) the Borrower delivers a certificate of a Responsible Officer with respect to the satisfaction of the conditions under </w:t>
      </w:r>
      <w:r>
        <w:rPr>
          <w:rFonts w:ascii="Times New Roman" w:hAnsi="Times New Roman"/>
          <w:sz w:val="20"/>
          <w:u w:val="single"/>
        </w:rPr>
        <w:t>clause (x)</w:t>
      </w:r>
      <w:r>
        <w:rPr>
          <w:rFonts w:ascii="Times New Roman" w:hAnsi="Times New Roman"/>
          <w:sz w:val="20"/>
        </w:rPr>
        <w:t xml:space="preserve"> set forth in this </w:t>
      </w:r>
      <w:r>
        <w:rPr>
          <w:rFonts w:ascii="Times New Roman" w:hAnsi="Times New Roman"/>
          <w:sz w:val="20"/>
          <w:u w:val="single"/>
        </w:rPr>
        <w:t>clause (i)(B)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(1) if the conditions set forth in the preceding proviso are satisfied, Successor Holdings will succeed to, and be substituted for, Holdings under this Agreement and (2) it is understood and agreed that Holdings may convert into another form of entity so long as such conversion does not adversely affect the value of the Loan Guaranty or the Collateral; and/or </w:t>
      </w:r>
    </w:p>
    <w:p>
      <w:pPr>
        <w:pStyle w:val="TextBody"/>
        <w:bidi w:val="0"/>
        <w:spacing w:before="240" w:after="0"/>
        <w:jc w:val="left"/>
        <w:rPr>
          <w:rFonts w:ascii="Times New Roman" w:hAnsi="Times New Roman"/>
          <w:sz w:val="20"/>
        </w:rPr>
      </w:pPr>
      <w:r>
        <w:rPr>
          <w:rFonts w:ascii="Times New Roman" w:hAnsi="Times New Roman"/>
          <w:sz w:val="20"/>
        </w:rPr>
        <w:t xml:space="preserve">(r) any activities incidental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Financial Covenant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Total Net Leverage Ratio</w:t>
      </w:r>
      <w:r>
        <w:rPr>
          <w:rFonts w:ascii="Times New Roman" w:hAnsi="Times New Roman"/>
          <w:sz w:val="20"/>
        </w:rPr>
        <w:t xml:space="preserve">. On the last day of any Test Period ending after the Closing Date (commencing with the Test Period ending on June 30, 2026), the Borrower shall not permit the Total Net Leverage Ratio to be greater than 3.50:1.00; </w:t>
      </w:r>
      <w:r>
        <w:rPr>
          <w:rFonts w:ascii="Times New Roman" w:hAnsi="Times New Roman"/>
          <w:sz w:val="20"/>
          <w:u w:val="single"/>
        </w:rPr>
        <w:t>provided</w:t>
      </w:r>
      <w:r>
        <w:rPr>
          <w:rFonts w:ascii="Times New Roman" w:hAnsi="Times New Roman"/>
          <w:sz w:val="20"/>
        </w:rPr>
        <w:t xml:space="preserve">, that upon the consummation of a Material Acquisition, for the Fiscal Quarter in which such Material Acquisition is consummated and the three (3) full Fiscal Quarters immediately thereafter, the Total Net Leverage Ratio set forth above in this </w:t>
      </w:r>
      <w:r>
        <w:rPr>
          <w:rFonts w:ascii="Times New Roman" w:hAnsi="Times New Roman"/>
          <w:sz w:val="20"/>
          <w:u w:val="single"/>
        </w:rPr>
        <w:t>Section 6.15(a)</w:t>
      </w:r>
      <w:r>
        <w:rPr>
          <w:rFonts w:ascii="Times New Roman" w:hAnsi="Times New Roman"/>
          <w:sz w:val="20"/>
        </w:rPr>
        <w:t xml:space="preserve"> applicable to each such Fiscal Quarter shall instead be increased to 4.00:1.00.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Interest Coverage Ratio</w:t>
      </w:r>
      <w:r>
        <w:rPr>
          <w:rFonts w:ascii="Times New Roman" w:hAnsi="Times New Roman"/>
          <w:sz w:val="20"/>
        </w:rPr>
        <w:t xml:space="preserve">. On the last day of any Test Period ending after the Closing Date (commencing with the Test Period ending on June 30, 2026), the Borrower shall not permit the Interest Coverage Ratio to be less than 3.00 to 1.00.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Financial Cure</w:t>
      </w:r>
      <w:r>
        <w:rPr>
          <w:rFonts w:ascii="Times New Roman" w:hAnsi="Times New Roman"/>
          <w:sz w:val="20"/>
        </w:rPr>
        <w:t xml:space="preserve">. Notwithstanding anything to the contrary in this Agreement (including </w:t>
      </w:r>
      <w:r>
        <w:rPr>
          <w:rFonts w:ascii="Times New Roman" w:hAnsi="Times New Roman"/>
          <w:sz w:val="20"/>
          <w:u w:val="single"/>
        </w:rPr>
        <w:t>Article 7</w:t>
      </w:r>
      <w:r>
        <w:rPr>
          <w:rFonts w:ascii="Times New Roman" w:hAnsi="Times New Roman"/>
          <w:sz w:val="20"/>
        </w:rPr>
        <w:t xml:space="preserve">), upon the failure by the Borrower to comply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above for any Fiscal Quarter, the Borrower shall have the right (the “</w:t>
      </w:r>
      <w:r>
        <w:rPr>
          <w:rFonts w:ascii="Times New Roman" w:hAnsi="Times New Roman"/>
          <w:sz w:val="20"/>
          <w:u w:val="single"/>
        </w:rPr>
        <w:t>Cure Right</w:t>
      </w:r>
      <w:r>
        <w:rPr>
          <w:rFonts w:ascii="Times New Roman" w:hAnsi="Times New Roman"/>
          <w:sz w:val="20"/>
        </w:rPr>
        <w:t xml:space="preserve">”) (at any time during such Fiscal Quarter or thereafter until the date that is 20 Business Days after the date on which financial statements for such Fiscal Quarter are required to be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as applicable) to issue Qualified Capital Stock or other equity (such other equity to be on terms reasonably acceptable to the Administrative Agent) for Cash or otherwise receive Cash contributions in respect of its Qualified Capital Stock (including, for the avoidance of doubt, any contributions that are contributed by Parent to the common equity of the Borrower or any of its Subsidiaries) (the “</w:t>
      </w:r>
      <w:r>
        <w:rPr>
          <w:rFonts w:ascii="Times New Roman" w:hAnsi="Times New Roman"/>
          <w:sz w:val="20"/>
          <w:u w:val="single"/>
        </w:rPr>
        <w:t>Cure Amount</w:t>
      </w:r>
      <w:r>
        <w:rPr>
          <w:rFonts w:ascii="Times New Roman" w:hAnsi="Times New Roman"/>
          <w:sz w:val="20"/>
        </w:rPr>
        <w:t xml:space="preserve">”), and thereupon the Borrower’s compliance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shall be recalculated giving effect to a pro forma increase in the amount of Consolidated Adjusted EBITDA by an amount equal to the Cure Amount (notwithstanding the absence of a related addback in the definition of “Consolidated Adjusted EBITDA”) solely for the purpose of determining compliance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as of the end of such Fiscal Quarter and for applicable subsequent periods that include such Fiscal Quarter. If, after receipt of the Cure Amount and after giving effect to the foregoing recalculation (but not, for the avoidance of doubt, taking into account any repayment of Indebtedness in connection therewith), the requirements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would be satisfied, then the requirements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shall be deemed satisfied as of the end of the relevant Fiscal Quarter with the same effect as though there had been no failure to comply therewith at such date, and the applicable breach or default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that had occurred (or would have occurred) shall be deemed cured for the purposes of this Agreement. Notwithstanding anything herein to the contrary, (i) in each four consecutive Fiscal Quarter period there shall be at least two Fiscal Quarters (it being understood that, subject to </w:t>
      </w:r>
      <w:r>
        <w:rPr>
          <w:rFonts w:ascii="Times New Roman" w:hAnsi="Times New Roman"/>
          <w:sz w:val="20"/>
          <w:u w:val="single"/>
        </w:rPr>
        <w:t>clause (iii)</w:t>
      </w:r>
      <w:r>
        <w:rPr>
          <w:rFonts w:ascii="Times New Roman" w:hAnsi="Times New Roman"/>
          <w:sz w:val="20"/>
        </w:rPr>
        <w:t xml:space="preserve">, the Cure Right may be exercised in consecutive Fiscal Quarters) in which the Cure Right is not exercised, (ii) during the term of this Agreement, the Cure Right shall not be exercised more than five times, (iii) for purposes of calculating Consolidated Adjusted EBITDA, the Cure Amount shall be no greater than the amount required for the purpose of complying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(iv) there shall be no pro forma or other reduction of the amount of Indebtedness by the amount of any Cure Amount for purposes of determining compliance with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for the Fiscal Quarter in respect of which the Cure Right was exercised (other than, with respect to any future period, to the extent of any portion of such Cure Amount that is actually applied to repay Indebtedness) and (v) during any Test Period in which any Cure Amount is included in the calculation of Consolidated Adjusted EBITDA as a result of any exercise of the Cure Right, such Cure Amount shall be disregarded for purposes of determining whether any financial ratio-based condition to the availability of, or “grower basket” in, any carve-out set forth in </w:t>
      </w:r>
      <w:r>
        <w:rPr>
          <w:rFonts w:ascii="Times New Roman" w:hAnsi="Times New Roman"/>
          <w:sz w:val="20"/>
          <w:u w:val="single"/>
        </w:rPr>
        <w:t>Article 6</w:t>
      </w:r>
      <w:r>
        <w:rPr>
          <w:rFonts w:ascii="Times New Roman" w:hAnsi="Times New Roman"/>
          <w:sz w:val="20"/>
        </w:rPr>
        <w:t xml:space="preserve"> of this Agreement has been satisfied during each Fiscal Quarter in which the pro forma adjustment applies (and, for the avoidance of doubt, in no event shall the amount of any Cure Amount be included in Consolidated Adjusted EBITDA). No Lender shall be required to extend any Loans and no Issuing Bank shall be required to issue, amend, modify, renew or extend any Letter of Credit, in each case, from and after such time as the Administrative Agent receives a notice from the Borrower under this </w:t>
      </w:r>
      <w:r>
        <w:rPr>
          <w:rFonts w:ascii="Times New Roman" w:hAnsi="Times New Roman"/>
          <w:sz w:val="20"/>
          <w:u w:val="single"/>
        </w:rPr>
        <w:t>Section 6.15(c)</w:t>
      </w:r>
      <w:r>
        <w:rPr>
          <w:rFonts w:ascii="Times New Roman" w:hAnsi="Times New Roman"/>
          <w:sz w:val="20"/>
        </w:rPr>
        <w:t xml:space="preserve"> of the Borrower’s intent to exercise the Cure Right hereunder for any Test Period until the relevant Cure Amount is actually received by the Borrower (other than, for the avoidance of doubt, any obligation of such Lender to fund participation in any Letter of Credit Reimbursement Loan or Swingline Loan that is outstanding prior to the exercise of the relevant Cure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1"/>
        </w:rPr>
      </w:pPr>
      <w:r>
        <w:rPr>
          <w:rFonts w:ascii="Times New Roman" w:hAnsi="Times New Roman"/>
          <w:sz w:val="21"/>
        </w:rPr>
        <w:t xml:space="preserve">ARTICLE 7 </w:t>
      </w:r>
    </w:p>
    <w:p>
      <w:pPr>
        <w:pStyle w:val="TextBody"/>
        <w:bidi w:val="0"/>
        <w:spacing w:before="12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If any of the following events (each, an “</w:t>
      </w:r>
      <w:r>
        <w:rPr>
          <w:rFonts w:ascii="Times New Roman" w:hAnsi="Times New Roman"/>
          <w:sz w:val="20"/>
          <w:u w:val="single"/>
        </w:rPr>
        <w:t>Event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 xml:space="preserve">Failure to Make Payments When Due. </w:t>
      </w:r>
      <w:r>
        <w:rPr>
          <w:rFonts w:ascii="Times New Roman" w:hAnsi="Times New Roman"/>
          <w:sz w:val="20"/>
        </w:rPr>
        <w:t xml:space="preserve">Failure by either the Borrower or any other Loan Party to pay (i) any principal of any Loan when due or any LC Disbursement that has not been reimbursed (including any reimbursement made with the proceeds of any Letter of Credit Reimbursement Loan) when required pursuant to </w:t>
      </w:r>
      <w:r>
        <w:rPr>
          <w:rFonts w:ascii="Times New Roman" w:hAnsi="Times New Roman"/>
          <w:sz w:val="20"/>
          <w:u w:val="single"/>
        </w:rPr>
        <w:t>Section 2.05(e)(i)</w:t>
      </w:r>
      <w:r>
        <w:rPr>
          <w:rFonts w:ascii="Times New Roman" w:hAnsi="Times New Roman"/>
          <w:sz w:val="20"/>
        </w:rPr>
        <w:t xml:space="preserve">, in each case, whether at stated maturity, by acceleration, by notice of voluntary prepayment, by mandatory prepayment or otherwise; or (ii) any interest on any Loan or any fee or any other amount due hereunder within five Business Days after the date due; 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 Other Agreements</w:t>
      </w:r>
      <w:r>
        <w:rPr>
          <w:rFonts w:ascii="Times New Roman" w:hAnsi="Times New Roman"/>
          <w:sz w:val="20"/>
        </w:rPr>
        <w:t xml:space="preserve">. (i) Failure by the Borrower or any Subsidiary to pay when due any principal of or interest on or any other amount payable in respect of any item of third party Indebtedness for borrowed money or Indebtedness of the kind described in </w:t>
      </w:r>
      <w:r>
        <w:rPr>
          <w:rFonts w:ascii="Times New Roman" w:hAnsi="Times New Roman"/>
          <w:sz w:val="20"/>
          <w:u w:val="single"/>
        </w:rPr>
        <w:t>clause (c)</w:t>
      </w:r>
      <w:r>
        <w:rPr>
          <w:rFonts w:ascii="Times New Roman" w:hAnsi="Times New Roman"/>
          <w:sz w:val="20"/>
        </w:rPr>
        <w:t xml:space="preserve"> of the definition thereof (other than (x) Indebtedness referred to in </w:t>
      </w:r>
      <w:r>
        <w:rPr>
          <w:rFonts w:ascii="Times New Roman" w:hAnsi="Times New Roman"/>
          <w:sz w:val="20"/>
          <w:u w:val="single"/>
        </w:rPr>
        <w:t>clause (a)</w:t>
      </w:r>
      <w:r>
        <w:rPr>
          <w:rFonts w:ascii="Times New Roman" w:hAnsi="Times New Roman"/>
          <w:sz w:val="20"/>
        </w:rPr>
        <w:t xml:space="preserve"> above and (y) intercompany Indebtedness) with an individual outstanding principal amount exceeding the Threshold Amount, in each case, beyond the grace period, if any, provided therefor; or (ii) breach or default by the Borrower or any Subsidiary with respect to any other term of (A) any item of third party Indebtedness for borrowed money or Indebtedness of the kind described in </w:t>
      </w:r>
      <w:r>
        <w:rPr>
          <w:rFonts w:ascii="Times New Roman" w:hAnsi="Times New Roman"/>
          <w:sz w:val="20"/>
          <w:u w:val="single"/>
        </w:rPr>
        <w:t>clause (c)</w:t>
      </w:r>
      <w:r>
        <w:rPr>
          <w:rFonts w:ascii="Times New Roman" w:hAnsi="Times New Roman"/>
          <w:sz w:val="20"/>
        </w:rPr>
        <w:t xml:space="preserve"> of the definition thereof with an individual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which are not the result of any default thereunder by the Borrower or any Subsidiary), in each case, beyond the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Times New Roman" w:hAnsi="Times New Roman"/>
          <w:sz w:val="20"/>
          <w:u w:val="single"/>
        </w:rPr>
        <w:t>provided</w:t>
      </w:r>
      <w:r>
        <w:rPr>
          <w:rFonts w:ascii="Times New Roman" w:hAnsi="Times New Roman"/>
          <w:sz w:val="20"/>
        </w:rPr>
        <w:t>, that (1)</w:t>
      </w:r>
      <w:r>
        <w:rPr>
          <w:rFonts w:ascii="Times New Roman" w:hAnsi="Times New Roman"/>
          <w:sz w:val="20"/>
          <w:u w:val="single"/>
        </w:rPr>
        <w:t> clause (ii)</w:t>
      </w:r>
      <w:r>
        <w:rPr>
          <w:rFonts w:ascii="Times New Roman" w:hAnsi="Times New Roman"/>
          <w:sz w:val="20"/>
        </w:rPr>
        <w:t xml:space="preserve"> of this </w:t>
      </w:r>
      <w:r>
        <w:rPr>
          <w:rFonts w:ascii="Times New Roman" w:hAnsi="Times New Roman"/>
          <w:sz w:val="20"/>
          <w:u w:val="single"/>
        </w:rPr>
        <w:t>paragraph (b)</w:t>
      </w:r>
      <w:r>
        <w:rPr>
          <w:rFonts w:ascii="Times New Roman" w:hAnsi="Times New Roman"/>
          <w:sz w:val="20"/>
        </w:rPr>
        <w:t xml:space="preserve"> shall not apply to secured Indebtedness that becomes due as a result of the voluntary sale or transfer of the property securing such Indebtedness if such sale or transfer is permitted hereunder, (2) any failure described under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is unremedied and is not waived by the holders of such Indebtedness prior to any termination of the Commitments or acceleration of the Loans pursuant to this </w:t>
      </w:r>
      <w:r>
        <w:rPr>
          <w:rFonts w:ascii="Times New Roman" w:hAnsi="Times New Roman"/>
          <w:sz w:val="20"/>
          <w:u w:val="single"/>
        </w:rPr>
        <w:t xml:space="preserve">Article 7 </w:t>
      </w:r>
      <w:r>
        <w:rPr>
          <w:rFonts w:ascii="Times New Roman" w:hAnsi="Times New Roman"/>
          <w:sz w:val="20"/>
        </w:rPr>
        <w:t xml:space="preserve">and (3) it is understood and agreed that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paragraph (b)</w:t>
      </w:r>
      <w:r>
        <w:rPr>
          <w:rFonts w:ascii="Times New Roman" w:hAnsi="Times New Roman"/>
          <w:sz w:val="20"/>
        </w:rPr>
        <w:t xml:space="preserve"> shall not apply to any breach of the documentation governing any Surety Bond Indebtedness, unless an acceleration of Surety Bond Indebtedness with an individual principal amount in excess of the Threshold Amount has occurred as a result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avoidance of doubt, the occurrence of any event described in this </w:t>
      </w:r>
      <w:r>
        <w:rPr>
          <w:rFonts w:ascii="Times New Roman" w:hAnsi="Times New Roman"/>
          <w:sz w:val="20"/>
          <w:u w:val="single"/>
        </w:rPr>
        <w:t>clause (b)</w:t>
      </w:r>
      <w:r>
        <w:rPr>
          <w:rFonts w:ascii="Times New Roman" w:hAnsi="Times New Roman"/>
          <w:sz w:val="20"/>
        </w:rPr>
        <w:t xml:space="preserve">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will not result in a Default or Event of Default under this Agreement prior to the expiration of such grace period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Breach of Certain Covenants</w:t>
      </w:r>
      <w:r>
        <w:rPr>
          <w:rFonts w:ascii="Times New Roman" w:hAnsi="Times New Roman"/>
          <w:sz w:val="20"/>
        </w:rPr>
        <w:t xml:space="preserve">. Failure of any Loan Party, as required by the relevant provision, to perform or comply with any term or condition contained in </w:t>
      </w:r>
      <w:r>
        <w:rPr>
          <w:rFonts w:ascii="Times New Roman" w:hAnsi="Times New Roman"/>
          <w:sz w:val="20"/>
          <w:u w:val="single"/>
        </w:rPr>
        <w:t>Section 5.01(e)(i)</w:t>
      </w:r>
      <w:r>
        <w:rPr>
          <w:rFonts w:ascii="Times New Roman" w:hAnsi="Times New Roman"/>
          <w:sz w:val="20"/>
        </w:rPr>
        <w:t xml:space="preserve"> (provided, that any Event of Default arising from a failure to deliver any notice of Default or Event of Default shall automatically be deemed to have been cured (and no longer continuing) immediately upon the earlier to occur of (x) the delivery of notice of the relevant Default or Event of Default and (y) the cessation of the existence of the underlying Default or Event of Default, unless in any such case the Borrower or a Responsible Officer thereof knowingly failed to deliver notice of the underlying Default or Event of Default), </w:t>
      </w:r>
      <w:r>
        <w:rPr>
          <w:rFonts w:ascii="Times New Roman" w:hAnsi="Times New Roman"/>
          <w:sz w:val="20"/>
          <w:u w:val="single"/>
        </w:rPr>
        <w:t>Section 5.02</w:t>
      </w:r>
      <w:r>
        <w:rPr>
          <w:rFonts w:ascii="Times New Roman" w:hAnsi="Times New Roman"/>
          <w:sz w:val="20"/>
        </w:rPr>
        <w:t xml:space="preserve"> (as it applies to the preservation of the existence of the Borrower) or </w:t>
      </w:r>
      <w:r>
        <w:rPr>
          <w:rFonts w:ascii="Times New Roman" w:hAnsi="Times New Roman"/>
          <w:sz w:val="20"/>
          <w:u w:val="single"/>
        </w:rPr>
        <w:t>Article 6</w:t>
      </w:r>
      <w:r>
        <w:rPr>
          <w:rFonts w:ascii="Times New Roman" w:hAnsi="Times New Roman"/>
          <w:sz w:val="20"/>
        </w:rPr>
        <w:t xml:space="preserve">; it being understood and agreed that (i) any breach of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is subject to cure as provided in </w:t>
      </w:r>
      <w:r>
        <w:rPr>
          <w:rFonts w:ascii="Times New Roman" w:hAnsi="Times New Roman"/>
          <w:sz w:val="20"/>
          <w:u w:val="single"/>
        </w:rPr>
        <w:t>Section 6.15(c)</w:t>
      </w:r>
      <w:r>
        <w:rPr>
          <w:rFonts w:ascii="Times New Roman" w:hAnsi="Times New Roman"/>
          <w:sz w:val="20"/>
        </w:rPr>
        <w:t xml:space="preserve">, and (ii) no Event of Default may arise under </w:t>
      </w:r>
      <w:r>
        <w:rPr>
          <w:rFonts w:ascii="Times New Roman" w:hAnsi="Times New Roman"/>
          <w:sz w:val="20"/>
          <w:u w:val="single"/>
        </w:rPr>
        <w:t>Section 6.15(a)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until the 15th Business Day after the day on which financial statements are required to be delivered for the relevant Fiscal Quarter under </w:t>
      </w:r>
      <w:r>
        <w:rPr>
          <w:rFonts w:ascii="Times New Roman" w:hAnsi="Times New Roman"/>
          <w:sz w:val="20"/>
          <w:u w:val="single"/>
        </w:rPr>
        <w:t>Sections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(unless the Cure Right has previously been exercised five times over the life of this Agreement and/or the Cure Right has previously been exercised twice in the applicable four consecutive Fiscal Quarter period), and then only to the extent the Cure Amount has not been received on or prior to such 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Breach of Representations, Etc</w:t>
      </w:r>
      <w:r>
        <w:rPr>
          <w:rFonts w:ascii="Times New Roman" w:hAnsi="Times New Roman"/>
          <w:sz w:val="20"/>
        </w:rPr>
        <w:t xml:space="preserve">.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(subject, in the case of any representation, warranty or certification that is capable of being cured, to a grace period of 30 days after the earlier of (i) the Borrower’s knowledge thereof or (ii) the receipt by the Borrower of written notice thereof from the Administrative Agent); it being understood and agreed that any breach of any representation, warranty or certification resulting from the failure of the Administrative Agent to file any Uniform Commercial Code continuation statement or the failure of the Administrative Agent to maintain possession of any Collateral actually delivered to it shall not result in an Event of Default under this </w:t>
      </w:r>
      <w:r>
        <w:rPr>
          <w:rFonts w:ascii="Times New Roman" w:hAnsi="Times New Roman"/>
          <w:sz w:val="20"/>
          <w:u w:val="single"/>
        </w:rPr>
        <w:t>Section 7.01(d)</w:t>
      </w:r>
      <w:r>
        <w:rPr>
          <w:rFonts w:ascii="Times New Roman" w:hAnsi="Times New Roman"/>
          <w:sz w:val="20"/>
        </w:rPr>
        <w:t xml:space="preserve"> or any other provision of any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Defaults under Loan Documents</w:t>
      </w:r>
      <w:r>
        <w:rPr>
          <w:rFonts w:ascii="Times New Roman" w:hAnsi="Times New Roman"/>
          <w:sz w:val="20"/>
        </w:rPr>
        <w:t xml:space="preserve">. Default by any Loan Party in the performance of or compliance with any term contained herein or any of the other Loan Documents, other than any such term referred to in any other section of this </w:t>
      </w:r>
      <w:r>
        <w:rPr>
          <w:rFonts w:ascii="Times New Roman" w:hAnsi="Times New Roman"/>
          <w:sz w:val="20"/>
          <w:u w:val="single"/>
        </w:rPr>
        <w:t>Article 7</w:t>
      </w:r>
      <w:r>
        <w:rPr>
          <w:rFonts w:ascii="Times New Roman" w:hAnsi="Times New Roman"/>
          <w:sz w:val="20"/>
        </w:rPr>
        <w:t xml:space="preserve">, which default has not been remedied or waived within 30 days after the earlier of (i) the Borrower’s actual knowledge thereof and (ii) receipt by the Borrower of written notice thereof from the Administrative Agent; 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Involuntary Bankruptcy; Appointment of Receiver, Etc</w:t>
      </w:r>
      <w:r>
        <w:rPr>
          <w:rFonts w:ascii="Times New Roman" w:hAnsi="Times New Roman"/>
          <w:sz w:val="20"/>
        </w:rPr>
        <w:t xml:space="preserve">. (i) The entry by a court of competent jurisdiction of a decree or order for relief in respect of Holdings, the Borrower or any Subsidiary (other than any Immaterial Subsidiary) in an involuntary case under any Debtor Relief Law now or hereafter in effect, which decree or order is not stayed; or any other similar relief shall be granted under any applicable federal, state or local Requirements of Law, which relief is not stayed; or (ii) the commencement of an involuntary case against Holdings, the Borrower or any Subsidiary (other than any Immaterial Subsidiary) under any Debtor Relief Law; the entry by a court having jurisdiction in the premises of a decree or order for the appointment of a receiver, receiver and manager, (preliminary) insolvency receiver, liquidator, sequestrator, trustee, administrator, custodian or other officer having similar powers over Holdings, the Borrower or any Subsidiary (other than any Immaterial Subsidiary), or over all or a material part of its property; or the involuntary appointment of an interim receiver, receiver, receiver and manager trustee or other custodian of Holdings, the Borrower or any Subsidiary (other than any Immaterial Subsidiary) for all or a material part of its property, which remains, in any case under this </w:t>
      </w:r>
      <w:r>
        <w:rPr>
          <w:rFonts w:ascii="Times New Roman" w:hAnsi="Times New Roman"/>
          <w:sz w:val="20"/>
          <w:u w:val="single"/>
        </w:rPr>
        <w:t>clause (f)</w:t>
      </w:r>
      <w:r>
        <w:rPr>
          <w:rFonts w:ascii="Times New Roman" w:hAnsi="Times New Roman"/>
          <w:sz w:val="20"/>
        </w:rPr>
        <w:t xml:space="preserve">, undismissed, unvacated, unbounded or unstayed pending appeal for 60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Voluntary Bankruptcy; Appointment of Receiver, Etc</w:t>
      </w:r>
      <w:r>
        <w:rPr>
          <w:rFonts w:ascii="Times New Roman" w:hAnsi="Times New Roman"/>
          <w:sz w:val="20"/>
        </w:rPr>
        <w:t xml:space="preserve">. (i) The entry against Holdings, the Borrower or any Subsidiary (other than any Immaterial Subsidiary) of an order for relief, the commencement by Holdings, the Borrower or any Subsidiary (other than any Immaterial Subsidiary) of a voluntary case under any Debtor Relief Law, or the consent by Holdings, the Borrower or any Subsidiary (other than any Immaterial Subsidiary) to the entry of an order for relief in an involuntary case or to the conversion of an involuntary case to a voluntary case, under any Debtor Relief Law, or the consent by Holdings, the Borrower or any Subsidiary (other than any Immaterial Subsidiary) to the appointment of or taking possession by a receiver, receiver and manager, insolvency receiver, liquidator, sequestrator, trustee, administrator, custodian or other like official for or in respect of itself or for all or a material part of its property; (ii) the making by Holdings, the Borrower or any Subsidiary (other than any Immaterial Subsidiary) of a general assignment for the benefit of creditors; or (iii) the admission by Holdings, the Borrower or any Subsidiary (other than any Immaterial Subsidiary) in writing of its inability to pay its debts as such debts become due; or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Judgments and Attachments</w:t>
      </w:r>
      <w:r>
        <w:rPr>
          <w:rFonts w:ascii="Times New Roman" w:hAnsi="Times New Roman"/>
          <w:sz w:val="20"/>
        </w:rPr>
        <w:t xml:space="preserve">. The entry or filing of one or more final money judgments, writs or warrants of attachment or similar process against Holdings, the Borrower or any Subsidiary or any of their respective assets involving in the aggregate at any time an amount in excess of the Threshold Amount (in either case to the extent not adequately covered by indemnity from a third party, by self-insurance (if applicable) or by insurance as to which the relevant third party insurance company has been notified and not denied coverage), which judgment, writ, warrant or similar process remains unpaid, undischarged, unvacated, unbonded or unstayed pending appeal for a period of 60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Employee Benefit Plans</w:t>
      </w:r>
      <w:r>
        <w:rPr>
          <w:rFonts w:ascii="Times New Roman" w:hAnsi="Times New Roman"/>
          <w:sz w:val="20"/>
        </w:rPr>
        <w:t xml:space="preserve">. The occurrence of one or more ERISA Events which has, individually or in the aggregate resulted or would reasonably be expected to result in liability of Holdings, the Borrower or any of its Subsidiaries in an aggregate amount which would reasonably be expected to result in a Material Adverse Effect;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Control</w:t>
      </w:r>
      <w:r>
        <w:rPr>
          <w:rFonts w:ascii="Times New Roman" w:hAnsi="Times New Roman"/>
          <w:sz w:val="20"/>
        </w:rPr>
        <w:t xml:space="preserve">. The occurrence of a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Guaranties, Collateral Documents and Other Loan Documents</w:t>
      </w:r>
      <w:r>
        <w:rPr>
          <w:rFonts w:ascii="Times New Roman" w:hAnsi="Times New Roman"/>
          <w:sz w:val="20"/>
        </w:rPr>
        <w:t xml:space="preserve">. At any time after the execution and delivery thereof, (i) any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the Security Agreement or any material Collateral Document ceases to be in full force and effect or shall be declared, by a court of competent jurisdiction, to be null and void or any Lien on a material portion of the Collateral created under any Collateral Document ceases to be perfected with respect to a material portion of the Collateral (other than (A) Collateral consisting of Material Real Estate Assets to the extent that the relevant losses are covered by a lender’s title insurance policy and such insurer has not denied coverage or (B) solely by reason of (w) such perfection not being required pursuant to the Collateral and Guarantee Requirement, the Collateral Documents, this Agreement or otherwise, (x) the failure of the Administrative Agent to maintain possession of any Collateral actually delivered to it or the failure of the Administrative Agent to file Uniform Commercial Code continuation statements, (y) a release of Collateral in accordance with the terms hereof or thereof or (z) the occurrence of the Termination Date or any other termination of such Collateral Document in accordance with the terms thereof) or (iii) other than in any bona fide, good faith dispute as to the scope of Collateral or whether any Lien has been, or is required to be released, any Loan Party shall contest in writing, the validity or enforceability of any material provision of any Loan Document (or any Lien purported to be created by the Collateral Documents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continuation statement and/or maintain possession of any physical Collateral shall not result in an Event of Default under this </w:t>
      </w:r>
      <w:r>
        <w:rPr>
          <w:rFonts w:ascii="Times New Roman" w:hAnsi="Times New Roman"/>
          <w:sz w:val="20"/>
          <w:u w:val="single"/>
        </w:rPr>
        <w:t>Section 7.01(k)</w:t>
      </w:r>
      <w:r>
        <w:rPr>
          <w:rFonts w:ascii="Times New Roman" w:hAnsi="Times New Roman"/>
          <w:sz w:val="20"/>
        </w:rPr>
        <w:t xml:space="preserve"> or any other provision of any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Subordination</w:t>
      </w:r>
      <w:r>
        <w:rPr>
          <w:rFonts w:ascii="Times New Roman" w:hAnsi="Times New Roman"/>
          <w:sz w:val="20"/>
        </w:rPr>
        <w:t xml:space="preserve">. The Obligations ceasing or the assertion in writing by any Loan Party that the Obligations cease to constitute senior indebtedness under the subordination provisions of any document or instrument evidencing any Restricted Debt in an amount in excess of the Threshold Amount or any such subordination provision being invalidated by a court of competent jurisdiction in a final non-appealable order, or otherwise ceasing, for any reason, to be valid, binding and enforceable obligations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(x) an event described in </w:t>
      </w:r>
      <w:r>
        <w:rPr>
          <w:rFonts w:ascii="Times New Roman" w:hAnsi="Times New Roman"/>
          <w:sz w:val="20"/>
          <w:u w:val="single"/>
        </w:rPr>
        <w:t>clause (f)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w:t>
      </w:r>
      <w:r>
        <w:rPr>
          <w:rFonts w:ascii="Times New Roman" w:hAnsi="Times New Roman"/>
          <w:sz w:val="20"/>
          <w:u w:val="single"/>
        </w:rPr>
        <w:t>Article 7</w:t>
      </w:r>
      <w:r>
        <w:rPr>
          <w:rFonts w:ascii="Times New Roman" w:hAnsi="Times New Roman"/>
          <w:sz w:val="20"/>
        </w:rPr>
        <w:t xml:space="preserve">), and at any time thereafter during the continuance of such event, the Administrative Agent may, and at the request of the Required Lenders shall, by notice to the Borrower, take any of the following actions, at the same or different times: (i) terminate the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deposits in the LC Collateral Account an additional amount in Cash as reasonably requested by the Issuing Banks (not the exceed 101% of the relevant face amount) of the then outstanding LC Exposure (minus the amount then on deposit in the LC Collateral Account); </w:t>
      </w:r>
      <w:r>
        <w:rPr>
          <w:rFonts w:ascii="Times New Roman" w:hAnsi="Times New Roman"/>
          <w:sz w:val="20"/>
          <w:u w:val="single"/>
        </w:rPr>
        <w:t>provided</w:t>
      </w:r>
      <w:r>
        <w:rPr>
          <w:rFonts w:ascii="Times New Roman" w:hAnsi="Times New Roman"/>
          <w:sz w:val="20"/>
        </w:rPr>
        <w:t xml:space="preserve">, that upon the occurrence of an event described in </w:t>
      </w:r>
      <w:r>
        <w:rPr>
          <w:rFonts w:ascii="Times New Roman" w:hAnsi="Times New Roman"/>
          <w:sz w:val="20"/>
          <w:u w:val="single"/>
        </w:rPr>
        <w:t>clauses (f)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w:t>
      </w:r>
      <w:r>
        <w:rPr>
          <w:rFonts w:ascii="Times New Roman" w:hAnsi="Times New Roman"/>
          <w:sz w:val="20"/>
          <w:u w:val="single"/>
        </w:rPr>
        <w:t>Article 7</w:t>
      </w:r>
      <w:r>
        <w:rPr>
          <w:rFonts w:ascii="Times New Roman" w:hAnsi="Times New Roman"/>
          <w:sz w:val="20"/>
        </w:rPr>
        <w:t xml:space="preserv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to Cash collateralize the outstanding Letters of Credit as aforesaid shall automatically become effective, in each case, without further action of the Administrative Agent or any Lender. Notwithstanding anything to the contrary contained herein, solely upon the acceleration of the Revolving Facility, the Administrative Agent may (and at the direction of the Required Lenders, shall) exercise any rights and remedies provided to the Administrative Agent under the Loan Documents or at law or equity, including all remedies provided under the UCC. </w:t>
      </w:r>
    </w:p>
    <w:p>
      <w:pPr>
        <w:pStyle w:val="TextBody"/>
        <w:bidi w:val="0"/>
        <w:spacing w:before="240" w:after="0"/>
        <w:jc w:val="center"/>
        <w:rPr>
          <w:rFonts w:ascii="Times New Roman" w:hAnsi="Times New Roman"/>
          <w:sz w:val="21"/>
        </w:rPr>
      </w:pPr>
      <w:r>
        <w:rPr>
          <w:rFonts w:ascii="Times New Roman" w:hAnsi="Times New Roman"/>
          <w:sz w:val="21"/>
        </w:rPr>
        <w:t xml:space="preserve">ARTICLE 8 </w:t>
      </w:r>
    </w:p>
    <w:p>
      <w:pPr>
        <w:pStyle w:val="TextBody"/>
        <w:bidi w:val="0"/>
        <w:spacing w:before="240" w:after="0"/>
        <w:jc w:val="center"/>
        <w:rPr>
          <w:rFonts w:ascii="Times New Roman" w:hAnsi="Times New Roman"/>
          <w:sz w:val="20"/>
        </w:rPr>
      </w:pPr>
      <w:r>
        <w:rPr>
          <w:rFonts w:ascii="Times New Roman" w:hAnsi="Times New Roman"/>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Appointment and Authorization of Administrative Agent</w:t>
      </w:r>
      <w:r>
        <w:rPr>
          <w:rFonts w:ascii="Times New Roman" w:hAnsi="Times New Roman"/>
          <w:sz w:val="20"/>
        </w:rPr>
        <w:t xml:space="preserve">. Each of the Lenders and the Issuing Banks, each, on behalf of itself and its applicable Affiliates and in their respective capacities as such and as Hedge Banks and/or Cash Management Banks, as applicable, hereby irrevocably appoints KeyBank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The Administrative Agent shall also act as the “collateral agent” under the Loan Documents, and each of the Lenders (including in its capacities as a potential Hedge Bank and a potential Cash Management Bank) and Issuing Bank hereby irrevocably appoints and authorizes the Administrative Agent to act as the agent of such Lender and Issuing Bank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hAnsi="Times New Roman"/>
          <w:sz w:val="20"/>
          <w:u w:val="single"/>
        </w:rPr>
        <w:t>Section 8.06</w:t>
      </w:r>
      <w:r>
        <w:rPr>
          <w:rFonts w:ascii="Times New Roman" w:hAnsi="Times New Roman"/>
          <w:sz w:val="20"/>
        </w:rPr>
        <w:t xml:space="preserve"> for purposes of holding or enforcing any Lien on the Collateral (or any portion thereof granted under the Loan Documents, or for exercising any rights and remedies thereunder at the direction of the Administrative Agent), shall be entitled to the benefits of all provisions of this </w:t>
      </w:r>
      <w:r>
        <w:rPr>
          <w:rFonts w:ascii="Times New Roman" w:hAnsi="Times New Roman"/>
          <w:sz w:val="20"/>
          <w:u w:val="single"/>
        </w:rPr>
        <w:t>Article 8</w:t>
      </w:r>
      <w:r>
        <w:rPr>
          <w:rFonts w:ascii="Times New Roman" w:hAnsi="Times New Roman"/>
          <w:sz w:val="20"/>
        </w:rPr>
        <w:t xml:space="preserve"> and </w:t>
      </w:r>
      <w:r>
        <w:rPr>
          <w:rFonts w:ascii="Times New Roman" w:hAnsi="Times New Roman"/>
          <w:sz w:val="20"/>
          <w:u w:val="single"/>
        </w:rPr>
        <w:t>Article 9</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as a Lender</w:t>
      </w:r>
      <w:r>
        <w:rPr>
          <w:rFonts w:ascii="Times New Roman" w:hAnsi="Times New Roman"/>
          <w:sz w:val="20"/>
        </w:rPr>
        <w:t xml:space="preserve">. Any Person serving as Administrative Agent hereunder shall have the same rights and powers in its capacity as a Lender as any other Lender and may exercise the same as though it were not the Administrative Agent, and the term “Lender” or “Lenders” shall, unless otherwise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any Loan Party or such Affiliate) and acknowledge that the Administrative Agent shall not be under any obligation to provide such information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Exculpatory Provisions</w:t>
      </w:r>
      <w:r>
        <w:rPr>
          <w:rFonts w:ascii="Times New Roman" w:hAnsi="Times New Roman"/>
          <w:sz w:val="20"/>
        </w:rPr>
        <w:t xml:space="preserve">. The Administrative Agent shall not have any duties or obligations except those expressly set forth in the Loan Documents, and its duties hereunder shall be administrative in nature.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 or permissive rights, except discretionary rights and powers that are expressly contemplated by the Loan Documents and which the Administrative Agent is required to exercise in writing as directed by the Required Lenders (or such other number or percentage of the Lenders as shall be necessary under the relevant circumstances as provided in </w:t>
      </w:r>
      <w:r>
        <w:rPr>
          <w:rFonts w:ascii="Times New Roman" w:hAnsi="Times New Roman"/>
          <w:sz w:val="20"/>
          <w:u w:val="single"/>
        </w:rPr>
        <w:t>Section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(c) except for notices, reports and other documents as expressly set forth in the Loan Documents, shall not have any duty or responsibility to disclose, and shall not be liable for the failure to disclose, to any Lender or any Issuing Bank, any credit or other information concerning the business, prospects, operations, property, financial and other condition of creditworthiness of any of the Loan Parties or their respective Affiliates that is communicated to, obtained or in the possession of, the Administrative Agent, the Arrangers or any of their Related Parties in any capacity, except for notices, reports and other documents expressly required to be furnished to the Lenders by the Administrative Agent herein; </w:t>
      </w:r>
    </w:p>
    <w:p>
      <w:pPr>
        <w:pStyle w:val="TextBody"/>
        <w:bidi w:val="0"/>
        <w:spacing w:before="240" w:after="0"/>
        <w:jc w:val="left"/>
        <w:rPr>
          <w:rFonts w:ascii="Times New Roman" w:hAnsi="Times New Roman"/>
          <w:sz w:val="20"/>
        </w:rPr>
      </w:pPr>
      <w:r>
        <w:rPr>
          <w:rFonts w:ascii="Times New Roman" w:hAnsi="Times New Roman"/>
          <w:sz w:val="20"/>
        </w:rPr>
        <w:t xml:space="preserve">(d) shall not be liable to the Lenders or any other Secured Party for any action taken or not taken by it with the consent or at the request of the Required Lenders (or such other number or percentage of the Lenders as is necessary, or as the Administrative Agent believes in good faith shall be necessary, under the relevant circumstances as provided in </w:t>
      </w:r>
      <w:r>
        <w:rPr>
          <w:rFonts w:ascii="Times New Roman" w:hAnsi="Times New Roman"/>
          <w:sz w:val="20"/>
          <w:u w:val="single"/>
        </w:rPr>
        <w:t>Section 9.02</w:t>
      </w:r>
      <w:r>
        <w:rPr>
          <w:rFonts w:ascii="Times New Roman" w:hAnsi="Times New Roman"/>
          <w:sz w:val="20"/>
        </w:rPr>
        <w:t xml:space="preserve">) or in the absence of its own gross negligence or willful misconduct, as determined by the final non-appealable judgment of a court of competent jurisdiction, in connection with its duties expressly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(e) shall not be deemed to have knowledge of any Default or Event of Default unless and until written notice thereof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Times New Roman" w:hAnsi="Times New Roman"/>
          <w:sz w:val="20"/>
          <w:u w:val="single"/>
        </w:rPr>
        <w:t>Article 4</w:t>
      </w:r>
      <w:r>
        <w:rPr>
          <w:rFonts w:ascii="Times New Roman" w:hAnsi="Times New Roman"/>
          <w:sz w:val="20"/>
        </w:rPr>
        <w:t xml:space="preserve"> or elsewhere in any Loan Document, other than to confirm receipt of items expressly required to be delivered to the Administrative Agent, or (vii) any property, book or record of any Loan Party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Exclusive Right to Enforce Rights and Remedies</w:t>
      </w:r>
      <w:r>
        <w:rPr>
          <w:rFonts w:ascii="Times New Roman" w:hAnsi="Times New Roman"/>
          <w:sz w:val="20"/>
        </w:rPr>
        <w:t xml:space="preserve">. Notwithstanding anything to the contrary contained herein or in any of the other Loan Documents, each Loan Party, the Administrative Agent and each Secured Party agree that: </w:t>
      </w:r>
    </w:p>
    <w:p>
      <w:pPr>
        <w:pStyle w:val="TextBody"/>
        <w:bidi w:val="0"/>
        <w:spacing w:before="240" w:after="0"/>
        <w:jc w:val="left"/>
        <w:rPr>
          <w:rFonts w:ascii="Times New Roman" w:hAnsi="Times New Roman"/>
          <w:sz w:val="20"/>
        </w:rPr>
      </w:pPr>
      <w:r>
        <w:rPr>
          <w:rFonts w:ascii="Times New Roman" w:hAnsi="Times New Roman"/>
          <w:sz w:val="20"/>
        </w:rPr>
        <w:t xml:space="preserve">(a) No Secured Party shall have any right individually to realize upon any of the Collateral or to enforce the Loan Guaranty; it being understood that any right to realize upon the Collateral or to enforce the Loan Guaranty pursuant hereto or pursuant to any other Loan Document may be exercised solely by the Administrative Agent on behalf of the Secured Parties in accordance with the terms hereof or thereof, and (ii)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or other Disposition, to use and apply all or any portion of the Obligations as a credit on account of the purchase price for any Collateral payable by the Administrative Agent at such sale or other Disposition and (B) the Administrative Agent or any Lender may be the purchaser or licensor of all or any portion of such Collateral at any such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holder of any Secured Hedging Obligation or Banking Services Obligation in its respective capacity as such shall have any rights in connection with the management or release of any Collateral or of the obligations of any Loan Party under this Agreement. Notwithstanding any other provision of this </w:t>
      </w:r>
      <w:r>
        <w:rPr>
          <w:rFonts w:ascii="Times New Roman" w:hAnsi="Times New Roman"/>
          <w:sz w:val="20"/>
          <w:u w:val="single"/>
        </w:rPr>
        <w:t>Article 8</w:t>
      </w:r>
      <w:r>
        <w:rPr>
          <w:rFonts w:ascii="Times New Roman" w:hAnsi="Times New Roman"/>
          <w:sz w:val="20"/>
        </w:rPr>
        <w:t xml:space="preserve"> to the contrary, the Administrative Agent shall not be required to verify the payment of, or that other satisfactory arrangements have been made with respect to Banking Service Obligations and/or Secured Hedging Obligations unless the Administrative Agent has received written notice of such Banking Service Obligations and/or Secured Hedging Obligations, together with such supporting documentation as the Administrative Agent may request, from the applicable holder of any Secured Hedging Obligation or Banking Services Obligation, as the case may be; and </w:t>
      </w:r>
    </w:p>
    <w:p>
      <w:pPr>
        <w:pStyle w:val="TextBody"/>
        <w:bidi w:val="0"/>
        <w:spacing w:before="240" w:after="0"/>
        <w:jc w:val="left"/>
        <w:rPr>
          <w:rFonts w:ascii="Times New Roman" w:hAnsi="Times New Roman"/>
          <w:sz w:val="20"/>
        </w:rPr>
      </w:pPr>
      <w:r>
        <w:rPr>
          <w:rFonts w:ascii="Times New Roman" w:hAnsi="Times New Roman"/>
          <w:sz w:val="20"/>
        </w:rPr>
        <w:t xml:space="preserve">(c) Each Secured Party agrees that the Administrative Agent may in its sole discretion, but is under no obligation to, credit bid all or any part of the Secured Obligations or to purchase or retain or acquire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or Issuing Bank unless the Administrative Agent has received notice to the contrary from such Lender or Issuing Bank prior to the making of such Loan ore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Delegation of Duties</w:t>
      </w:r>
      <w:r>
        <w:rPr>
          <w:rFonts w:ascii="Times New Roman" w:hAnsi="Times New Roman"/>
          <w:sz w:val="20"/>
        </w:rPr>
        <w:t xml:space="preserve">. The Administrative Agent may perform any and all of its duties and exercise its rights and powers by or through any one or more sub-agents appointed by it. The Administrative Agent and any such sub-agent may perform any and all of their respective duties and exercise their respective rights and powers through their respective Related Parties. The exculpatory provisions of this </w:t>
      </w:r>
      <w:r>
        <w:rPr>
          <w:rFonts w:ascii="Times New Roman" w:hAnsi="Times New Roman"/>
          <w:sz w:val="20"/>
          <w:u w:val="single"/>
        </w:rPr>
        <w:t>Article 8</w:t>
      </w:r>
      <w:r>
        <w:rPr>
          <w:rFonts w:ascii="Times New Roman" w:hAnsi="Times New Roman"/>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Successor Administrative Agent</w:t>
      </w:r>
      <w:r>
        <w:rPr>
          <w:rFonts w:ascii="Times New Roman" w:hAnsi="Times New Roman"/>
          <w:sz w:val="20"/>
        </w:rPr>
        <w:t xml:space="preserve">. The Administrative Agent may resign at any time by giving ten days’ written notice to the Lenders, the Issuing Banks and the Borrower; </w:t>
      </w:r>
      <w:r>
        <w:rPr>
          <w:rFonts w:ascii="Times New Roman" w:hAnsi="Times New Roman"/>
          <w:sz w:val="20"/>
          <w:u w:val="single"/>
        </w:rPr>
        <w:t>provided</w:t>
      </w:r>
      <w:r>
        <w:rPr>
          <w:rFonts w:ascii="Times New Roman" w:hAnsi="Times New Roman"/>
          <w:sz w:val="20"/>
        </w:rPr>
        <w:t>, that if no successor agent is appointed in accordance with the terms set forth below within such 10-day period, the Administrative Agent’s resignation shall not be effective until the earlier to occur of (x) the date of the appointment of the successor agent or (y) the date that is 20 days after the last day of such 10-day period (or such earlier day as shall be agreed by the Required Lenders) (“</w:t>
      </w:r>
      <w:r>
        <w:rPr>
          <w:rFonts w:ascii="Times New Roman" w:hAnsi="Times New Roman"/>
          <w:sz w:val="20"/>
          <w:u w:val="single"/>
        </w:rPr>
        <w:t>Resignation Effective Date</w:t>
      </w:r>
      <w:r>
        <w:rPr>
          <w:rFonts w:ascii="Times New Roman" w:hAnsi="Times New Roman"/>
          <w:sz w:val="20"/>
        </w:rPr>
        <w:t xml:space="preserve">”). If the Administrative Agent is a Defaulting Lender or an Affiliate of a Defaulting Lender, either the Required Lenders or the Borrower, as applicable, may, upon ten days’ notice, remove the Administrative Agent; </w:t>
      </w:r>
      <w:r>
        <w:rPr>
          <w:rFonts w:ascii="Times New Roman" w:hAnsi="Times New Roman"/>
          <w:sz w:val="20"/>
          <w:u w:val="single"/>
        </w:rPr>
        <w:t>provided</w:t>
      </w:r>
      <w:r>
        <w:rPr>
          <w:rFonts w:ascii="Times New Roman" w:hAnsi="Times New Roman"/>
          <w:sz w:val="20"/>
        </w:rPr>
        <w:t>, that if no successor agent is appointed in accordance with the terms set forth below within such 10-day period, the Administrative Agent’s removal shall, at the option of the Borrower, not be effective until the earlier to occur of (x) the date of the appointment of the successor agent or (y) the date that is 20 days after the last day of such 10-day period (or such earlier day as shall be agreed by the Required Lenders) (“</w:t>
      </w:r>
      <w:r>
        <w:rPr>
          <w:rFonts w:ascii="Times New Roman" w:hAnsi="Times New Roman"/>
          <w:sz w:val="20"/>
          <w:u w:val="single"/>
        </w:rPr>
        <w:t>Removal Effective Date</w:t>
      </w:r>
      <w:r>
        <w:rPr>
          <w:rFonts w:ascii="Times New Roman" w:hAnsi="Times New Roman"/>
          <w:sz w:val="20"/>
        </w:rPr>
        <w:t xml:space="preserve">”). Upon receipt of any such notice of resignation or delivery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notice of removal, the Required Lenders shall have the right, with the consent of the Borrower (not to be unreasonably withheld or delayed), to appoint a successor Administrative Agent which shall be a commercial bank or trust company with offices in the U.S. having, in the case of a commercial bank, combined capital and surplus in excess of $1,000,000,000; </w:t>
      </w:r>
      <w:r>
        <w:rPr>
          <w:rFonts w:ascii="Times New Roman" w:hAnsi="Times New Roman"/>
          <w:sz w:val="20"/>
          <w:u w:val="single"/>
        </w:rPr>
        <w:t>provided</w:t>
      </w:r>
      <w:r>
        <w:rPr>
          <w:rFonts w:ascii="Times New Roman" w:hAnsi="Times New Roman"/>
          <w:sz w:val="20"/>
        </w:rPr>
        <w:t xml:space="preserve">, that during the existence and continuation of an Event of Default under </w:t>
      </w:r>
      <w:r>
        <w:rPr>
          <w:rFonts w:ascii="Times New Roman" w:hAnsi="Times New Roman"/>
          <w:sz w:val="20"/>
          <w:u w:val="single"/>
        </w:rPr>
        <w:t>Section 7.01(a)</w:t>
      </w:r>
      <w:r>
        <w:rPr>
          <w:rFonts w:ascii="Times New Roman" w:hAnsi="Times New Roman"/>
          <w:sz w:val="20"/>
        </w:rPr>
        <w:t xml:space="preserve"> or, with respect to the Borrower, </w:t>
      </w:r>
      <w:r>
        <w:rPr>
          <w:rFonts w:ascii="Times New Roman" w:hAnsi="Times New Roman"/>
          <w:sz w:val="20"/>
          <w:u w:val="single"/>
        </w:rPr>
        <w:t>Sections 7.01(f)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no consent of the Borrower shall be required. If no successor has been appointed as provided above and accepted such appointment within ten days after the retiring Administrative Agent gives notice of its resignation or the Administrative Agent receives notice of removal, then (a) in the case of a retirement, the retiring Administrative Agent may (but shall not be obligated to), on behalf of the Lenders and the Issuing Banks, appoint a successor Administrative Agent meeting the qualifications set forth above (including, for the avoidance of doubt, the consent of the Borrower) or (b) in the case of a removal, the Borrower may, after consulting with the Required Lenders, appoint a successor Administrative Agent meeting the qualifications set forth above; </w:t>
      </w:r>
      <w:r>
        <w:rPr>
          <w:rFonts w:ascii="Times New Roman" w:hAnsi="Times New Roman"/>
          <w:sz w:val="20"/>
          <w:u w:val="single"/>
        </w:rPr>
        <w:t>provided</w:t>
      </w:r>
      <w:r>
        <w:rPr>
          <w:rFonts w:ascii="Times New Roman" w:hAnsi="Times New Roman"/>
          <w:sz w:val="20"/>
        </w:rPr>
        <w:t xml:space="preserve">, that (x) in the case of a retirement, if the Administrative Agent notifies the Borrower, the Lenders and the Issuing Banks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the provisos to the first two sentences in this paragraph on the Resignation Effective Date or the Removal Effective Date, as the case may be.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retiring Administrative Agent shall continue to hold such collateral security until such time as a successor Administrative Agent is appointed) and (ii) 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Times New Roman" w:hAnsi="Times New Roman"/>
          <w:sz w:val="20"/>
          <w:u w:val="single"/>
        </w:rPr>
        <w:t>Article 8</w:t>
      </w:r>
      <w:r>
        <w:rPr>
          <w:rFonts w:ascii="Times New Roman" w:hAnsi="Times New Roman"/>
          <w:sz w:val="20"/>
        </w:rPr>
        <w:t xml:space="preserve">. Upon the acceptance of its appointment as Administrative Agent hereunder as a successor Administrative Agent, the successor Administrative Agent shall succeed to and become vested with all the rights, powers, privileges and duties of the retiring or removed Administrative Agent (other than any rights to indemnity payments owed to the retiring Administrative Agent), and the retiring or removed Administrative Agent shall be discharged from its duties and obligations hereunder (other than its obligations under </w:t>
      </w:r>
      <w:r>
        <w:rPr>
          <w:rFonts w:ascii="Times New Roman" w:hAnsi="Times New Roman"/>
          <w:sz w:val="20"/>
          <w:u w:val="single"/>
        </w:rPr>
        <w:t>Section 9.13</w:t>
      </w:r>
      <w:r>
        <w:rPr>
          <w:rFonts w:ascii="Times New Roman" w:hAnsi="Times New Roman"/>
          <w:sz w:val="20"/>
        </w:rPr>
        <w:t xml:space="preserve"> hereof). Any resignation by or removal of an Administrative Agent shall also constitute the resignation or removal as Swingline Lender and as an Issuing Bank by the Lender then acting as Administrative Agent, in each case as more fully set forth in </w:t>
      </w:r>
      <w:r>
        <w:rPr>
          <w:rFonts w:ascii="Times New Roman" w:hAnsi="Times New Roman"/>
          <w:sz w:val="20"/>
          <w:u w:val="single"/>
        </w:rPr>
        <w:t>Section 2.04</w:t>
      </w:r>
      <w:r>
        <w:rPr>
          <w:rFonts w:ascii="Times New Roman" w:hAnsi="Times New Roman"/>
          <w:sz w:val="20"/>
        </w:rPr>
        <w:t xml:space="preserve"> and </w:t>
      </w:r>
      <w:r>
        <w:rPr>
          <w:rFonts w:ascii="Times New Roman" w:hAnsi="Times New Roman"/>
          <w:sz w:val="20"/>
          <w:u w:val="single"/>
        </w:rPr>
        <w:t>Section 2.05</w:t>
      </w:r>
      <w:r>
        <w:rPr>
          <w:rFonts w:ascii="Times New Roman" w:hAnsi="Times New Roman"/>
          <w:sz w:val="20"/>
        </w:rPr>
        <w:t xml:space="preserve">, respectively. Upon the acceptance of a successor’s appointment as Administrative Agent hereunder, (i) the resigning Administrative Agent shall be discharged from all duties and obligations of an Issuing Bank and the Swingline Lender hereunder and under the other Loan Documents and (ii) any successor Issuing Bank shall issue letters of credit in substitution for all Letters of Credit issued by the resigning Administrative Agent as Issuing Bank outstanding at the time of such succession (which letters of credit issued in substitution shall be deemed to be Letters of Credit issued hereunder) or make other arrangements reasonably satisfactory to the resigning Administrative Agent to effectively assume the obligations of the resigning Administrative Agent with respect to such Letters of Credit. The fees payable by the Borrower to any successor Administrative Agent shall be the same as those payable to its predecessor unless otherwise agreed between the Borrower and such successor Administrative Agent. After the Administrative Agent’s resignation or removal hereunder, the provisions of this Article and </w:t>
      </w:r>
      <w:r>
        <w:rPr>
          <w:rFonts w:ascii="Times New Roman" w:hAnsi="Times New Roman"/>
          <w:sz w:val="20"/>
          <w:u w:val="single"/>
        </w:rPr>
        <w:t>Section 9.03</w:t>
      </w:r>
      <w:r>
        <w:rPr>
          <w:rFonts w:ascii="Times New Roman" w:hAnsi="Times New Roman"/>
          <w:sz w:val="20"/>
        </w:rPr>
        <w:t xml:space="preserve"> shall continue in effect for the benefit of such retiring or removed Administrative Agent, its sub-agents and their respective Related Parties in respect of any action taken or omitted to be taken by any of them while the relevant Person was acting as Administrative Agent (including for this purpose holding any collateral security following the retirement or removal of the Administrative Agent). Notwithstanding anything to the contrary herein, no Disqualified Institution (nor any Affiliate thereof) may be appointed as a successor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Non-Reliance on Administrative Agent, the Arrangers and the other Lenders</w:t>
      </w:r>
      <w:r>
        <w:rPr>
          <w:rFonts w:ascii="Times New Roman" w:hAnsi="Times New Roman"/>
          <w:sz w:val="20"/>
        </w:rPr>
        <w:t xml:space="preserve">. Each Lender and each Issuing Bank expressly acknowledges that none of the Administrative Agent nor the Arrangers has made any representation or warranty to it, and that no act by the Administrative Agent or the Arrangers hereafter taken including any consent to, and acceptance of any assignment or review of the affairs of any Loan Party or any Affiliate thereof, shall be deemed to constitute any representation or warranty by the Administrative Agent or the Arrangers to any Lender or Issuing Bank as to any matter, including whether the Administrative Agent or the Arrangers have disclosed material information in their (or their Related Parties’) possession. Each Lender and each Issuing Bank represents to the Administrative Agent and the Arrangers that it has, independently and without reliance upon the Administrative Agent, the Arrangers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or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for the benefit of the Administrative Agent and no other Person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12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Collateral and Guaranty Matters</w:t>
      </w:r>
      <w:r>
        <w:rPr>
          <w:rFonts w:ascii="Times New Roman" w:hAnsi="Times New Roman"/>
          <w:sz w:val="20"/>
        </w:rPr>
        <w:t xml:space="preserve">. Each Secured Party irrevocably authorizes and instructs the Administrative Agent to, and the Administrative Agent shall: </w:t>
      </w:r>
    </w:p>
    <w:p>
      <w:pPr>
        <w:pStyle w:val="TextBody"/>
        <w:bidi w:val="0"/>
        <w:spacing w:before="240" w:after="0"/>
        <w:jc w:val="left"/>
        <w:rPr>
          <w:rFonts w:ascii="Times New Roman" w:hAnsi="Times New Roman"/>
          <w:sz w:val="20"/>
        </w:rPr>
      </w:pPr>
      <w:r>
        <w:rPr>
          <w:rFonts w:ascii="Times New Roman" w:hAnsi="Times New Roman"/>
          <w:sz w:val="20"/>
        </w:rPr>
        <w:t xml:space="preserve">(a) release any Lien on any property granted to or held by the Administrative Agent under any Loan Document (i) upon the occurrence of the Termination Date, (ii) that is sold or to be sold or transferred as part of or in connection with any Disposition permitted under the Loan Documents to a Person that is not a Loan Party, (iii) that does not constitute (or ceases to constitute) Collateral, (iv) if the property subject to such Lien is owned by a Subsidiary Guarantor, upon the release of such Subsidiary Guarantor from its Loan Guaranty otherwise in accordance with the Loan Documents, (v) as required under </w:t>
      </w:r>
      <w:r>
        <w:rPr>
          <w:rFonts w:ascii="Times New Roman" w:hAnsi="Times New Roman"/>
          <w:sz w:val="20"/>
          <w:u w:val="single"/>
        </w:rPr>
        <w:t>clause (d)</w:t>
      </w:r>
      <w:r>
        <w:rPr>
          <w:rFonts w:ascii="Times New Roman" w:hAnsi="Times New Roman"/>
          <w:sz w:val="20"/>
        </w:rPr>
        <w:t xml:space="preserve"> below or (vi) if approved, authorized or ratified in writing by the Required Lenders (or all Lenders if required by </w:t>
      </w:r>
      <w:r>
        <w:rPr>
          <w:rFonts w:ascii="Times New Roman" w:hAnsi="Times New Roman"/>
          <w:sz w:val="20"/>
          <w:u w:val="single"/>
        </w:rPr>
        <w:t>Section 9.02</w:t>
      </w:r>
      <w:r>
        <w:rPr>
          <w:rFonts w:ascii="Times New Roman" w:hAnsi="Times New Roman"/>
          <w:sz w:val="20"/>
        </w:rPr>
        <w:t xml:space="preserve">)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9.22</w:t>
      </w:r>
      <w:r>
        <w:rPr>
          <w:rFonts w:ascii="Times New Roman" w:hAnsi="Times New Roman"/>
          <w:sz w:val="20"/>
        </w:rPr>
        <w:t xml:space="preserve">, release any Subsidiary Guarantor from its obligations under the Loan Guaranty if such Person ceases to be a Subsidiary (or becomes an Excluded Subsidiary as a result of a single transaction or series of related transactions permitted hereunder and the Borrower has requested such Excluded Subsidiary cease to be a Subsidiary Guarantor; </w:t>
      </w:r>
      <w:r>
        <w:rPr>
          <w:rFonts w:ascii="Times New Roman" w:hAnsi="Times New Roman"/>
          <w:sz w:val="20"/>
          <w:u w:val="single"/>
        </w:rPr>
        <w:t>provided</w:t>
      </w:r>
      <w:r>
        <w:rPr>
          <w:rFonts w:ascii="Times New Roman" w:hAnsi="Times New Roman"/>
          <w:sz w:val="20"/>
        </w:rPr>
        <w:t xml:space="preserve">, that the release of any Subsidiary Guarantor from its obligations under the Loan Guaranty solely as a result of such Subsidiary Guarantor ceasing to be a Subsidiary that is a Wholly-Owned Subsidiary shall only be permitted if, at the time such Subsidiary Guarantor ceases to be a Subsidiary that is a Wholly-Owned Subsidiary, (x) after giving pro forma effect to such transaction, the Borrower (or the other Loan Guarantor owning such Subsidiary Guarantor) shall be automatically and immediately deemed to have made an Investment in such Subsidiary Guarantor on the date of such release in an amount equal to the portion of the fair market value of the Borrower’s or such other Loan Guarantor’s direct or indirect retained ownership in such Subsidiary Guarantor and such Investment shall be permitted hereunder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the transfer of such Subsidiary Guarantor’s equity is to an unaffiliated third party for fair market value (as determined by the Borrower in good faith) or for a bona fide business purpose (as determined by the Borrower in good faith) (it being understood that this proviso shall not limit the release of any Subsidiary Guarantor that otherwise qualifies as an Excluded Subsidiary for reasons other than not constituting a Wholly-Owned Subsidiary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subordinate any Lien on any property granted to or held by the Administrative Agent under any Loan Document to the holder of any Lien on such property that is permitted by </w:t>
      </w:r>
      <w:r>
        <w:rPr>
          <w:rFonts w:ascii="Times New Roman" w:hAnsi="Times New Roman"/>
          <w:sz w:val="20"/>
          <w:u w:val="single"/>
        </w:rPr>
        <w:t>Sections 6.02(d)</w:t>
      </w:r>
      <w:r>
        <w:rPr>
          <w:rFonts w:ascii="Times New Roman" w:hAnsi="Times New Roman"/>
          <w:sz w:val="20"/>
        </w:rPr>
        <w:t xml:space="preserve">, </w:t>
      </w:r>
      <w:r>
        <w:rPr>
          <w:rFonts w:ascii="Times New Roman" w:hAnsi="Times New Roman"/>
          <w:sz w:val="20"/>
          <w:u w:val="single"/>
        </w:rPr>
        <w:t>6.02(e)</w:t>
      </w:r>
      <w:r>
        <w:rPr>
          <w:rFonts w:ascii="Times New Roman" w:hAnsi="Times New Roman"/>
          <w:sz w:val="20"/>
        </w:rPr>
        <w:t xml:space="preserve">, </w:t>
      </w:r>
      <w:r>
        <w:rPr>
          <w:rFonts w:ascii="Times New Roman" w:hAnsi="Times New Roman"/>
          <w:sz w:val="20"/>
          <w:u w:val="single"/>
        </w:rPr>
        <w:t>6.02(g)(i)</w:t>
      </w:r>
      <w:r>
        <w:rPr>
          <w:rFonts w:ascii="Times New Roman" w:hAnsi="Times New Roman"/>
          <w:sz w:val="20"/>
        </w:rPr>
        <w:t xml:space="preserve">, </w:t>
      </w:r>
      <w:r>
        <w:rPr>
          <w:rFonts w:ascii="Times New Roman" w:hAnsi="Times New Roman"/>
          <w:sz w:val="20"/>
          <w:u w:val="single"/>
        </w:rPr>
        <w:t>6.02(l)</w:t>
      </w:r>
      <w:r>
        <w:rPr>
          <w:rFonts w:ascii="Times New Roman" w:hAnsi="Times New Roman"/>
          <w:sz w:val="20"/>
        </w:rPr>
        <w:t xml:space="preserve">, </w:t>
      </w:r>
      <w:r>
        <w:rPr>
          <w:rFonts w:ascii="Times New Roman" w:hAnsi="Times New Roman"/>
          <w:sz w:val="20"/>
          <w:u w:val="single"/>
        </w:rPr>
        <w:t>6.02(k)</w:t>
      </w:r>
      <w:r>
        <w:rPr>
          <w:rFonts w:ascii="Times New Roman" w:hAnsi="Times New Roman"/>
          <w:sz w:val="20"/>
        </w:rPr>
        <w:t xml:space="preserve">, </w:t>
      </w:r>
      <w:r>
        <w:rPr>
          <w:rFonts w:ascii="Times New Roman" w:hAnsi="Times New Roman"/>
          <w:sz w:val="20"/>
          <w:u w:val="single"/>
        </w:rPr>
        <w:t>6.02(m)</w:t>
      </w:r>
      <w:r>
        <w:rPr>
          <w:rFonts w:ascii="Times New Roman" w:hAnsi="Times New Roman"/>
          <w:sz w:val="20"/>
        </w:rPr>
        <w:t xml:space="preserve">, </w:t>
      </w:r>
      <w:r>
        <w:rPr>
          <w:rFonts w:ascii="Times New Roman" w:hAnsi="Times New Roman"/>
          <w:sz w:val="20"/>
          <w:u w:val="single"/>
        </w:rPr>
        <w:t>6.02(n)</w:t>
      </w:r>
      <w:r>
        <w:rPr>
          <w:rFonts w:ascii="Times New Roman" w:hAnsi="Times New Roman"/>
          <w:sz w:val="20"/>
        </w:rPr>
        <w:t xml:space="preserve">, </w:t>
      </w:r>
      <w:r>
        <w:rPr>
          <w:rFonts w:ascii="Times New Roman" w:hAnsi="Times New Roman"/>
          <w:sz w:val="20"/>
          <w:u w:val="single"/>
        </w:rPr>
        <w:t>6.02(o)</w:t>
      </w:r>
      <w:r>
        <w:rPr>
          <w:rFonts w:ascii="Times New Roman" w:hAnsi="Times New Roman"/>
          <w:sz w:val="20"/>
        </w:rPr>
        <w:t xml:space="preserve">, </w:t>
      </w:r>
      <w:r>
        <w:rPr>
          <w:rFonts w:ascii="Times New Roman" w:hAnsi="Times New Roman"/>
          <w:sz w:val="20"/>
          <w:u w:val="single"/>
        </w:rPr>
        <w:t>6.02(r)</w:t>
      </w:r>
      <w:r>
        <w:rPr>
          <w:rFonts w:ascii="Times New Roman" w:hAnsi="Times New Roman"/>
          <w:sz w:val="20"/>
        </w:rPr>
        <w:t xml:space="preserve">, </w:t>
      </w:r>
      <w:r>
        <w:rPr>
          <w:rFonts w:ascii="Times New Roman" w:hAnsi="Times New Roman"/>
          <w:sz w:val="20"/>
          <w:u w:val="single"/>
        </w:rPr>
        <w:t>6.02(x)</w:t>
      </w:r>
      <w:r>
        <w:rPr>
          <w:rFonts w:ascii="Times New Roman" w:hAnsi="Times New Roman"/>
          <w:sz w:val="20"/>
        </w:rPr>
        <w:t xml:space="preserve">, </w:t>
      </w:r>
      <w:r>
        <w:rPr>
          <w:rFonts w:ascii="Times New Roman" w:hAnsi="Times New Roman"/>
          <w:sz w:val="20"/>
          <w:u w:val="single"/>
        </w:rPr>
        <w:t>6.02(y)</w:t>
      </w:r>
      <w:r>
        <w:rPr>
          <w:rFonts w:ascii="Times New Roman" w:hAnsi="Times New Roman"/>
          <w:sz w:val="20"/>
        </w:rPr>
        <w:t xml:space="preserve">, </w:t>
      </w:r>
      <w:r>
        <w:rPr>
          <w:rFonts w:ascii="Times New Roman" w:hAnsi="Times New Roman"/>
          <w:sz w:val="20"/>
          <w:u w:val="single"/>
        </w:rPr>
        <w:t>6.02(z)(i)</w:t>
      </w:r>
      <w:r>
        <w:rPr>
          <w:rFonts w:ascii="Times New Roman" w:hAnsi="Times New Roman"/>
          <w:sz w:val="20"/>
        </w:rPr>
        <w:t xml:space="preserve">, </w:t>
      </w:r>
      <w:r>
        <w:rPr>
          <w:rFonts w:ascii="Times New Roman" w:hAnsi="Times New Roman"/>
          <w:sz w:val="20"/>
          <w:u w:val="single"/>
        </w:rPr>
        <w:t>6.02(aa)</w:t>
      </w:r>
      <w:r>
        <w:rPr>
          <w:rFonts w:ascii="Times New Roman" w:hAnsi="Times New Roman"/>
          <w:sz w:val="20"/>
        </w:rPr>
        <w:t xml:space="preserve">, </w:t>
      </w:r>
      <w:r>
        <w:rPr>
          <w:rFonts w:ascii="Times New Roman" w:hAnsi="Times New Roman"/>
          <w:sz w:val="20"/>
          <w:u w:val="single"/>
        </w:rPr>
        <w:t>6.02(bb)</w:t>
      </w:r>
      <w:r>
        <w:rPr>
          <w:rFonts w:ascii="Times New Roman" w:hAnsi="Times New Roman"/>
          <w:sz w:val="20"/>
        </w:rPr>
        <w:t xml:space="preserve">, </w:t>
      </w:r>
      <w:r>
        <w:rPr>
          <w:rFonts w:ascii="Times New Roman" w:hAnsi="Times New Roman"/>
          <w:sz w:val="20"/>
          <w:u w:val="single"/>
        </w:rPr>
        <w:t>6.02(cc)</w:t>
      </w:r>
      <w:r>
        <w:rPr>
          <w:rFonts w:ascii="Times New Roman" w:hAnsi="Times New Roman"/>
          <w:sz w:val="20"/>
        </w:rPr>
        <w:t xml:space="preserve">, </w:t>
      </w:r>
      <w:r>
        <w:rPr>
          <w:rFonts w:ascii="Times New Roman" w:hAnsi="Times New Roman"/>
          <w:sz w:val="20"/>
          <w:u w:val="single"/>
        </w:rPr>
        <w:t>6.02(dd)</w:t>
      </w:r>
      <w:r>
        <w:rPr>
          <w:rFonts w:ascii="Times New Roman" w:hAnsi="Times New Roman"/>
          <w:sz w:val="20"/>
        </w:rPr>
        <w:t xml:space="preserve"> (in the case of </w:t>
      </w:r>
      <w:r>
        <w:rPr>
          <w:rFonts w:ascii="Times New Roman" w:hAnsi="Times New Roman"/>
          <w:sz w:val="20"/>
          <w:u w:val="single"/>
        </w:rPr>
        <w:t>6.02(dd)(ii)</w:t>
      </w:r>
      <w:r>
        <w:rPr>
          <w:rFonts w:ascii="Times New Roman" w:hAnsi="Times New Roman"/>
          <w:sz w:val="20"/>
        </w:rPr>
        <w:t xml:space="preserve">, to the extent the relevant Lien covers Cash or Cash Equivalents posted to secure the relevant obligation), </w:t>
      </w:r>
      <w:r>
        <w:rPr>
          <w:rFonts w:ascii="Times New Roman" w:hAnsi="Times New Roman"/>
          <w:sz w:val="20"/>
          <w:u w:val="single"/>
        </w:rPr>
        <w:t>6.02(ee)</w:t>
      </w:r>
      <w:r>
        <w:rPr>
          <w:rFonts w:ascii="Times New Roman" w:hAnsi="Times New Roman"/>
          <w:sz w:val="20"/>
        </w:rPr>
        <w:t xml:space="preserve">, </w:t>
      </w:r>
      <w:r>
        <w:rPr>
          <w:rFonts w:ascii="Times New Roman" w:hAnsi="Times New Roman"/>
          <w:sz w:val="20"/>
          <w:u w:val="single"/>
        </w:rPr>
        <w:t>6.02(ff)</w:t>
      </w:r>
      <w:r>
        <w:rPr>
          <w:rFonts w:ascii="Times New Roman" w:hAnsi="Times New Roman"/>
          <w:sz w:val="20"/>
        </w:rPr>
        <w:t xml:space="preserve"> and/or </w:t>
      </w:r>
      <w:r>
        <w:rPr>
          <w:rFonts w:ascii="Times New Roman" w:hAnsi="Times New Roman"/>
          <w:sz w:val="20"/>
          <w:u w:val="single"/>
        </w:rPr>
        <w:t>6.02(gg)</w:t>
      </w:r>
      <w:r>
        <w:rPr>
          <w:rFonts w:ascii="Times New Roman" w:hAnsi="Times New Roman"/>
          <w:sz w:val="20"/>
        </w:rPr>
        <w:t xml:space="preserve"> (and any Refinancing Indebtedness in respect of any thereof to the extent such Refinancing Indebtedness is permitted to be secured under </w:t>
      </w:r>
      <w:r>
        <w:rPr>
          <w:rFonts w:ascii="Times New Roman" w:hAnsi="Times New Roman"/>
          <w:sz w:val="20"/>
          <w:u w:val="single"/>
        </w:rPr>
        <w:t>Section 6.02(k)</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subordination of any Lien on any property granted to or held by the Administrative Agent shall only be required with respect to any Lien on such property that is permitted by the above referenced sections to the extent that the Lien of the Administrative Agent with respect to such property is required to be subordinated to the relevant Permitted Lien in accordance with the documentation governing the Indebtedness that is secured by such Permitted Lien; and </w:t>
      </w:r>
    </w:p>
    <w:p>
      <w:pPr>
        <w:pStyle w:val="TextBody"/>
        <w:bidi w:val="0"/>
        <w:spacing w:before="240" w:after="0"/>
        <w:jc w:val="left"/>
        <w:rPr>
          <w:rFonts w:ascii="Times New Roman" w:hAnsi="Times New Roman"/>
          <w:sz w:val="20"/>
        </w:rPr>
      </w:pPr>
      <w:r>
        <w:rPr>
          <w:rFonts w:ascii="Times New Roman" w:hAnsi="Times New Roman"/>
          <w:sz w:val="20"/>
        </w:rPr>
        <w:t xml:space="preserve">(d) enter into subordination, intercreditor, collateral trust and/or similar agreements with respect to Indebtedness (including any Acceptable Intercreditor Agreement, any Surety Bond Intercreditor Agreement and/or any amendment to any Acceptable Intercreditor Agreement or any Surety Bond Intercreditor Agreement) that is (i) required or permitted to be subordinated hereunder and/or (ii) secured by Liens permitted hereunder to be senior to (solely with respect to </w:t>
      </w:r>
      <w:r>
        <w:rPr>
          <w:rFonts w:ascii="Times New Roman" w:hAnsi="Times New Roman"/>
          <w:sz w:val="20"/>
          <w:u w:val="single"/>
        </w:rPr>
        <w:t>Sections 6.02(d)</w:t>
      </w:r>
      <w:r>
        <w:rPr>
          <w:rFonts w:ascii="Times New Roman" w:hAnsi="Times New Roman"/>
          <w:sz w:val="20"/>
        </w:rPr>
        <w:t xml:space="preserve">, </w:t>
      </w:r>
      <w:r>
        <w:rPr>
          <w:rFonts w:ascii="Times New Roman" w:hAnsi="Times New Roman"/>
          <w:sz w:val="20"/>
          <w:u w:val="single"/>
        </w:rPr>
        <w:t>6.02(k)</w:t>
      </w:r>
      <w:r>
        <w:rPr>
          <w:rFonts w:ascii="Times New Roman" w:hAnsi="Times New Roman"/>
          <w:sz w:val="20"/>
        </w:rPr>
        <w:t xml:space="preserve"> (solely with respect to a permitted refinancing of Surety Bond Indebtedness), </w:t>
      </w:r>
      <w:r>
        <w:rPr>
          <w:rFonts w:ascii="Times New Roman" w:hAnsi="Times New Roman"/>
          <w:sz w:val="20"/>
          <w:u w:val="single"/>
        </w:rPr>
        <w:t>6.02(n)</w:t>
      </w:r>
      <w:r>
        <w:rPr>
          <w:rFonts w:ascii="Times New Roman" w:hAnsi="Times New Roman"/>
          <w:sz w:val="20"/>
        </w:rPr>
        <w:t xml:space="preserve">, </w:t>
      </w:r>
      <w:r>
        <w:rPr>
          <w:rFonts w:ascii="Times New Roman" w:hAnsi="Times New Roman"/>
          <w:sz w:val="20"/>
          <w:u w:val="single"/>
        </w:rPr>
        <w:t>6.02(y)</w:t>
      </w:r>
      <w:r>
        <w:rPr>
          <w:rFonts w:ascii="Times New Roman" w:hAnsi="Times New Roman"/>
          <w:sz w:val="20"/>
        </w:rPr>
        <w:t xml:space="preserve">, </w:t>
      </w:r>
      <w:r>
        <w:rPr>
          <w:rFonts w:ascii="Times New Roman" w:hAnsi="Times New Roman"/>
          <w:sz w:val="20"/>
          <w:u w:val="single"/>
        </w:rPr>
        <w:t>6.02(aa)</w:t>
      </w:r>
      <w:r>
        <w:rPr>
          <w:rFonts w:ascii="Times New Roman" w:hAnsi="Times New Roman"/>
          <w:sz w:val="20"/>
        </w:rPr>
        <w:t xml:space="preserve"> and </w:t>
      </w:r>
      <w:r>
        <w:rPr>
          <w:rFonts w:ascii="Times New Roman" w:hAnsi="Times New Roman"/>
          <w:sz w:val="20"/>
          <w:u w:val="single"/>
        </w:rPr>
        <w:t>6.02(dd)(i)</w:t>
      </w:r>
      <w:r>
        <w:rPr>
          <w:rFonts w:ascii="Times New Roman" w:hAnsi="Times New Roman"/>
          <w:sz w:val="20"/>
        </w:rPr>
        <w:t xml:space="preserve">), </w:t>
      </w:r>
      <w:r>
        <w:rPr>
          <w:rFonts w:ascii="Times New Roman" w:hAnsi="Times New Roman"/>
          <w:i/>
          <w:sz w:val="20"/>
        </w:rPr>
        <w:t>pari passu</w:t>
      </w:r>
      <w:r>
        <w:rPr>
          <w:rFonts w:ascii="Times New Roman" w:hAnsi="Times New Roman"/>
          <w:sz w:val="20"/>
        </w:rPr>
        <w:t xml:space="preserve"> with or junior to the Liens on the Collateral securing the Secured Obligations, and with respect to which Indebtedness, this Agreement contemplates an intercreditor, subordination, collateral trust or similar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Administrative Agent at any time, the Required Lenders (or all Lenders, if required by </w:t>
      </w:r>
      <w:r>
        <w:rPr>
          <w:rFonts w:ascii="Times New Roman" w:hAnsi="Times New Roman"/>
          <w:sz w:val="20"/>
          <w:u w:val="single"/>
        </w:rPr>
        <w:t>Section 9.02</w:t>
      </w:r>
      <w:r>
        <w:rPr>
          <w:rFonts w:ascii="Times New Roman" w:hAnsi="Times New Roman"/>
          <w:sz w:val="20"/>
        </w:rPr>
        <w:t xml:space="preserve">) will confirm in writing the Administrative Agent’s authority to release or subordinate its interest in particular types or items of property, or to release any Loan Party from its obligations under the Loan Guaranty or its Lien on any Collateral pursuant to this </w:t>
      </w:r>
      <w:r>
        <w:rPr>
          <w:rFonts w:ascii="Times New Roman" w:hAnsi="Times New Roman"/>
          <w:sz w:val="20"/>
          <w:u w:val="single"/>
        </w:rPr>
        <w:t>Article 8</w:t>
      </w:r>
      <w:r>
        <w:rPr>
          <w:rFonts w:ascii="Times New Roman" w:hAnsi="Times New Roman"/>
          <w:sz w:val="20"/>
        </w:rPr>
        <w:t xml:space="preserve">. In each case as specified in this </w:t>
      </w:r>
      <w:r>
        <w:rPr>
          <w:rFonts w:ascii="Times New Roman" w:hAnsi="Times New Roman"/>
          <w:sz w:val="20"/>
          <w:u w:val="single"/>
        </w:rPr>
        <w:t>Article 8</w:t>
      </w:r>
      <w:r>
        <w:rPr>
          <w:rFonts w:ascii="Times New Roman" w:hAnsi="Times New Roman"/>
          <w:sz w:val="20"/>
        </w:rPr>
        <w:t xml:space="preserve">, the Administrative Agent will (and each Lender and each Issuing Bank hereby authorizes the Administrative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Times New Roman" w:hAnsi="Times New Roman"/>
          <w:sz w:val="20"/>
          <w:u w:val="single"/>
        </w:rPr>
        <w:t>Article 8</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upon the request of the Administrative Agent, the Borrower shall deliver a certificate of a Responsible Officer certifying that the relevant transaction has been consummated in compliance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Intercreditor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is authorized by the Lenders and each other Secured Party to enter into any Acceptable Intercreditor Agreement, any Surety Bond Intercreditor Agreement and any other intercreditor, subordination, collateral trust or similar agreement contemplated hereby with respect to any (i) Indebtedness (A) that is (1) required or permitted hereunder to be subordinated in right of payment or with respect to security and/or (2) secured by any Lien permitted hereunder to be senior to (solely with respect to </w:t>
      </w:r>
      <w:r>
        <w:rPr>
          <w:rFonts w:ascii="Times New Roman" w:hAnsi="Times New Roman"/>
          <w:sz w:val="20"/>
          <w:u w:val="single"/>
        </w:rPr>
        <w:t>Sections 6.02(d)</w:t>
      </w:r>
      <w:r>
        <w:rPr>
          <w:rFonts w:ascii="Times New Roman" w:hAnsi="Times New Roman"/>
          <w:sz w:val="20"/>
        </w:rPr>
        <w:t xml:space="preserve">, </w:t>
      </w:r>
      <w:r>
        <w:rPr>
          <w:rFonts w:ascii="Times New Roman" w:hAnsi="Times New Roman"/>
          <w:sz w:val="20"/>
          <w:u w:val="single"/>
        </w:rPr>
        <w:t>6.02(k)</w:t>
      </w:r>
      <w:r>
        <w:rPr>
          <w:rFonts w:ascii="Times New Roman" w:hAnsi="Times New Roman"/>
          <w:sz w:val="20"/>
        </w:rPr>
        <w:t xml:space="preserve"> (solely with respect to a permitted refinancing of Surety Bond Indebtedness), </w:t>
      </w:r>
      <w:r>
        <w:rPr>
          <w:rFonts w:ascii="Times New Roman" w:hAnsi="Times New Roman"/>
          <w:sz w:val="20"/>
          <w:u w:val="single"/>
        </w:rPr>
        <w:t xml:space="preserve">6.02(n),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6.02(y)</w:t>
      </w:r>
      <w:r>
        <w:rPr>
          <w:rFonts w:ascii="Times New Roman" w:hAnsi="Times New Roman"/>
          <w:sz w:val="20"/>
        </w:rPr>
        <w:t xml:space="preserve">, </w:t>
      </w:r>
      <w:r>
        <w:rPr>
          <w:rFonts w:ascii="Times New Roman" w:hAnsi="Times New Roman"/>
          <w:sz w:val="20"/>
          <w:u w:val="single"/>
        </w:rPr>
        <w:t>6.02(aa)</w:t>
      </w:r>
      <w:r>
        <w:rPr>
          <w:rFonts w:ascii="Times New Roman" w:hAnsi="Times New Roman"/>
          <w:sz w:val="20"/>
        </w:rPr>
        <w:t xml:space="preserve"> and </w:t>
      </w:r>
      <w:r>
        <w:rPr>
          <w:rFonts w:ascii="Times New Roman" w:hAnsi="Times New Roman"/>
          <w:sz w:val="20"/>
          <w:u w:val="single"/>
        </w:rPr>
        <w:t>6.02(dd)(i)</w:t>
      </w:r>
      <w:r>
        <w:rPr>
          <w:rFonts w:ascii="Times New Roman" w:hAnsi="Times New Roman"/>
          <w:sz w:val="20"/>
        </w:rPr>
        <w:t xml:space="preserve">), </w:t>
      </w:r>
      <w:r>
        <w:rPr>
          <w:rFonts w:ascii="Times New Roman" w:hAnsi="Times New Roman"/>
          <w:i/>
          <w:sz w:val="20"/>
        </w:rPr>
        <w:t>pari passu</w:t>
      </w:r>
      <w:r>
        <w:rPr>
          <w:rFonts w:ascii="Times New Roman" w:hAnsi="Times New Roman"/>
          <w:sz w:val="20"/>
        </w:rPr>
        <w:t xml:space="preserve"> with or junior to the Liens on the Collateral securing the Secured Obligations and (B) with respect to which Indebtedness, this Agreement contemplates an intercreditor, subordination, collateral trust or similar agreement and/or (ii) Secured Hedging Obligations and/or Banking Services Obligations, whether or not constituting Indebtedness (any such other intercreditor, subordination, collateral trust and/or similar agreement an “</w:t>
      </w:r>
      <w:r>
        <w:rPr>
          <w:rFonts w:ascii="Times New Roman" w:hAnsi="Times New Roman"/>
          <w:sz w:val="20"/>
          <w:u w:val="single"/>
        </w:rPr>
        <w:t>Additional Agreement</w:t>
      </w:r>
      <w:r>
        <w:rPr>
          <w:rFonts w:ascii="Times New Roman" w:hAnsi="Times New Roman"/>
          <w:sz w:val="20"/>
        </w:rPr>
        <w:t xml:space="preserve">”), and the Secured Parties acknowledge that any Acceptable Intercreditor Agreement, any Surety Bond Intercreditor Agreement and any other Additional Agreement is binding upon them. Each Lender and each other Secured Party hereby (i) agrees that they will be bound by, and will not take any action contrary to, the provisions of any Acceptable Intercreditor Agreement, any Surety Bond Intercreditor Agreement or any other Additional Agreement and (ii) authorizes and instructs the Administrative Agent to enter into any Acceptable Intercreditor Agreement, any Surety Bond Intercreditor Agreement and/or any other Additional Agreement and to subject the Liens on the Collateral securing the Secured Obligations to the provisions thereof. The foregoing provisions are intended as an inducement to the Secured Parties to extend credit to the Borrower, and the Secured Parties are intended third-party beneficiaries of such provisions and the provisions of any Acceptable Intercreditor Agreement, any Surety Bond Intercreditor Agreement and/or any other Additional Agreement. </w:t>
      </w:r>
    </w:p>
    <w:p>
      <w:pPr>
        <w:pStyle w:val="TextBody"/>
        <w:bidi w:val="0"/>
        <w:spacing w:before="240" w:after="0"/>
        <w:jc w:val="left"/>
        <w:rPr>
          <w:rFonts w:ascii="Times New Roman" w:hAnsi="Times New Roman"/>
          <w:sz w:val="20"/>
        </w:rPr>
      </w:pPr>
      <w:r>
        <w:rPr>
          <w:rFonts w:ascii="Times New Roman" w:hAnsi="Times New Roman"/>
          <w:sz w:val="20"/>
        </w:rPr>
        <w:t xml:space="preserve">(b) By accepting the benefits of the Collateral and the other terms hereof, the Secured Parties, whether or not party hereto, agree to the foregoing terms of this </w:t>
      </w:r>
      <w:r>
        <w:rPr>
          <w:rFonts w:ascii="Times New Roman" w:hAnsi="Times New Roman"/>
          <w:sz w:val="20"/>
          <w:u w:val="single"/>
        </w:rPr>
        <w:t>Section 8.10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Indemnification of Administrative Agent</w:t>
      </w:r>
      <w:r>
        <w:rPr>
          <w:rFonts w:ascii="Times New Roman" w:hAnsi="Times New Roman"/>
          <w:sz w:val="20"/>
        </w:rPr>
        <w:t xml:space="preserve">. To the extent that the Administrative Agent (or any Affiliate thereof) is not reimbursed and indemnified by the Borrower in accordance with and to the extent required by </w:t>
      </w:r>
      <w:r>
        <w:rPr>
          <w:rFonts w:ascii="Times New Roman" w:hAnsi="Times New Roman"/>
          <w:sz w:val="20"/>
          <w:u w:val="single"/>
        </w:rPr>
        <w:t>Section 9.03(b)</w:t>
      </w:r>
      <w:r>
        <w:rPr>
          <w:rFonts w:ascii="Times New Roman" w:hAnsi="Times New Roman"/>
          <w:sz w:val="20"/>
        </w:rPr>
        <w:t xml:space="preserve"> hereof, the Lenders will reimburse and indemnify the Administrative Agent (and any Affiliate or Related Party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w:t>
      </w:r>
      <w:r>
        <w:rPr>
          <w:rFonts w:ascii="Times New Roman" w:hAnsi="Times New Roman"/>
          <w:sz w:val="20"/>
          <w:u w:val="single"/>
        </w:rPr>
        <w:t>provided</w:t>
      </w:r>
      <w:r>
        <w:rPr>
          <w:rFonts w:ascii="Times New Roman" w:hAnsi="Times New Roman"/>
          <w:sz w:val="20"/>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 </w:t>
      </w:r>
    </w:p>
    <w:p>
      <w:pPr>
        <w:pStyle w:val="TextBody"/>
        <w:bidi w:val="0"/>
        <w:spacing w:before="12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Withholding Taxes</w:t>
      </w:r>
      <w:r>
        <w:rPr>
          <w:rFonts w:ascii="Times New Roman" w:hAnsi="Times New Roman"/>
          <w:sz w:val="20"/>
        </w:rPr>
        <w:t xml:space="preserve">. To the extent required by any applicable Requirement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Times New Roman" w:hAnsi="Times New Roman"/>
          <w:sz w:val="20"/>
          <w:u w:val="single"/>
        </w:rPr>
        <w:t>Section 2.17</w:t>
      </w:r>
      <w:r>
        <w:rPr>
          <w:rFonts w:ascii="Times New Roman" w:hAnsi="Times New Roman"/>
          <w:sz w:val="20"/>
        </w:rPr>
        <w:t xml:space="preserve">, each Lender shall indemnify and hold harmless the Administrative Agent against, and shall make payable in respect thereof within ten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 of this </w:t>
      </w:r>
      <w:r>
        <w:rPr>
          <w:rFonts w:ascii="Times New Roman" w:hAnsi="Times New Roman"/>
          <w:sz w:val="20"/>
          <w:u w:val="single"/>
        </w:rPr>
        <w:t>Section 8.12</w:t>
      </w:r>
      <w:r>
        <w:rPr>
          <w:rFonts w:ascii="Times New Roman" w:hAnsi="Times New Roman"/>
          <w:sz w:val="20"/>
        </w:rPr>
        <w:t xml:space="preserve">, include any Issuing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ERISA Representation of the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for the purposes of Title I of ERISA or Section 4975 of the Code) of one or more benefit plans in connection with the Loans, the Commitments, the Letters of Credit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Commitments, the Letters of Credit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the Letters of Credit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the Letters of Credit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is true with respect to a Lender or (2) a Lender has provided another representation, warranty and covenant in accordance with </w:t>
      </w:r>
      <w:r>
        <w:rPr>
          <w:rFonts w:ascii="Times New Roman" w:hAnsi="Times New Roman"/>
          <w:sz w:val="20"/>
          <w:u w:val="single"/>
        </w:rPr>
        <w:t>sub-clause (iv)</w:t>
      </w:r>
      <w:r>
        <w:rPr>
          <w:rFonts w:ascii="Times New Roman" w:hAnsi="Times New Roman"/>
          <w:sz w:val="20"/>
        </w:rPr>
        <w:t xml:space="preserve"> in the immediately preceding </w:t>
      </w:r>
      <w:r>
        <w:rPr>
          <w:rFonts w:ascii="Times New Roman" w:hAnsi="Times New Roman"/>
          <w:sz w:val="20"/>
          <w:u w:val="single"/>
        </w:rPr>
        <w:t>clause (a)</w:t>
      </w:r>
      <w:r>
        <w:rPr>
          <w:rFonts w:ascii="Times New Roman" w:hAnsi="Times New Roman"/>
          <w:sz w:val="20"/>
        </w:rPr>
        <w:t xml:space="preserve">, such Lender further (x) represents and warrants, as of the date such Person became a Lender party hereto,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none of the Administrative Agent, the Arrangers or any of their respective Affiliates is a fiduciary with respect to the assets of such Lender involved in the Loans, the Commitments, the Letters of Credit and this Agreement (including in connection with the reservation or exercise of any rights by the Administrative Agent under this Agreement, any Loan Document or any documents related to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(i)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xml:space="preserve">)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Recipient on its behalf) (any such funds, whether transmitted or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(ii) demands the return of such Erroneous Payment (or a portion thereof)), such Erroneous Payment shall at all times remain the property of the Administrative Agent pending its return or repayment as contemplated below in this </w:t>
      </w:r>
      <w:r>
        <w:rPr>
          <w:rFonts w:ascii="Times New Roman" w:hAnsi="Times New Roman"/>
          <w:sz w:val="20"/>
          <w:u w:val="single"/>
        </w:rPr>
        <w:t>Section 8.14</w:t>
      </w:r>
      <w:r>
        <w:rPr>
          <w:rFonts w:ascii="Times New Roman" w:hAnsi="Times New Roman"/>
          <w:sz w:val="20"/>
        </w:rPr>
        <w:t xml:space="preserve"> and held in trust for the benefit of the Administrative Agent, and such Lender, Issuing Bank or Secured Party shall (or, with respect to any Payment Recipient who received such funds on its behalf, shall cause such Payment Recipient to)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Times New Roman" w:hAnsi="Times New Roman"/>
          <w:sz w:val="20"/>
          <w:u w:val="single"/>
        </w:rPr>
        <w:t>Payment Notice</w:t>
      </w:r>
      <w:r>
        <w:rPr>
          <w:rFonts w:ascii="Times New Roman" w:hAnsi="Times New Roman"/>
          <w:sz w:val="20"/>
        </w:rPr>
        <w:t xml:space="preserve">”), (y) that was not preceded or accompanied by a Payment Notice, or (z) that such Payment Recipient otherwise becomes aware was transmitted, or received, in error or by mistake (in whole or in part), then in each such case: </w:t>
      </w:r>
    </w:p>
    <w:p>
      <w:pPr>
        <w:pStyle w:val="TextBody"/>
        <w:bidi w:val="0"/>
        <w:spacing w:before="120" w:after="0"/>
        <w:jc w:val="left"/>
        <w:rPr>
          <w:rFonts w:ascii="Times New Roman" w:hAnsi="Times New Roman"/>
          <w:sz w:val="20"/>
        </w:rPr>
      </w:pPr>
      <w:r>
        <w:rPr>
          <w:rFonts w:ascii="Times New Roman" w:hAnsi="Times New Roman"/>
          <w:sz w:val="20"/>
        </w:rPr>
        <w:t xml:space="preserve">(i) it acknowledges and agrees that (A)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and mistake shall be presumed to have been made (absent written confirmation from the Administrative Agent to the contrary) or (B) an error and mistake have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p>
      <w:pPr>
        <w:pStyle w:val="TextBody"/>
        <w:bidi w:val="0"/>
        <w:spacing w:before="120" w:after="0"/>
        <w:jc w:val="left"/>
        <w:rPr>
          <w:rFonts w:ascii="Times New Roman" w:hAnsi="Times New Roman"/>
          <w:sz w:val="20"/>
        </w:rPr>
      </w:pPr>
      <w:r>
        <w:rPr>
          <w:rFonts w:ascii="Times New Roman" w:hAnsi="Times New Roman"/>
          <w:sz w:val="20"/>
        </w:rPr>
        <w:t xml:space="preserve">(ii) such Payment Recipient shall promptly (and, in all events, within one Business Day of its knowledge of the occurrence of any of the circumstances described in immediately preceding </w:t>
      </w:r>
      <w:r>
        <w:rPr>
          <w:rFonts w:ascii="Times New Roman" w:hAnsi="Times New Roman"/>
          <w:sz w:val="20"/>
          <w:u w:val="single"/>
        </w:rPr>
        <w:t>clauses (x)</w:t>
      </w:r>
      <w:r>
        <w:rPr>
          <w:rFonts w:ascii="Times New Roman" w:hAnsi="Times New Roman"/>
          <w:sz w:val="20"/>
        </w:rPr>
        <w:t xml:space="preserve">, </w:t>
      </w:r>
      <w:r>
        <w:rPr>
          <w:rFonts w:ascii="Times New Roman" w:hAnsi="Times New Roman"/>
          <w:sz w:val="20"/>
          <w:u w:val="single"/>
        </w:rPr>
        <w:t>(y)</w:t>
      </w:r>
      <w:r>
        <w:rPr>
          <w:rFonts w:ascii="Times New Roman" w:hAnsi="Times New Roman"/>
          <w:sz w:val="20"/>
        </w:rPr>
        <w:t xml:space="preserve"> and </w:t>
      </w:r>
      <w:r>
        <w:rPr>
          <w:rFonts w:ascii="Times New Roman" w:hAnsi="Times New Roman"/>
          <w:sz w:val="20"/>
          <w:u w:val="single"/>
        </w:rPr>
        <w:t>(z)</w:t>
      </w:r>
      <w:r>
        <w:rPr>
          <w:rFonts w:ascii="Times New Roman" w:hAnsi="Times New Roman"/>
          <w:sz w:val="20"/>
        </w:rPr>
        <w:t xml:space="preserve">) notify the Administrative Agent of its receipt of such payment, prepayment or repayment, the details thereof and that it is so notifying the Administrative Agent pursuant to this </w:t>
      </w:r>
      <w:r>
        <w:rPr>
          <w:rFonts w:ascii="Times New Roman" w:hAnsi="Times New Roman"/>
          <w:sz w:val="20"/>
          <w:u w:val="single"/>
        </w:rPr>
        <w:t>Section 8.14(b)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w:t>
      </w:r>
      <w:r>
        <w:rPr>
          <w:rFonts w:ascii="Times New Roman" w:hAnsi="Times New Roman"/>
          <w:sz w:val="20"/>
          <w:u w:val="single"/>
        </w:rPr>
        <w:t>Section 8.14(b)</w:t>
      </w:r>
      <w:r>
        <w:rPr>
          <w:rFonts w:ascii="Times New Roman" w:hAnsi="Times New Roman"/>
          <w:sz w:val="20"/>
        </w:rPr>
        <w:t xml:space="preserve"> shall not have any effect on a Payment Recipient’s obligations pursuant to </w:t>
      </w:r>
      <w:r>
        <w:rPr>
          <w:rFonts w:ascii="Times New Roman" w:hAnsi="Times New Roman"/>
          <w:sz w:val="20"/>
          <w:u w:val="single"/>
        </w:rPr>
        <w:t>Section 8.14(a)</w:t>
      </w:r>
      <w:r>
        <w:rPr>
          <w:rFonts w:ascii="Times New Roman" w:hAnsi="Times New Roman"/>
          <w:sz w:val="20"/>
        </w:rPr>
        <w:t xml:space="preserve"> or on whether or not an Erroneous Payment has been made.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due to the Administrative Agent under immediately preceding </w:t>
      </w:r>
      <w:r>
        <w:rPr>
          <w:rFonts w:ascii="Times New Roman" w:hAnsi="Times New Roman"/>
          <w:sz w:val="20"/>
          <w:u w:val="single"/>
        </w:rPr>
        <w:t>clause (a)</w:t>
      </w:r>
      <w:r>
        <w:rPr>
          <w:rFonts w:ascii="Times New Roman" w:hAnsi="Times New Roman"/>
          <w:sz w:val="20"/>
        </w:rPr>
        <w:t xml:space="preserve"> or under the indemnification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an Erroneous Payment (or portion thereof) is not recovered by the Administrative Agent for any reason, after demand therefor in accordance with immediately preceding </w:t>
      </w:r>
      <w:r>
        <w:rPr>
          <w:rFonts w:ascii="Times New Roman" w:hAnsi="Times New Roman"/>
          <w:sz w:val="20"/>
          <w:u w:val="single"/>
        </w:rPr>
        <w:t>clause (a)</w:t>
      </w:r>
      <w:r>
        <w:rPr>
          <w:rFonts w:ascii="Times New Roman" w:hAnsi="Times New Roman"/>
          <w:sz w:val="20"/>
        </w:rPr>
        <w:t>,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sz w:val="20"/>
          <w:u w:val="single"/>
        </w:rPr>
        <w:t>Erroneous Payment Return Deficiency</w:t>
      </w:r>
      <w:r>
        <w:rPr>
          <w:rFonts w:ascii="Times New Roman" w:hAnsi="Times New Roman"/>
          <w:sz w:val="20"/>
        </w:rPr>
        <w:t xml:space="preserve">”), upon the Administrative Agent’s notice or request to such Lender at any time, then effective immediately (with the consideration therefor being acknowledged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parties hereto), (i) such Lender shall be deemed to have assigned its Loans (but not its Commitments) of the relevant Class with respect to which such Erroneous Payment was made (the “</w:t>
      </w:r>
      <w:r>
        <w:rPr>
          <w:rFonts w:ascii="Times New Roman" w:hAnsi="Times New Roman"/>
          <w:sz w:val="20"/>
          <w:u w:val="single"/>
        </w:rPr>
        <w:t>Erroneous Payment Impacted Class</w:t>
      </w:r>
      <w:r>
        <w:rPr>
          <w:rFonts w:ascii="Times New Roman" w:hAnsi="Times New Roman"/>
          <w:sz w:val="20"/>
        </w:rPr>
        <w:t>”) in an amount equal to the Erroneous Payment Return Deficiency (such assignment of the Loans (but not Commitments)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at par plus any accrued and unpaid interest (with the assignment fee to be waived by the Administrative Agent in such instance), and is hereby (together with the Borrower) deemed to execute and deliver an Assignment Agreement (or, to the extent applicable, an agreement incorporating an Assignment Agreement by reference pursuant to a Platform as to which the Administrative Agent and such parties are participants) with respect to such Erroneous Payment Deficiency Assignment, and such Lender shall deliver any Promissory Notes evidencing such Loans to the Borrower or the Administrative Agent (but the failure of such Person to deliver any such Promissory Notes shall not affect the effectiveness of the foregoing assignment), (ii) the Administrative Agent as the assignee Lender shall be deemed to acquire the Erroneous Payment Deficiency Assignment,(iii)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 xml:space="preserve">Section 9.05 </w:t>
      </w:r>
      <w:r>
        <w:rPr>
          <w:rFonts w:ascii="Times New Roman" w:hAnsi="Times New Roman"/>
          <w:sz w:val="20"/>
        </w:rPr>
        <w:t xml:space="preserve">(but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(i)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(ii) may, in the sole discretion of the Administrative Agent, be reduced by any amount specified by the Administrative Agent in writing to the applicable Lender from time to time. </w:t>
      </w:r>
    </w:p>
    <w:p>
      <w:pPr>
        <w:pStyle w:val="TextBody"/>
        <w:bidi w:val="0"/>
        <w:spacing w:before="240" w:after="0"/>
        <w:jc w:val="left"/>
        <w:rPr>
          <w:rFonts w:ascii="Times New Roman" w:hAnsi="Times New Roman"/>
          <w:sz w:val="20"/>
        </w:rPr>
      </w:pPr>
      <w:r>
        <w:rPr>
          <w:rFonts w:ascii="Times New Roman" w:hAnsi="Times New Roman"/>
          <w:sz w:val="20"/>
        </w:rPr>
        <w:t>(f) The parties hereto agree that (i)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hAnsi="Times New Roman"/>
          <w:sz w:val="20"/>
          <w:u w:val="single"/>
        </w:rPr>
        <w:t>Erroneous Payment Subrogation Rights</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(ii) an Erroneous Payment shall not pay, prepay, repay, discharge or otherwise satisfy any Obligations owed by the Borrower or any other Loan Party;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8.14(f)</w:t>
      </w:r>
      <w:r>
        <w:rPr>
          <w:rFonts w:ascii="Times New Roman" w:hAnsi="Times New Roman"/>
          <w:sz w:val="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for the avoidance of doubt, immediately preceding</w:t>
      </w:r>
      <w:r>
        <w:rPr>
          <w:rFonts w:ascii="Times New Roman" w:hAnsi="Times New Roman"/>
          <w:sz w:val="20"/>
          <w:u w:val="single"/>
        </w:rPr>
        <w:t xml:space="preserve"> 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shall not apply to the extent any such Erroneous Payment is, and solely with respect to the amount of such Erroneous Payment that is, comprised of funds received by the Administrative Agent from the Borrower or any other Loan Party for the purpose of making such Erroneous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w:t>
      </w:r>
    </w:p>
    <w:p>
      <w:pPr>
        <w:pStyle w:val="TextBody"/>
        <w:bidi w:val="0"/>
        <w:spacing w:before="240" w:after="0"/>
        <w:jc w:val="left"/>
        <w:rPr>
          <w:rFonts w:ascii="Times New Roman" w:hAnsi="Times New Roman"/>
          <w:sz w:val="20"/>
        </w:rPr>
      </w:pPr>
      <w:r>
        <w:rPr>
          <w:rFonts w:ascii="Times New Roman" w:hAnsi="Times New Roman"/>
          <w:sz w:val="20"/>
        </w:rPr>
        <w:t xml:space="preserve">(h) To the extent permitted by applicable Requirements of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(i) Each party’s obligations, agreements and waivers under this </w:t>
      </w:r>
      <w:r>
        <w:rPr>
          <w:rFonts w:ascii="Times New Roman" w:hAnsi="Times New Roman"/>
          <w:sz w:val="20"/>
          <w:u w:val="single"/>
        </w:rPr>
        <w:t>Section 8.14</w:t>
      </w:r>
      <w:r>
        <w:rPr>
          <w:rFonts w:ascii="Times New Roman" w:hAnsi="Times New Roman"/>
          <w:sz w:val="20"/>
        </w:rPr>
        <w:t xml:space="preserve"> shall survive the resignation or replacement of the Administrative Agent, any transfer of rights or obligations by, or the replacement of, a Lender or Issuing Bank and the occurrence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(j) This </w:t>
      </w:r>
      <w:r>
        <w:rPr>
          <w:rFonts w:ascii="Times New Roman" w:hAnsi="Times New Roman"/>
          <w:sz w:val="20"/>
          <w:u w:val="single"/>
        </w:rPr>
        <w:t>Section 8.14</w:t>
      </w:r>
      <w:r>
        <w:rPr>
          <w:rFonts w:ascii="Times New Roman" w:hAnsi="Times New Roman"/>
          <w:sz w:val="20"/>
        </w:rPr>
        <w:t xml:space="preserve"> shall not apply to the disbursement of any proceeds of a Revolving Loan to the Borrower unless otherwise expressly agreed to in writing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(k) Notwithstanding anything to the contrary herein or in any other Loan Document, the Borrower and the Loan Parties shall have no obligations or liabilities for any actions, consequences or remediation (including the repayment of any amounts) contemplated by this </w:t>
      </w:r>
      <w:r>
        <w:rPr>
          <w:rFonts w:ascii="Times New Roman" w:hAnsi="Times New Roman"/>
          <w:sz w:val="20"/>
          <w:u w:val="single"/>
        </w:rPr>
        <w:t>Section 8.14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under no circumstances shall this </w:t>
      </w:r>
      <w:r>
        <w:rPr>
          <w:rFonts w:ascii="Times New Roman" w:hAnsi="Times New Roman"/>
          <w:sz w:val="20"/>
          <w:u w:val="single"/>
        </w:rPr>
        <w:t>Section 8.14(k)</w:t>
      </w:r>
      <w:r>
        <w:rPr>
          <w:rFonts w:ascii="Times New Roman" w:hAnsi="Times New Roman"/>
          <w:sz w:val="20"/>
        </w:rPr>
        <w:t xml:space="preserve"> affect the Borrower’s or any Loan Parties’ obligations or liabilities with respect to any Obligations that remain outstanding. </w:t>
      </w:r>
    </w:p>
    <w:p>
      <w:pPr>
        <w:pStyle w:val="TextBody"/>
        <w:bidi w:val="0"/>
        <w:spacing w:before="480" w:after="0"/>
        <w:jc w:val="center"/>
        <w:rPr>
          <w:rFonts w:ascii="Times New Roman" w:hAnsi="Times New Roman"/>
          <w:sz w:val="21"/>
        </w:rPr>
      </w:pPr>
      <w:r>
        <w:rPr>
          <w:rFonts w:ascii="Times New Roman" w:hAnsi="Times New Roman"/>
          <w:sz w:val="21"/>
        </w:rPr>
        <w:t xml:space="preserve">ARTICLE 9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subject to </w:t>
      </w:r>
      <w:r>
        <w:rPr>
          <w:rFonts w:ascii="Times New Roman" w:hAnsi="Times New Roman"/>
          <w:sz w:val="20"/>
          <w:u w:val="single"/>
        </w:rPr>
        <w:t>paragraph (b)</w:t>
      </w:r>
      <w:r>
        <w:rPr>
          <w:rFonts w:ascii="Times New Roman" w:hAnsi="Times New Roman"/>
          <w:sz w:val="20"/>
        </w:rPr>
        <w:t xml:space="preserve"> below), all notices and other communications provided for herein shall be in writing and shall be delivered by hand or overnight courier service, mailed by certified or registered mail or sent by facsimile or email,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Loan Party, to such Loan Party in the care of the Borrower at: </w:t>
      </w:r>
    </w:p>
    <w:p>
      <w:pPr>
        <w:pStyle w:val="TextBody"/>
        <w:bidi w:val="0"/>
        <w:spacing w:before="120" w:after="0"/>
        <w:jc w:val="left"/>
        <w:rPr>
          <w:rFonts w:ascii="Times New Roman" w:hAnsi="Times New Roman"/>
          <w:sz w:val="20"/>
        </w:rPr>
      </w:pPr>
      <w:r>
        <w:rPr>
          <w:rFonts w:ascii="Times New Roman" w:hAnsi="Times New Roman"/>
          <w:sz w:val="20"/>
        </w:rPr>
        <w:t xml:space="preserve">SOLV Energy Acquisition LLC </w:t>
      </w:r>
    </w:p>
    <w:p>
      <w:pPr>
        <w:pStyle w:val="TextBody"/>
        <w:bidi w:val="0"/>
        <w:spacing w:before="0" w:after="0"/>
        <w:jc w:val="left"/>
        <w:rPr>
          <w:rFonts w:ascii="Times New Roman" w:hAnsi="Times New Roman"/>
          <w:sz w:val="20"/>
        </w:rPr>
      </w:pPr>
      <w:r>
        <w:rPr>
          <w:rFonts w:ascii="Times New Roman" w:hAnsi="Times New Roman"/>
          <w:sz w:val="20"/>
        </w:rPr>
        <w:t xml:space="preserve">c/o SOLV Energy Holdings LLC </w:t>
      </w:r>
    </w:p>
    <w:p>
      <w:pPr>
        <w:pStyle w:val="TextBody"/>
        <w:bidi w:val="0"/>
        <w:spacing w:before="0" w:after="0"/>
        <w:jc w:val="left"/>
        <w:rPr>
          <w:rFonts w:ascii="Times New Roman" w:hAnsi="Times New Roman"/>
          <w:sz w:val="20"/>
        </w:rPr>
      </w:pPr>
      <w:r>
        <w:rPr>
          <w:rFonts w:ascii="Times New Roman" w:hAnsi="Times New Roman"/>
          <w:sz w:val="20"/>
        </w:rPr>
        <w:t xml:space="preserve">Attn: Chad Plotkin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to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American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Attention: Kevin Penn, David Portnoy and Eric L. Schondorf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Colao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rFonts w:ascii="Times New Roman" w:hAnsi="Times New Roman"/>
          <w:sz w:val="20"/>
        </w:rPr>
      </w:pPr>
      <w:r>
        <w:rPr>
          <w:rFonts w:ascii="Times New Roman" w:hAnsi="Times New Roman"/>
          <w:sz w:val="20"/>
        </w:rPr>
        <w:t xml:space="preserve">Facsimile: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at the address, facsimile number, electronic mail address or telephone number specified for the Administrative Agent on </w:t>
      </w:r>
      <w:r>
        <w:rPr>
          <w:rFonts w:ascii="Times New Roman" w:hAnsi="Times New Roman"/>
          <w:sz w:val="20"/>
          <w:u w:val="single"/>
        </w:rPr>
        <w:t>Schedule 9.01(a)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if to any Issuing Bank, at the address, facsimile number, electronic mail address or telephone number specified for such Issuing Bank on </w:t>
      </w:r>
      <w:r>
        <w:rPr>
          <w:rFonts w:ascii="Times New Roman" w:hAnsi="Times New Roman"/>
          <w:sz w:val="20"/>
          <w:u w:val="single"/>
        </w:rPr>
        <w:t>Schedule 9.01(a)</w:t>
      </w:r>
      <w:r>
        <w:rPr>
          <w:rFonts w:ascii="Times New Roman" w:hAnsi="Times New Roman"/>
          <w:sz w:val="20"/>
        </w:rPr>
        <w:t xml:space="preserve"> or such address as may be specified in the documentation pursuant to which such Issuing Bank is appointed in its capacity as such; and </w:t>
      </w:r>
    </w:p>
    <w:p>
      <w:pPr>
        <w:pStyle w:val="TextBody"/>
        <w:bidi w:val="0"/>
        <w:spacing w:before="120" w:after="0"/>
        <w:jc w:val="left"/>
        <w:rPr>
          <w:rFonts w:ascii="Times New Roman" w:hAnsi="Times New Roman"/>
          <w:sz w:val="20"/>
        </w:rPr>
      </w:pPr>
      <w:r>
        <w:rPr>
          <w:rFonts w:ascii="Times New Roman" w:hAnsi="Times New Roman"/>
          <w:sz w:val="20"/>
        </w:rPr>
        <w:t xml:space="preserve">(iv) if to any Lender, to it at its address or facsimile number set forth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 w:hAnsi="Times New Roman"/>
          <w:sz w:val="20"/>
          <w:u w:val="single"/>
        </w:rPr>
        <w:t>Section 9.01</w:t>
      </w:r>
      <w:r>
        <w:rPr>
          <w:rFonts w:ascii="Times New Roman" w:hAnsi="Times New Roman"/>
          <w:sz w:val="20"/>
        </w:rPr>
        <w:t xml:space="preserve"> or in accordance with the latest unrevoked direction from such party given in accordance with this </w:t>
      </w:r>
      <w:r>
        <w:rPr>
          <w:rFonts w:ascii="Times New Roman" w:hAnsi="Times New Roman"/>
          <w:sz w:val="20"/>
          <w:u w:val="single"/>
        </w:rPr>
        <w:t>Section 9.01</w:t>
      </w:r>
      <w:r>
        <w:rPr>
          <w:rFonts w:ascii="Times New Roman" w:hAnsi="Times New Roman"/>
          <w:sz w:val="20"/>
        </w:rPr>
        <w:t xml:space="preserve"> or (B) sent by facsimile shall be deemed to have been given when sent and when receipt has been confirmed by telephone; </w:t>
      </w:r>
      <w:r>
        <w:rPr>
          <w:rFonts w:ascii="Times New Roman" w:hAnsi="Times New Roman"/>
          <w:sz w:val="20"/>
          <w:u w:val="single"/>
        </w:rPr>
        <w:t>provided</w:t>
      </w:r>
      <w:r>
        <w:rPr>
          <w:rFonts w:ascii="Times New Roman" w:hAnsi="Times New Roman"/>
          <w:sz w:val="20"/>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Times New Roman" w:hAnsi="Times New Roman"/>
          <w:sz w:val="20"/>
          <w:u w:val="single"/>
        </w:rPr>
        <w:t>clause (b)</w:t>
      </w:r>
      <w:r>
        <w:rPr>
          <w:rFonts w:ascii="Times New Roman" w:hAnsi="Times New Roman"/>
          <w:sz w:val="20"/>
        </w:rPr>
        <w:t xml:space="preserve"> below shall be effective as provided in such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Notices and other communications may be delivered or furnished by electronic communications (including e-mail and Internet or intranet websites) pursuant to procedures set forth herein or otherwise approved by the Administrative Agent. The Administrative Agent or the Borrower (on behalf of the Loan Parties) may, in its discretion, agree to accept notices and other communications to it hereunder by electronic communications pursuant to procedures set forth herein or otherwise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Times New Roman" w:hAnsi="Times New Roman"/>
          <w:sz w:val="20"/>
          <w:u w:val="single"/>
        </w:rPr>
        <w:t>clause (b)(i)</w:t>
      </w:r>
      <w:r>
        <w:rPr>
          <w:rFonts w:ascii="Times New Roman" w:hAnsi="Times New Roman"/>
          <w:sz w:val="20"/>
        </w:rPr>
        <w:t xml:space="preserve">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Any party hereto may change its address or facsimile number or other notice information hereunder by notice to the other parties hereto; it being understood and agreed that the Borrower may provide any such notice to the Administrative Agent as recipient on behalf of itself, the Swingline Lender, each Issuing Bank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Each of Holdings and the Borrower hereby acknowledges that (a) the Administrative Agent will make available to the Lenders and the Issuing Banks materials and/or information provided by, or on behalf of Holdings or the Borrower hereunder (collectively, the “</w:t>
      </w:r>
      <w:r>
        <w:rPr>
          <w:rFonts w:ascii="Times New Roman" w:hAnsi="Times New Roman"/>
          <w:sz w:val="20"/>
          <w:u w:val="single"/>
        </w:rPr>
        <w:t>Borrower Materials</w:t>
      </w:r>
      <w:r>
        <w:rPr>
          <w:rFonts w:ascii="Times New Roman" w:hAnsi="Times New Roman"/>
          <w:sz w:val="20"/>
        </w:rPr>
        <w:t>”) by posting the Borrower Materials on the Platform and (b) certain of the Lenders may be “public-side” Lenders (</w:t>
      </w:r>
      <w:r>
        <w:rPr>
          <w:rFonts w:ascii="Times New Roman" w:hAnsi="Times New Roman"/>
          <w:i/>
          <w:sz w:val="20"/>
        </w:rPr>
        <w:t>i.e.</w:t>
      </w:r>
      <w:r>
        <w:rPr>
          <w:rFonts w:ascii="Times New Roman" w:hAnsi="Times New Roman"/>
          <w:sz w:val="20"/>
        </w:rPr>
        <w:t>, Lenders that do not wish to receive material nonpublic information within the meaning of the U.S. federal securities laws with respect to Holdings, the Borrower or their respective securities) (each, a “</w:t>
      </w:r>
      <w:r>
        <w:rPr>
          <w:rFonts w:ascii="Times New Roman" w:hAnsi="Times New Roman"/>
          <w:sz w:val="20"/>
          <w:u w:val="single"/>
        </w:rPr>
        <w:t>Public Lender</w:t>
      </w:r>
      <w:r>
        <w:rPr>
          <w:rFonts w:ascii="Times New Roman" w:hAnsi="Times New Roman"/>
          <w:sz w:val="20"/>
        </w:rPr>
        <w:t xml:space="preserve">”). At the request of the Administrative Agent, each of Holdings and the Borrower hereby agrees that (i) all Borrower Materials that are to be made available to Public Lenders shall be clearly and conspicuously marked “PUBLIC”, (ii) by marking Borrower Materials “PUBLIC,” Holdings and the Borrower shall be deemed to have authorized the Administrative Agent and the Lenders to treat such Borrower Materials as information of a type that would (A) customarily be made publicly available, as determined in good faith by the Borrower, if Holdings or the Borrower were to become a public reporting company or (B) would not be material with respect to Holdings, the Borrower or their respective Subsidiaries, any of their respective securities or the Transactions as determined in good faith by the Borrower for purposes of the U.S. federal securities laws and (iii) the Administrative Agent shall be required to treat Borrower Materials that are not marked “PUBLIC” as being suitable only for posting on a portion of the Platform not marked as “Public Investor.” Notwithstanding the foregoing, the following Borrower Materials shall be deemed to be marked “PUBLIC,” unless the Borrower notifies the Administrative Agent promptly that any such document contains material nonpublic information (it being understood that the Borrower shall have a reasonable opportunity to review the same prior to distribution and comply with SEC or other applicable disclosure obligations): (1) the Loan Documents and (2) any information delivered pursuant to </w:t>
      </w:r>
      <w:r>
        <w:rPr>
          <w:rFonts w:ascii="Times New Roman" w:hAnsi="Times New Roman"/>
          <w:sz w:val="20"/>
          <w:u w:val="single"/>
        </w:rPr>
        <w:t>Section 5.01(a)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Requirements of Law, including U.S. federal and state securities laws, to make reference to communications that are not made available through the “Public Side Information” portion of the Platform and that may contain material non-public information with respect to Holdings, the Borrower or their respective securities for purposes of U.S.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PLATFORM IS PROVIDED “AS IS” AND “AS AVAILABLE.” THE ADMINISTRATIVE AGENT AND ITS RELATED PARTIES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ANY RELATED PARTY IN CONNECTION WITH THE BORROWER MATERIALS OR THE PLATFORM. IN NO EVENT SHALL ANY PARTY HERETO OR ANY OF ITS RELATED PARTIES HAVE ANY LIABILITY TO ANY OTHER PARTY HERETO OR ANY OTHER PERSON FOR DAMAGES OF ANY KIND, WHETHER OR NOT BASED ON STRICT LIABILITY AND INCLUDING DIRECT OR INDIRECT, SPECIAL, INCIDENTAL OR CONSEQUENTIAL DAMAGES, LOSSES, CLAIMS, LIABILITIES OR EXPENSES (WHETHER IN TORT, CONTRACT OR OTHERWISE) ARISING OUT OF ANY LOAN PARTY’S OR THE ADMINISTRATIVE AGENT’S TRANSMISSION OF COMMUNICATIONS THROUGH THE PLATFORM, EXCEPT FOR DIRECT DAMAGES SOLELY TO THE EXTENT THE LIABILITY OF ANY SUCH PERSON IS FOUND IN A FINAL NON-APPEALABLE RULING BY A COURT OF COMPETENT JURISDICTION TO HAVE RESULTED FROM SUCH PERSON’S GROSS NEGLIGENCE OR WILLFUL MISCONDUCT OR MATERIAL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Times New Roman" w:hAnsi="Times New Roman"/>
          <w:sz w:val="20"/>
          <w:u w:val="single"/>
        </w:rPr>
        <w:t>Section 9.02</w:t>
      </w:r>
      <w:r>
        <w:rPr>
          <w:rFonts w:ascii="Times New Roman" w:hAnsi="Times New Roman"/>
          <w:sz w:val="20"/>
        </w:rPr>
        <w:t xml:space="preserve">,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this </w:t>
      </w:r>
      <w:r>
        <w:rPr>
          <w:rFonts w:ascii="Times New Roman" w:hAnsi="Times New Roman"/>
          <w:sz w:val="20"/>
          <w:u w:val="single"/>
        </w:rPr>
        <w:t>Section 9.02(b)</w:t>
      </w:r>
      <w:r>
        <w:rPr>
          <w:rFonts w:ascii="Times New Roman" w:hAnsi="Times New Roman"/>
          <w:sz w:val="20"/>
        </w:rPr>
        <w:t xml:space="preserve">, </w:t>
      </w:r>
      <w:r>
        <w:rPr>
          <w:rFonts w:ascii="Times New Roman" w:hAnsi="Times New Roman"/>
          <w:sz w:val="20"/>
          <w:u w:val="single"/>
        </w:rPr>
        <w:t>Section 9.02(c)</w:t>
      </w:r>
      <w:r>
        <w:rPr>
          <w:rFonts w:ascii="Times New Roman" w:hAnsi="Times New Roman"/>
          <w:sz w:val="20"/>
        </w:rPr>
        <w:t xml:space="preserve"> and </w:t>
      </w:r>
      <w:r>
        <w:rPr>
          <w:rFonts w:ascii="Times New Roman" w:hAnsi="Times New Roman"/>
          <w:sz w:val="20"/>
          <w:u w:val="single"/>
        </w:rPr>
        <w:t>Sections 9.02(d)</w:t>
      </w:r>
      <w:r>
        <w:rPr>
          <w:rFonts w:ascii="Times New Roman" w:hAnsi="Times New Roman"/>
          <w:sz w:val="20"/>
        </w:rPr>
        <w:t xml:space="preserve"> below and to </w:t>
      </w:r>
      <w:r>
        <w:rPr>
          <w:rFonts w:ascii="Times New Roman" w:hAnsi="Times New Roman"/>
          <w:sz w:val="20"/>
          <w:u w:val="single"/>
        </w:rPr>
        <w:t>Section 9.05(f)</w:t>
      </w:r>
      <w:r>
        <w:rPr>
          <w:rFonts w:ascii="Times New Roman" w:hAnsi="Times New Roman"/>
          <w:sz w:val="20"/>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Times New Roman" w:hAnsi="Times New Roman"/>
          <w:sz w:val="20"/>
          <w:u w:val="single"/>
        </w:rPr>
        <w:t>provided</w:t>
      </w:r>
      <w:r>
        <w:rPr>
          <w:rFonts w:ascii="Times New Roman" w:hAnsi="Times New Roman"/>
          <w:sz w:val="20"/>
        </w:rPr>
        <w:t xml:space="preserve">, that, notwithstanding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each Lender directly and adversely affected thereby (but not the consent of the Required Lenders) shall be required for any waiver, amendment or modification that: </w:t>
      </w:r>
    </w:p>
    <w:p>
      <w:pPr>
        <w:pStyle w:val="TextBody"/>
        <w:bidi w:val="0"/>
        <w:spacing w:before="120" w:after="0"/>
        <w:jc w:val="left"/>
        <w:rPr>
          <w:rFonts w:ascii="Times New Roman" w:hAnsi="Times New Roman"/>
          <w:sz w:val="20"/>
        </w:rPr>
      </w:pPr>
      <w:r>
        <w:rPr>
          <w:rFonts w:ascii="Times New Roman" w:hAnsi="Times New Roman"/>
          <w:sz w:val="20"/>
        </w:rPr>
        <w:t xml:space="preserve">(1) increases the Commitment of such Lender (other than with respect to any Incremental Facility pursuant to </w:t>
      </w:r>
      <w:r>
        <w:rPr>
          <w:rFonts w:ascii="Times New Roman" w:hAnsi="Times New Roman"/>
          <w:sz w:val="20"/>
          <w:u w:val="single"/>
        </w:rPr>
        <w:t>Section 2.22</w:t>
      </w:r>
      <w:r>
        <w:rPr>
          <w:rFonts w:ascii="Times New Roman" w:hAnsi="Times New Roman"/>
          <w:sz w:val="20"/>
        </w:rPr>
        <w:t xml:space="preserve"> or any Extended Revolving Commitments pursuant to </w:t>
      </w:r>
      <w:r>
        <w:rPr>
          <w:rFonts w:ascii="Times New Roman" w:hAnsi="Times New Roman"/>
          <w:sz w:val="20"/>
          <w:u w:val="single"/>
        </w:rPr>
        <w:t>Section 2.23</w:t>
      </w:r>
      <w:r>
        <w:rPr>
          <w:rFonts w:ascii="Times New Roman" w:hAnsi="Times New Roman"/>
          <w:sz w:val="20"/>
        </w:rPr>
        <w:t xml:space="preserve"> 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(2) reduces the principal amount of any Loan or LC Disbursement or the amount of interests owed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(3) (x) extends the scheduled final maturity of any Loan or (y) postpones any Interest Payment Date with respect to any Loan held by such Lender or the date of any scheduled payment of any fee or premium payable to such Lender hereunder (in each case, other than any extension for administrative reasons agreed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(4) reduces the rate of interest (other than to waive any Default or Event of Default or obligation of the Borrower to pay interest to such Lender at the default rate of interest under </w:t>
      </w:r>
      <w:r>
        <w:rPr>
          <w:rFonts w:ascii="Times New Roman" w:hAnsi="Times New Roman"/>
          <w:sz w:val="20"/>
          <w:u w:val="single"/>
        </w:rPr>
        <w:t>Section 2.13(d)</w:t>
      </w:r>
      <w:r>
        <w:rPr>
          <w:rFonts w:ascii="Times New Roman" w:hAnsi="Times New Roman"/>
          <w:sz w:val="20"/>
        </w:rPr>
        <w:t xml:space="preserve">, which shall only require the consent of the Required Lenders) or the amount of any fee or premium owed to such Lender; it being understood that no change in any ratio used in the calculation of the Applicable Rate or the Commitment Fee Rate, if any, or in the calculation of any other interest, fee or premium due hereunder (including any component definition thereof) shall constitute a reduction in any rate of interest or fee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extends the expiry date of such Lender’s Commitment or any Letter of Credit;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 </w:t>
      </w:r>
    </w:p>
    <w:p>
      <w:pPr>
        <w:pStyle w:val="TextBody"/>
        <w:bidi w:val="0"/>
        <w:spacing w:before="120" w:after="0"/>
        <w:jc w:val="left"/>
        <w:rPr>
          <w:rFonts w:ascii="Times New Roman" w:hAnsi="Times New Roman"/>
          <w:sz w:val="20"/>
        </w:rPr>
      </w:pPr>
      <w:r>
        <w:rPr>
          <w:rFonts w:ascii="Times New Roman" w:hAnsi="Times New Roman"/>
          <w:sz w:val="20"/>
        </w:rPr>
        <w:t xml:space="preserve">(6) waives, amends or modifies the provisions of </w:t>
      </w:r>
      <w:r>
        <w:rPr>
          <w:rFonts w:ascii="Times New Roman" w:hAnsi="Times New Roman"/>
          <w:sz w:val="20"/>
          <w:u w:val="single"/>
        </w:rPr>
        <w:t>Sections 2.18(b)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this Agreement or the definition of “Applicable Percentage”, in each case, in a manner that would by its terms alter the sharing of payments required thereby and, for the avoidance of doubt, any other provision of this Agreement relating to the pro rata sharing of payments in respect of the Revolving Facility or the order in which payments are applied to repay the Obligations (in each case, except in connection with any transaction permitted under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and/or</w:t>
      </w:r>
      <w:r>
        <w:rPr>
          <w:rFonts w:ascii="Times New Roman" w:hAnsi="Times New Roman"/>
          <w:sz w:val="20"/>
          <w:u w:val="single"/>
        </w:rPr>
        <w:t xml:space="preserve"> 9.02(c)</w:t>
      </w:r>
      <w:r>
        <w:rPr>
          <w:rFonts w:ascii="Times New Roman" w:hAnsi="Times New Roman"/>
          <w:sz w:val="20"/>
        </w:rPr>
        <w:t xml:space="preserve"> or as otherwise provided in this </w:t>
      </w:r>
      <w:r>
        <w:rPr>
          <w:rFonts w:ascii="Times New Roman" w:hAnsi="Times New Roman"/>
          <w:sz w:val="20"/>
          <w:u w:val="single"/>
        </w:rPr>
        <w:t>Section 9.02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 agreement shall: </w:t>
      </w:r>
    </w:p>
    <w:p>
      <w:pPr>
        <w:pStyle w:val="TextBody"/>
        <w:bidi w:val="0"/>
        <w:spacing w:before="120" w:after="0"/>
        <w:jc w:val="left"/>
        <w:rPr>
          <w:rFonts w:ascii="Times New Roman" w:hAnsi="Times New Roman"/>
          <w:sz w:val="20"/>
        </w:rPr>
      </w:pPr>
      <w:r>
        <w:rPr>
          <w:rFonts w:ascii="Times New Roman" w:hAnsi="Times New Roman"/>
          <w:sz w:val="20"/>
        </w:rPr>
        <w:t xml:space="preserve">(1) change (x) any of the provisions of this </w:t>
      </w:r>
      <w:r>
        <w:rPr>
          <w:rFonts w:ascii="Times New Roman" w:hAnsi="Times New Roman"/>
          <w:sz w:val="20"/>
          <w:u w:val="single"/>
        </w:rPr>
        <w:t>Section 9.02</w:t>
      </w:r>
      <w:r>
        <w:rPr>
          <w:rFonts w:ascii="Times New Roman" w:hAnsi="Times New Roman"/>
          <w:sz w:val="20"/>
        </w:rPr>
        <w:t xml:space="preserve"> (including, for the avoidance of doubt, </w:t>
      </w:r>
      <w:r>
        <w:rPr>
          <w:rFonts w:ascii="Times New Roman" w:hAnsi="Times New Roman"/>
          <w:sz w:val="20"/>
          <w:u w:val="single"/>
        </w:rPr>
        <w:t>Section 9.02(a)</w:t>
      </w:r>
      <w:r>
        <w:rPr>
          <w:rFonts w:ascii="Times New Roman" w:hAnsi="Times New Roman"/>
          <w:sz w:val="20"/>
        </w:rPr>
        <w:t xml:space="preserve"> or </w:t>
      </w:r>
      <w:r>
        <w:rPr>
          <w:rFonts w:ascii="Times New Roman" w:hAnsi="Times New Roman"/>
          <w:sz w:val="20"/>
          <w:u w:val="single"/>
        </w:rPr>
        <w:t>Section 9.02(b))</w:t>
      </w:r>
      <w:r>
        <w:rPr>
          <w:rFonts w:ascii="Times New Roman" w:hAnsi="Times New Roman"/>
          <w:sz w:val="20"/>
        </w:rPr>
        <w:t xml:space="preserve"> or the definition of “Required Lenders” or any other provision specifying the number of Lenders or portion of the Loans or Commitments required to take any action under the Loan Documents,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 </w:t>
      </w:r>
    </w:p>
    <w:p>
      <w:pPr>
        <w:pStyle w:val="TextBody"/>
        <w:bidi w:val="0"/>
        <w:spacing w:before="120" w:after="0"/>
        <w:jc w:val="left"/>
        <w:rPr>
          <w:rFonts w:ascii="Times New Roman" w:hAnsi="Times New Roman"/>
          <w:sz w:val="20"/>
        </w:rPr>
      </w:pPr>
      <w:r>
        <w:rPr>
          <w:rFonts w:ascii="Times New Roman" w:hAnsi="Times New Roman"/>
          <w:sz w:val="20"/>
        </w:rPr>
        <w:t xml:space="preserve">(2) (A) release all or substantially all of the value of the Collateral from the Lien granted pursuant to the Collateral Documents (except as otherwise permitted herein or in the other Loan Documents, including pursuant to </w:t>
      </w:r>
      <w:r>
        <w:rPr>
          <w:rFonts w:ascii="Times New Roman" w:hAnsi="Times New Roman"/>
          <w:sz w:val="20"/>
          <w:u w:val="single"/>
        </w:rPr>
        <w:t>Article 8</w:t>
      </w:r>
      <w:r>
        <w:rPr>
          <w:rFonts w:ascii="Times New Roman" w:hAnsi="Times New Roman"/>
          <w:sz w:val="20"/>
        </w:rPr>
        <w:t xml:space="preserve"> or </w:t>
      </w:r>
      <w:r>
        <w:rPr>
          <w:rFonts w:ascii="Times New Roman" w:hAnsi="Times New Roman"/>
          <w:sz w:val="20"/>
          <w:u w:val="single"/>
        </w:rPr>
        <w:t>Section 9.22</w:t>
      </w:r>
      <w:r>
        <w:rPr>
          <w:rFonts w:ascii="Times New Roman" w:hAnsi="Times New Roman"/>
          <w:sz w:val="20"/>
        </w:rPr>
        <w:t xml:space="preserve"> hereof), without the prior written consent of each Lender or (B) (I) contractually subordinate the Lien on a material portion of the Collateral, taken as a whole (as determined by the Borrower in good faith) securing the Secured Obligations to any other Indebtedness for borrowed money (other than in connection with any Acceptable Debtor-In-Possession Financing or the use of Collateral in any proceeding under any Debtor Relief Law or (II) expressly contractually subordinate the Loans in right of payment to any other Indebtedness for borrowed money or Indebtedness of the kind described in </w:t>
      </w:r>
      <w:r>
        <w:rPr>
          <w:rFonts w:ascii="Times New Roman" w:hAnsi="Times New Roman"/>
          <w:sz w:val="20"/>
          <w:u w:val="single"/>
        </w:rPr>
        <w:t>clause (c)</w:t>
      </w:r>
      <w:r>
        <w:rPr>
          <w:rFonts w:ascii="Times New Roman" w:hAnsi="Times New Roman"/>
          <w:sz w:val="20"/>
        </w:rPr>
        <w:t xml:space="preserve"> of the definition thereof, in each case, without the prior written consent of each Lender directly and adversely affected thereby (but not the Required Lenders); or </w:t>
      </w:r>
    </w:p>
    <w:p>
      <w:pPr>
        <w:pStyle w:val="TextBody"/>
        <w:bidi w:val="0"/>
        <w:spacing w:before="120" w:after="0"/>
        <w:jc w:val="left"/>
        <w:rPr>
          <w:rFonts w:ascii="Times New Roman" w:hAnsi="Times New Roman"/>
          <w:sz w:val="20"/>
        </w:rPr>
      </w:pPr>
      <w:r>
        <w:rPr>
          <w:rFonts w:ascii="Times New Roman" w:hAnsi="Times New Roman"/>
          <w:sz w:val="20"/>
        </w:rPr>
        <w:t xml:space="preserve">(3) release all or substantially all of the value of the Guarantees under the Loan Guaranty (except as otherwise permitted herein or in the other Loan Documents, including pursuant to </w:t>
      </w:r>
      <w:r>
        <w:rPr>
          <w:rFonts w:ascii="Times New Roman" w:hAnsi="Times New Roman"/>
          <w:sz w:val="20"/>
          <w:u w:val="single"/>
        </w:rPr>
        <w:t>Section 9.22</w:t>
      </w:r>
      <w:r>
        <w:rPr>
          <w:rFonts w:ascii="Times New Roman" w:hAnsi="Times New Roman"/>
          <w:sz w:val="20"/>
        </w:rPr>
        <w:t xml:space="preserve"> hereof), without the prior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(C) solely with the consent of the relevant Issuing Banks and, in the case of </w:t>
      </w:r>
      <w:r>
        <w:rPr>
          <w:rFonts w:ascii="Times New Roman" w:hAnsi="Times New Roman"/>
          <w:sz w:val="20"/>
          <w:u w:val="single"/>
        </w:rPr>
        <w:t>clause (x)</w:t>
      </w:r>
      <w:r>
        <w:rPr>
          <w:rFonts w:ascii="Times New Roman" w:hAnsi="Times New Roman"/>
          <w:sz w:val="20"/>
        </w:rPr>
        <w:t xml:space="preserve">, the Administrative Agent, any such agreement may (x) increase or decrease the Letter of Credit Sublimit and/or (y) waive, amend or modify any condition precedent set forth in </w:t>
      </w:r>
      <w:r>
        <w:rPr>
          <w:rFonts w:ascii="Times New Roman" w:hAnsi="Times New Roman"/>
          <w:sz w:val="20"/>
          <w:u w:val="single"/>
        </w:rPr>
        <w:t>Section 4.02</w:t>
      </w:r>
      <w:r>
        <w:rPr>
          <w:rFonts w:ascii="Times New Roman" w:hAnsi="Times New Roman"/>
          <w:sz w:val="20"/>
        </w:rPr>
        <w:t xml:space="preserve"> hereof as it pertains to the issuance of any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such agreement shall amend, modify or otherwise affect the rights or duties of the Administrative Agent or any Issuing Bank or the Swingline Lender hereunder without the prior written consent of the Administrative Agent or such Issuing Bank or the Swingline Lender,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(E) solely with the consent of the Swingline Lender, each Revolving Lender and the Administrative Agent, any such agreement may increase or decrease the sublimit applicable to Swingline Loans; and </w:t>
      </w:r>
    </w:p>
    <w:p>
      <w:pPr>
        <w:pStyle w:val="TextBody"/>
        <w:bidi w:val="0"/>
        <w:spacing w:before="120" w:after="0"/>
        <w:jc w:val="left"/>
        <w:rPr>
          <w:rFonts w:ascii="Times New Roman" w:hAnsi="Times New Roman"/>
          <w:sz w:val="20"/>
        </w:rPr>
      </w:pPr>
      <w:r>
        <w:rPr>
          <w:rFonts w:ascii="Times New Roman" w:hAnsi="Times New Roman"/>
          <w:sz w:val="20"/>
        </w:rPr>
        <w:t xml:space="preserve">(F) the consent of the Administrative Agent (but not the consent of the Required Lenders) shall be required for any amendment or modification that adds one or more provisions to the Loan Documents that are, in the reasonable judgment of the Administrative Agent, favorable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this Agreement may be amended: </w:t>
      </w:r>
    </w:p>
    <w:p>
      <w:pPr>
        <w:pStyle w:val="TextBody"/>
        <w:bidi w:val="0"/>
        <w:spacing w:before="120" w:after="0"/>
        <w:jc w:val="left"/>
        <w:rPr>
          <w:rFonts w:ascii="Times New Roman" w:hAnsi="Times New Roman"/>
          <w:sz w:val="20"/>
        </w:rPr>
      </w:pPr>
      <w:r>
        <w:rPr>
          <w:rFonts w:ascii="Times New Roman" w:hAnsi="Times New Roman"/>
          <w:sz w:val="20"/>
        </w:rPr>
        <w:t xml:space="preserve">(i) [reserved]; and </w:t>
      </w:r>
    </w:p>
    <w:p>
      <w:pPr>
        <w:pStyle w:val="TextBody"/>
        <w:bidi w:val="0"/>
        <w:spacing w:before="120" w:after="0"/>
        <w:jc w:val="left"/>
        <w:rPr>
          <w:rFonts w:ascii="Times New Roman" w:hAnsi="Times New Roman"/>
          <w:sz w:val="20"/>
        </w:rPr>
      </w:pPr>
      <w:r>
        <w:rPr>
          <w:rFonts w:ascii="Times New Roman" w:hAnsi="Times New Roman"/>
          <w:sz w:val="20"/>
        </w:rPr>
        <w:t>(ii) with the written consent of the Borrower and the Lenders providing the relevant Replacement Revolving Facility to permit the refinancing or replacement of all or any portion of any Revolving Commitment of the applicable Class (any such Revolving Commitment being refinanced or replaced, a “</w:t>
      </w:r>
      <w:r>
        <w:rPr>
          <w:rFonts w:ascii="Times New Roman" w:hAnsi="Times New Roman"/>
          <w:sz w:val="20"/>
          <w:u w:val="single"/>
        </w:rPr>
        <w:t>Replaced Revolving Facility</w:t>
      </w:r>
      <w:r>
        <w:rPr>
          <w:rFonts w:ascii="Times New Roman" w:hAnsi="Times New Roman"/>
          <w:sz w:val="20"/>
        </w:rPr>
        <w:t>”) with a replacement revolving facility and/or term loans hereunder (a “</w:t>
      </w:r>
      <w:r>
        <w:rPr>
          <w:rFonts w:ascii="Times New Roman" w:hAnsi="Times New Roman"/>
          <w:sz w:val="20"/>
          <w:u w:val="single"/>
        </w:rPr>
        <w:t>Replacement Revolving Facility</w:t>
      </w:r>
      <w:r>
        <w:rPr>
          <w:rFonts w:ascii="Times New Roman" w:hAnsi="Times New Roman"/>
          <w:sz w:val="20"/>
        </w:rPr>
        <w:t>” and the loans in respect thereof, “</w:t>
      </w:r>
      <w:r>
        <w:rPr>
          <w:rFonts w:ascii="Times New Roman" w:hAnsi="Times New Roman"/>
          <w:sz w:val="20"/>
          <w:u w:val="single"/>
        </w:rPr>
        <w:t>Replacement Revolving Loans</w:t>
      </w:r>
      <w:r>
        <w:rPr>
          <w:rFonts w:ascii="Times New Roman" w:hAnsi="Times New Roman"/>
          <w:sz w:val="20"/>
        </w:rPr>
        <w:t xml:space="preserve">”) pursuant to a Refinancing Amendment;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maximum amount of any Replacement Revolving Facility shall not exceed the aggregate maximum amount of the commitments in respect of the relevant Replaced Revolving Facility plus (1) any additional amount permitted to be incurred under </w:t>
      </w:r>
      <w:r>
        <w:rPr>
          <w:rFonts w:ascii="Times New Roman" w:hAnsi="Times New Roman"/>
          <w:sz w:val="20"/>
          <w:u w:val="single"/>
        </w:rPr>
        <w:t>Section 6.01</w:t>
      </w:r>
      <w:r>
        <w:rPr>
          <w:rFonts w:ascii="Times New Roman" w:hAnsi="Times New Roman"/>
          <w:sz w:val="20"/>
        </w:rPr>
        <w:t xml:space="preserve"> (other than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Section 6.01(p)</w:t>
      </w:r>
      <w:r>
        <w:rPr>
          <w:rFonts w:ascii="Times New Roman" w:hAnsi="Times New Roman"/>
          <w:sz w:val="20"/>
        </w:rPr>
        <w:t xml:space="preserve"> to the extent relating thereto) and, to the extent any such additional amount is secured, the related Lien is permitted under </w:t>
      </w:r>
      <w:r>
        <w:rPr>
          <w:rFonts w:ascii="Times New Roman" w:hAnsi="Times New Roman"/>
          <w:sz w:val="20"/>
          <w:u w:val="single"/>
        </w:rPr>
        <w:t>Section 6.02</w:t>
      </w:r>
      <w:r>
        <w:rPr>
          <w:rFonts w:ascii="Times New Roman" w:hAnsi="Times New Roman"/>
          <w:sz w:val="20"/>
        </w:rPr>
        <w:t xml:space="preserve"> (other than </w:t>
      </w:r>
      <w:r>
        <w:rPr>
          <w:rFonts w:ascii="Times New Roman" w:hAnsi="Times New Roman"/>
          <w:sz w:val="20"/>
          <w:u w:val="single"/>
        </w:rPr>
        <w:t>Section 6.02(a)</w:t>
      </w:r>
      <w:r>
        <w:rPr>
          <w:rFonts w:ascii="Times New Roman" w:hAnsi="Times New Roman"/>
          <w:sz w:val="20"/>
        </w:rPr>
        <w:t xml:space="preserve"> or </w:t>
      </w:r>
      <w:r>
        <w:rPr>
          <w:rFonts w:ascii="Times New Roman" w:hAnsi="Times New Roman"/>
          <w:sz w:val="20"/>
          <w:u w:val="single"/>
        </w:rPr>
        <w:t>Section 6.02(k)</w:t>
      </w:r>
      <w:r>
        <w:rPr>
          <w:rFonts w:ascii="Times New Roman" w:hAnsi="Times New Roman"/>
          <w:sz w:val="20"/>
        </w:rPr>
        <w:t xml:space="preserve"> to the extent relating to any of the foregoing) and plus (2) the amount of any accrued interest, penalty and/or premium (including any tender premium) thereon, any committed but undrawn amount, and/or any underwriting discount, fees (including any upfront fee and/or original issue discount), commission and/or expense associated therewith), </w:t>
      </w:r>
    </w:p>
    <w:p>
      <w:pPr>
        <w:pStyle w:val="TextBody"/>
        <w:bidi w:val="0"/>
        <w:spacing w:before="120" w:after="0"/>
        <w:jc w:val="left"/>
        <w:rPr>
          <w:rFonts w:ascii="Times New Roman" w:hAnsi="Times New Roman"/>
          <w:sz w:val="20"/>
        </w:rPr>
      </w:pPr>
      <w:r>
        <w:rPr>
          <w:rFonts w:ascii="Times New Roman" w:hAnsi="Times New Roman"/>
          <w:sz w:val="20"/>
        </w:rPr>
        <w:t xml:space="preserve">(B) any Class of Replacement Revolving Loans must have a final maturity date that is equal to or later than, and shall not provide or any scheduled or mandatory commitment reductions prior to, the final maturity date of the applicable Replaced Revolving Facility at the time of the relevant refinancing, </w:t>
      </w:r>
    </w:p>
    <w:p>
      <w:pPr>
        <w:pStyle w:val="TextBody"/>
        <w:bidi w:val="0"/>
        <w:spacing w:before="120" w:after="0"/>
        <w:jc w:val="left"/>
        <w:rPr>
          <w:rFonts w:ascii="Times New Roman" w:hAnsi="Times New Roman"/>
          <w:sz w:val="20"/>
        </w:rPr>
      </w:pPr>
      <w:r>
        <w:rPr>
          <w:rFonts w:ascii="Times New Roman" w:hAnsi="Times New Roman"/>
          <w:sz w:val="20"/>
        </w:rPr>
        <w:t xml:space="preserve">(C) any Class of Replacement Revolving Loans may be </w:t>
      </w:r>
      <w:r>
        <w:rPr>
          <w:rFonts w:ascii="Times New Roman" w:hAnsi="Times New Roman"/>
          <w:i/>
          <w:sz w:val="20"/>
        </w:rPr>
        <w:t>pari passu</w:t>
      </w:r>
      <w:r>
        <w:rPr>
          <w:rFonts w:ascii="Times New Roman" w:hAnsi="Times New Roman"/>
          <w:sz w:val="20"/>
        </w:rPr>
        <w:t xml:space="preserve"> with or junior to any then-existing Class of Revolving Loans in right of payment and may be </w:t>
      </w:r>
      <w:r>
        <w:rPr>
          <w:rFonts w:ascii="Times New Roman" w:hAnsi="Times New Roman"/>
          <w:i/>
          <w:sz w:val="20"/>
        </w:rPr>
        <w:t>pari passu</w:t>
      </w:r>
      <w:r>
        <w:rPr>
          <w:rFonts w:ascii="Times New Roman" w:hAnsi="Times New Roman"/>
          <w:sz w:val="20"/>
        </w:rPr>
        <w:t xml:space="preserve"> with or junior to such Class of Revolving Loans with respect to the Collateral or unsecured; </w:t>
      </w:r>
      <w:r>
        <w:rPr>
          <w:rFonts w:ascii="Times New Roman" w:hAnsi="Times New Roman"/>
          <w:sz w:val="20"/>
          <w:u w:val="single"/>
        </w:rPr>
        <w:t>provided</w:t>
      </w:r>
      <w:r>
        <w:rPr>
          <w:rFonts w:ascii="Times New Roman" w:hAnsi="Times New Roman"/>
          <w:sz w:val="20"/>
        </w:rPr>
        <w:t xml:space="preserve"> that (i) any such Class of Replacement Revolving Loans that is </w:t>
      </w:r>
      <w:r>
        <w:rPr>
          <w:rFonts w:ascii="Times New Roman" w:hAnsi="Times New Roman"/>
          <w:i/>
          <w:sz w:val="20"/>
        </w:rPr>
        <w:t>pari passu</w:t>
      </w:r>
      <w:r>
        <w:rPr>
          <w:rFonts w:ascii="Times New Roman" w:hAnsi="Times New Roman"/>
          <w:sz w:val="20"/>
        </w:rPr>
        <w:t xml:space="preserve"> with or junior to any then-existing Class of Revolving Loan shall be subject to an Acceptable Intercreditor Agreement and may be, at the option of the Administrative Agent and the Borrower, documented in a separate agreement or agreements and (ii) if the Liens on Collateral securing the Replaced Revolving Facility were contractually subordinated to the Liens on the Collateral securing the Initial Revolving Facility, the Liens securing such Replacement Revolving Facility shall be subordinated to the Liens on the Collateral securing the Initial Revolving Facility on terms not materially less favorable (as determined by the Borrower in good faith), taken as a whole, to the Lenders than those applicable to the Liens securing the Replaced Revolving Facility,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Class of Replacement Revolving Loans that is secured may not be secured by any asset other than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(E) any Class of Replacement Revolving Loans that is guaranteed may not be guaranteed by any Person other than one or more Loan Guarantors, </w:t>
      </w:r>
    </w:p>
    <w:p>
      <w:pPr>
        <w:pStyle w:val="TextBody"/>
        <w:bidi w:val="0"/>
        <w:spacing w:before="120" w:after="0"/>
        <w:jc w:val="left"/>
        <w:rPr>
          <w:rFonts w:ascii="Times New Roman" w:hAnsi="Times New Roman"/>
          <w:sz w:val="20"/>
        </w:rPr>
      </w:pPr>
      <w:r>
        <w:rPr>
          <w:rFonts w:ascii="Times New Roman" w:hAnsi="Times New Roman"/>
          <w:sz w:val="20"/>
        </w:rPr>
        <w:t xml:space="preserve">(F) (1) if the relevant Replacement Revolving Facility is a revolving facility, such Replacement Revolving Facility may provide for the borrowing and repayment (except for (x) payments of interest and fees at different rates on the Revolving Facilities (and related outstandings), (y) repayments required on the Maturity Date of any Revolving Facility and (z) repayments made in connection with a permanent repayment and termination of the Revolving Commitments under any Revolving Facility (subject to </w:t>
      </w:r>
      <w:r>
        <w:rPr>
          <w:rFonts w:ascii="Times New Roman" w:hAnsi="Times New Roman"/>
          <w:sz w:val="20"/>
          <w:u w:val="single"/>
        </w:rPr>
        <w:t>clause (3)</w:t>
      </w:r>
      <w:r>
        <w:rPr>
          <w:rFonts w:ascii="Times New Roman" w:hAnsi="Times New Roman"/>
          <w:sz w:val="20"/>
        </w:rPr>
        <w:t xml:space="preserve"> below)) of Revolving Loans with respect to any Revolving Facility after the effective date of such Replacement Revolving Facility shall be made on a pro rata basis or less than pro rata basis with all other Revolving Facilities, (2) if the relevant Replacement Revolving Facility is a revolving facility, all Letters of Credit shall be participated on a pro rata basis by all Revolving Lenders and (3) if the relevant Replacement Revolving Facility is a revolving facility, any permanent repayment of Revolving Loans with respect to, and reduction and termination of Revolving Commitments under, any Revolving Facility after the effective date of such Replacement Revolving Facility shall be made on a pro rata basis or less than pro rata basis with all other Revolving Facilities, or, to the extent such Replacement Revolving Facility is terminated in full and refinanced or replaced with another Replacement Revolving Facility or Replacement Debt a greater than pro rata basis, </w:t>
      </w:r>
    </w:p>
    <w:p>
      <w:pPr>
        <w:pStyle w:val="TextBody"/>
        <w:bidi w:val="0"/>
        <w:spacing w:before="120" w:after="0"/>
        <w:jc w:val="left"/>
        <w:rPr>
          <w:rFonts w:ascii="Times New Roman" w:hAnsi="Times New Roman"/>
          <w:sz w:val="20"/>
        </w:rPr>
      </w:pPr>
      <w:r>
        <w:rPr>
          <w:rFonts w:ascii="Times New Roman" w:hAnsi="Times New Roman"/>
          <w:sz w:val="20"/>
        </w:rPr>
        <w:t xml:space="preserve">(G) any Replacement Revolving Facility may have pricing (including interest, fees and premiums) subject to preceding </w:t>
      </w:r>
      <w:r>
        <w:rPr>
          <w:rFonts w:ascii="Times New Roman" w:hAnsi="Times New Roman"/>
          <w:sz w:val="20"/>
          <w:u w:val="single"/>
        </w:rPr>
        <w:t>clause (F)</w:t>
      </w:r>
      <w:r>
        <w:rPr>
          <w:rFonts w:ascii="Times New Roman" w:hAnsi="Times New Roman"/>
          <w:sz w:val="20"/>
        </w:rPr>
        <w:t xml:space="preserve">, optional prepayment and redemption terms as the Borrower and the lenders providing such Replacement Revolving Facility may agree, </w:t>
      </w:r>
    </w:p>
    <w:p>
      <w:pPr>
        <w:pStyle w:val="TextBody"/>
        <w:bidi w:val="0"/>
        <w:spacing w:before="120" w:after="0"/>
        <w:jc w:val="left"/>
        <w:rPr>
          <w:rFonts w:ascii="Times New Roman" w:hAnsi="Times New Roman"/>
          <w:sz w:val="20"/>
        </w:rPr>
      </w:pPr>
      <w:r>
        <w:rPr>
          <w:rFonts w:ascii="Times New Roman" w:hAnsi="Times New Roman"/>
          <w:sz w:val="20"/>
        </w:rPr>
        <w:t xml:space="preserve">(H) the other terms and conditions of any Class of Replacement Revolving Loans (excluding as set forth above) are (x) substantially identical to, or (taken as a whole) no more favorable (as reasonably determined by the Borrower)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such Replacement Revolving Facility)), (y) provided on then-current market terms (as reasonably determined by the Borrower) for the applicable type of Indebtedness or (z) reasonably acceptable to the Administrative Agent (it being agreed that terms and conditions of any Replacement Revolving Facility that are more favorable to the lenders or the agent of such Replacement Revolving Facility than those contained in the Loan Documents and are then conformed (or added) to the Loan Documents pursuant to the applicable Refinancing Amendment shall be deemed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the commitments in respect of the relevant Replaced Revolving Facility (or the relevant portion thereof) shall be terminated, and all loans outstanding in respect of such Replaced Revolving Facility and all accrued interest and fees and other amounts then due and payable in connection therewith shall be paid in full, in each case on the date any Replacement Revolving Facility is implemented, and </w:t>
      </w:r>
    </w:p>
    <w:p>
      <w:pPr>
        <w:pStyle w:val="TextBody"/>
        <w:bidi w:val="0"/>
        <w:spacing w:before="120" w:after="0"/>
        <w:jc w:val="left"/>
        <w:rPr>
          <w:rFonts w:ascii="Times New Roman" w:hAnsi="Times New Roman"/>
          <w:sz w:val="20"/>
        </w:rPr>
      </w:pPr>
      <w:r>
        <w:rPr>
          <w:rFonts w:ascii="Times New Roman" w:hAnsi="Times New Roman"/>
          <w:sz w:val="20"/>
        </w:rPr>
        <w:t xml:space="preserve">(J) any Replacement Revolving Facility may be provided by any existing Lender and/or any other Eligible Assignee; </w:t>
      </w:r>
      <w:r>
        <w:rPr>
          <w:rFonts w:ascii="Times New Roman" w:hAnsi="Times New Roman"/>
          <w:sz w:val="20"/>
          <w:u w:val="single"/>
        </w:rPr>
        <w:t>provided</w:t>
      </w:r>
      <w:r>
        <w:rPr>
          <w:rFonts w:ascii="Times New Roman" w:hAnsi="Times New Roman"/>
          <w:sz w:val="20"/>
        </w:rPr>
        <w:t xml:space="preserve"> that the Administrative Agent (and, in the case of any Replacement Revolving Facility that constitutes a revolving facility, the Swingline Lender and any Issuing Bank) shall have a right to consent (such consent not to be unreasonably withheld, conditioned or delayed) to the relevant Person’s provision of a Replacement Revolving Facility if such consent would be required under </w:t>
      </w:r>
      <w:r>
        <w:rPr>
          <w:rFonts w:ascii="Times New Roman" w:hAnsi="Times New Roman"/>
          <w:sz w:val="20"/>
          <w:u w:val="single"/>
        </w:rPr>
        <w:t>Section 9.05(b)</w:t>
      </w:r>
      <w:r>
        <w:rPr>
          <w:rFonts w:ascii="Times New Roman" w:hAnsi="Times New Roman"/>
          <w:sz w:val="20"/>
        </w:rPr>
        <w:t xml:space="preserve"> for an assignment of Loans to the relevant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party hereto hereby agrees that this Agreement may be amended by the Borrower, the Administrative Agent and the lenders providing the relevant Replacement Revolving Facility to the extent (but only to the extent) necessary to reflect the existence and terms of such Class of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Revolving Facility may elect or decline, in its sole discretion, to provide such Class of Replacement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this </w:t>
      </w:r>
      <w:r>
        <w:rPr>
          <w:rFonts w:ascii="Times New Roman" w:hAnsi="Times New Roman"/>
          <w:sz w:val="20"/>
          <w:u w:val="single"/>
        </w:rPr>
        <w:t>Section 9.02</w:t>
      </w:r>
      <w:r>
        <w:rPr>
          <w:rFonts w:ascii="Times New Roman" w:hAnsi="Times New Roman"/>
          <w:sz w:val="20"/>
        </w:rPr>
        <w:t xml:space="preserve"> or any other provision of this Agreement or any provision of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and the Administrative Agent may, without the input or consent of any Lender, amend, supplement and/or waive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and the Administrative Agent may, without the input or consent of any other Lender (other than the relevant Lenders (including Incremental Lenders) providing Loans under such Sections), effect amendments to this Agreement and the other Loan Documents as may be necessary in the reasonable opinion of the Borrower and the Administrative Agent to (1) effect the provisions of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w:t>
      </w:r>
      <w:r>
        <w:rPr>
          <w:rFonts w:ascii="Times New Roman" w:hAnsi="Times New Roman"/>
          <w:sz w:val="20"/>
          <w:u w:val="single"/>
        </w:rPr>
        <w:t>5.12</w:t>
      </w:r>
      <w:r>
        <w:rPr>
          <w:rFonts w:ascii="Times New Roman" w:hAnsi="Times New Roman"/>
          <w:sz w:val="20"/>
        </w:rPr>
        <w:t xml:space="preserve">, </w:t>
      </w:r>
      <w:r>
        <w:rPr>
          <w:rFonts w:ascii="Times New Roman" w:hAnsi="Times New Roman"/>
          <w:sz w:val="20"/>
          <w:u w:val="single"/>
        </w:rPr>
        <w:t>6.10</w:t>
      </w:r>
      <w:r>
        <w:rPr>
          <w:rFonts w:ascii="Times New Roman" w:hAnsi="Times New Roman"/>
          <w:sz w:val="20"/>
        </w:rPr>
        <w:t xml:space="preserve">, </w:t>
      </w:r>
      <w:r>
        <w:rPr>
          <w:rFonts w:ascii="Times New Roman" w:hAnsi="Times New Roman"/>
          <w:sz w:val="20"/>
          <w:u w:val="single"/>
        </w:rPr>
        <w:t>6.13</w:t>
      </w:r>
      <w:r>
        <w:rPr>
          <w:rFonts w:ascii="Times New Roman" w:hAnsi="Times New Roman"/>
          <w:sz w:val="20"/>
        </w:rPr>
        <w:t xml:space="preserve"> and/or </w:t>
      </w:r>
      <w:r>
        <w:rPr>
          <w:rFonts w:ascii="Times New Roman" w:hAnsi="Times New Roman"/>
          <w:sz w:val="20"/>
          <w:u w:val="single"/>
        </w:rPr>
        <w:t>9.02(c)</w:t>
      </w:r>
      <w:r>
        <w:rPr>
          <w:rFonts w:ascii="Times New Roman" w:hAnsi="Times New Roman"/>
          <w:sz w:val="20"/>
        </w:rPr>
        <w:t xml:space="preserve">, or any other provision specifying that any waiver, amendment or modification may be made with the consent or approval of the Administrative Agent and/or (2) to add terms (including representations and warranties, conditions, prepayments, covenants or events of default), in connection with the addition of any Loan or Commitment hereunder, that are favorable to the then-existing Lenders, as reasonably determined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(iii) 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 acting jointly, </w:t>
      </w:r>
    </w:p>
    <w:p>
      <w:pPr>
        <w:pStyle w:val="TextBody"/>
        <w:bidi w:val="0"/>
        <w:spacing w:before="120" w:after="0"/>
        <w:jc w:val="left"/>
        <w:rPr>
          <w:rFonts w:ascii="Times New Roman" w:hAnsi="Times New Roman"/>
          <w:sz w:val="20"/>
        </w:rPr>
      </w:pPr>
      <w:r>
        <w:rPr>
          <w:rFonts w:ascii="Times New Roman" w:hAnsi="Times New Roman"/>
          <w:sz w:val="20"/>
        </w:rPr>
        <w:t xml:space="preserve">(iv) the Administrative Agent and the Borrower may amend, restate, amend and restate or otherwise modify any Acceptable Intercreditor Agreement and/or any other Additional Agreement as provided therein, </w:t>
      </w:r>
    </w:p>
    <w:p>
      <w:pPr>
        <w:pStyle w:val="TextBody"/>
        <w:bidi w:val="0"/>
        <w:spacing w:before="120" w:after="0"/>
        <w:jc w:val="left"/>
        <w:rPr>
          <w:rFonts w:ascii="Times New Roman" w:hAnsi="Times New Roman"/>
          <w:sz w:val="20"/>
        </w:rPr>
      </w:pPr>
      <w:r>
        <w:rPr>
          <w:rFonts w:ascii="Times New Roman" w:hAnsi="Times New Roman"/>
          <w:sz w:val="20"/>
        </w:rPr>
        <w:t xml:space="preserve">(v) the Administrative Agent may amend the Commitment Schedule to reflect assignments entered into pursuant to </w:t>
      </w:r>
      <w:r>
        <w:rPr>
          <w:rFonts w:ascii="Times New Roman" w:hAnsi="Times New Roman"/>
          <w:sz w:val="20"/>
          <w:u w:val="single"/>
        </w:rPr>
        <w:t>Section 9.05</w:t>
      </w:r>
      <w:r>
        <w:rPr>
          <w:rFonts w:ascii="Times New Roman" w:hAnsi="Times New Roman"/>
          <w:sz w:val="20"/>
        </w:rPr>
        <w:t xml:space="preserve">, Commitment reductions or terminations pursuant to </w:t>
      </w:r>
      <w:r>
        <w:rPr>
          <w:rFonts w:ascii="Times New Roman" w:hAnsi="Times New Roman"/>
          <w:sz w:val="20"/>
          <w:u w:val="single"/>
        </w:rPr>
        <w:t>Section 2.09</w:t>
      </w:r>
      <w:r>
        <w:rPr>
          <w:rFonts w:ascii="Times New Roman" w:hAnsi="Times New Roman"/>
          <w:sz w:val="20"/>
        </w:rPr>
        <w:t xml:space="preserve">, implementations of Additional Commitments or incurrences of Additional Loans pursuant to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or </w:t>
      </w:r>
      <w:r>
        <w:rPr>
          <w:rFonts w:ascii="Times New Roman" w:hAnsi="Times New Roman"/>
          <w:sz w:val="20"/>
          <w:u w:val="single"/>
        </w:rPr>
        <w:t>9.02(c)</w:t>
      </w:r>
      <w:r>
        <w:rPr>
          <w:rFonts w:ascii="Times New Roman" w:hAnsi="Times New Roman"/>
          <w:sz w:val="20"/>
        </w:rPr>
        <w:t xml:space="preserve"> and reductions or terminations of any such Additional Commitments or Additional Loans, </w:t>
      </w:r>
    </w:p>
    <w:p>
      <w:pPr>
        <w:pStyle w:val="TextBody"/>
        <w:bidi w:val="0"/>
        <w:spacing w:before="120" w:after="0"/>
        <w:jc w:val="left"/>
        <w:rPr>
          <w:rFonts w:ascii="Times New Roman" w:hAnsi="Times New Roman"/>
          <w:sz w:val="20"/>
        </w:rPr>
      </w:pPr>
      <w:r>
        <w:rPr>
          <w:rFonts w:ascii="Times New Roman" w:hAnsi="Times New Roman"/>
          <w:sz w:val="20"/>
        </w:rPr>
        <w:t xml:space="preserve">(vi) no Defaulting Lender shall have any right to approve or disapprove any amendment, waiver or consent hereunder, except as permitted pursuant to </w:t>
      </w:r>
      <w:r>
        <w:rPr>
          <w:rFonts w:ascii="Times New Roman" w:hAnsi="Times New Roman"/>
          <w:sz w:val="20"/>
          <w:u w:val="single"/>
        </w:rPr>
        <w:t>Section 2.21(b)</w:t>
      </w:r>
      <w:r>
        <w:rPr>
          <w:rFonts w:ascii="Times New Roman" w:hAnsi="Times New Roman"/>
          <w:sz w:val="20"/>
        </w:rPr>
        <w:t xml:space="preserve"> and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Times New Roman" w:hAnsi="Times New Roman"/>
          <w:sz w:val="20"/>
          <w:u w:val="single"/>
        </w:rPr>
        <w:t>Section 2.21(b)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 </w:t>
      </w:r>
    </w:p>
    <w:p>
      <w:pPr>
        <w:pStyle w:val="TextBody"/>
        <w:bidi w:val="0"/>
        <w:spacing w:before="120" w:after="0"/>
        <w:jc w:val="left"/>
        <w:rPr>
          <w:rFonts w:ascii="Times New Roman" w:hAnsi="Times New Roman"/>
          <w:sz w:val="20"/>
        </w:rPr>
      </w:pPr>
      <w:r>
        <w:rPr>
          <w:rFonts w:ascii="Times New Roman" w:hAnsi="Times New Roman"/>
          <w:sz w:val="20"/>
        </w:rPr>
        <w:t xml:space="preserve">(viii) any amendment, waiver or modification of any term or provision that solely affects Lenders under one or more Classes and does not directly affect Lenders under one or more other Classes (including any waiver or modification of any condition to any extension of credit under any Class of Commitments and pricing) may be effected with the consent of Lenders owning 50% of the aggregate commitments or Loans of such directly affected Class in lieu of the consent of the Required Lenders (or 100% in lieu of all Lenders, in each case, to the extent such amendment, waiver or modification would otherwise require such a greater percentage), </w:t>
      </w:r>
    </w:p>
    <w:p>
      <w:pPr>
        <w:pStyle w:val="TextBody"/>
        <w:bidi w:val="0"/>
        <w:spacing w:before="120" w:after="0"/>
        <w:jc w:val="left"/>
        <w:rPr>
          <w:rFonts w:ascii="Times New Roman" w:hAnsi="Times New Roman"/>
          <w:sz w:val="20"/>
        </w:rPr>
      </w:pPr>
      <w:r>
        <w:rPr>
          <w:rFonts w:ascii="Times New Roman" w:hAnsi="Times New Roman"/>
          <w:sz w:val="20"/>
        </w:rPr>
        <w:t xml:space="preserve">(ix) the Administrative Agent may make Conforming Changes without the input or consent of any other party to this Agreement and the definition of “Term SOFR” may be amended in the manner prescribed in </w:t>
      </w:r>
      <w:r>
        <w:rPr>
          <w:rFonts w:ascii="Times New Roman" w:hAnsi="Times New Roman"/>
          <w:sz w:val="20"/>
          <w:u w:val="single"/>
        </w:rPr>
        <w:t>Section 2.14(b)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this Agreement may be amended in the manner prescribed in Sections </w:t>
      </w:r>
      <w:r>
        <w:rPr>
          <w:rFonts w:ascii="Times New Roman" w:hAnsi="Times New Roman"/>
          <w:sz w:val="20"/>
          <w:u w:val="single"/>
        </w:rPr>
        <w:t>2.22(e)</w:t>
      </w:r>
      <w:r>
        <w:rPr>
          <w:rFonts w:ascii="Times New Roman" w:hAnsi="Times New Roman"/>
          <w:sz w:val="20"/>
        </w:rPr>
        <w:t xml:space="preserve"> and </w:t>
      </w:r>
      <w:r>
        <w:rPr>
          <w:rFonts w:ascii="Times New Roman" w:hAnsi="Times New Roman"/>
          <w:sz w:val="20"/>
          <w:u w:val="single"/>
        </w:rPr>
        <w:t>2.23(c)</w:t>
      </w:r>
      <w:r>
        <w:rPr>
          <w:rFonts w:ascii="Times New Roman" w:hAnsi="Times New Roman"/>
          <w:sz w:val="20"/>
        </w:rPr>
        <w:t xml:space="preserve">; it being understood and agreed that any such amendment may provide that with respect to any Class of Loans and/or Commitments that is structured as a “delayed draw” or similar facility, any condition precedent to the funding of any Loan thereunder may be waived, amended or modified solely with the consent of the majority of the required holders of such Loans and/or Commitments (or such other percentage of such holders as may be required in the amendment implementing such Class of Loans and/or Commitments (and without the consent of the Required Lenders or any other Lenders)); </w:t>
      </w:r>
    </w:p>
    <w:p>
      <w:pPr>
        <w:pStyle w:val="TextBody"/>
        <w:bidi w:val="0"/>
        <w:spacing w:before="120" w:after="0"/>
        <w:jc w:val="left"/>
        <w:rPr>
          <w:rFonts w:ascii="Times New Roman" w:hAnsi="Times New Roman"/>
          <w:sz w:val="20"/>
        </w:rPr>
      </w:pPr>
      <w:r>
        <w:rPr>
          <w:rFonts w:ascii="Times New Roman" w:hAnsi="Times New Roman"/>
          <w:sz w:val="20"/>
        </w:rPr>
        <w:t xml:space="preserve">(xi) notwithstanding anything to the contrary herein, the Agency Fee Letter may be amended solely with the consent of the Borrower and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(xii) the Required Lenders, without the consent of any other Lender, may (A) rescind any acceleration of the Loans and/or any other Obligation pursuant to Article 7 and/or (B) agree that the Administrative Agent and the Lenders will forbear from exercising any remedy provided under any Loan Document with respect to any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9.05(f)</w:t>
      </w:r>
      <w:r>
        <w:rPr>
          <w:rFonts w:ascii="Times New Roman" w:hAnsi="Times New Roman"/>
          <w:sz w:val="20"/>
        </w:rPr>
        <w:t xml:space="preserve">, the Borrower shall pay (i) all reasonable and documented out-of-pocket expenses incurred by each Arranger, the Administrative Agent and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jurisdiction to all such Persons, taken as a whole in connection with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and the Administrative Agent) and; (ii) all reasonable and documented out-of-pocket expenses incurred by the Administrative Agent, the Issuing Banks and the Lenders or any of their respective Affiliates (but limited, in the case of legal fees and expenses, to the actual reasonable and documented out-of-pocket fees, disbursements and other charges of one firm of outside counsel to all such Persons, taken as a whole and, solely in the case of any actual or perceived conflict of interest, of one additional local counsel to all such affected Persons taken as a whole, and, if necessary, of one local counsel to all such Persons, taken as a whole, in any relevant jurisdiction) in connection with the enforcement, collection or protection of their respective rights in connection with the Loan Documents, including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rights under this Section, or in connection with the Loans made and/or Letters of Credit issued hereunder. Except to the extent required to be paid on the Closing Date, all amounts due under this </w:t>
      </w:r>
      <w:r>
        <w:rPr>
          <w:rFonts w:ascii="Times New Roman" w:hAnsi="Times New Roman"/>
          <w:sz w:val="20"/>
          <w:u w:val="single"/>
        </w:rPr>
        <w:t>Section 9.03(a)</w:t>
      </w:r>
      <w:r>
        <w:rPr>
          <w:rFonts w:ascii="Times New Roman" w:hAnsi="Times New Roman"/>
          <w:sz w:val="20"/>
        </w:rPr>
        <w:t xml:space="preserve"> shall be payable by the Borrower within 30 days of receipt by the Borrower of an invoice setting forth such expenses in reasonable detail, together with backup documentation supporting the relevant reimbursement request. </w:t>
      </w:r>
    </w:p>
    <w:p>
      <w:pPr>
        <w:pStyle w:val="TextBody"/>
        <w:bidi w:val="0"/>
        <w:spacing w:before="240" w:after="0"/>
        <w:jc w:val="left"/>
        <w:rPr>
          <w:rFonts w:ascii="Times New Roman" w:hAnsi="Times New Roman"/>
          <w:sz w:val="20"/>
        </w:rPr>
      </w:pPr>
      <w:r>
        <w:rPr>
          <w:rFonts w:ascii="Times New Roman" w:hAnsi="Times New Roman"/>
          <w:sz w:val="20"/>
        </w:rPr>
        <w:t>(b) The Borrower shall indemnify each Arranger, the Administrative Agent, each Issuing Bank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jurisdiction to all Indemnitees, taken as a whole, and, solely in the case of an actual or perceived conflict of interest, one additional counsel to all affected Indemnitees, taken as a whole, and (y) one additional local counsel to all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hereunder or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or any of its Subsidiaries or any Environmental Claim or Environmental Liability related to the Borrower or any of its Subsidiaries and/or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or any Loan Party or any of their respective Affiliates);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any such loss, claim, damage, or liability (A) is determined by a final and non-appealable judgment of a court of competent jurisdiction to have resulted from the gross negligence, bad faith or willful misconduct of such Indemnitee or to the extent such judgment finds that any such loss, claim, damage, or liability has resulted from such Person’s material breach of the Loan Documents or (B) arises out of any claim, litigation, investigation or proceeding brought by such Indemnitee against another Indemnitee (other than any claim, litigation, investigation or proceeding that is brought by or against the Administrative Agent, any Issuing Bank or any Arranger, acting in its capacity as the Administrative Agent or as an Issuing Bank or as an Arranger) that does not involve any act or omission of Holdings, the Borrower or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any proceeding is instituted involving any Indemnitee for which indemnification is to be sought hereunder, then such Indemnitee shall promptly notify the Borrower thereof (it being understood and agreed that any failure to so notify the Borrower shall not relieve the Borrower of its indemnification obligations hereunder). Each Indemnitee shall be obligated to refund or return any and all amounts paid by the Borrower pursuant to this </w:t>
      </w:r>
      <w:r>
        <w:rPr>
          <w:rFonts w:ascii="Times New Roman" w:hAnsi="Times New Roman"/>
          <w:sz w:val="20"/>
          <w:u w:val="single"/>
        </w:rPr>
        <w:t>Section 9.03(b)</w:t>
      </w:r>
      <w:r>
        <w:rPr>
          <w:rFonts w:ascii="Times New Roman" w:hAnsi="Times New Roman"/>
          <w:sz w:val="20"/>
        </w:rPr>
        <w:t xml:space="preserve"> to such Indemnitee for any fees, expenses, or damages to the extent such Indemnitee is not entitled to payment thereof in accordance with the terms hereof. All amounts due under this </w:t>
      </w:r>
      <w:r>
        <w:rPr>
          <w:rFonts w:ascii="Times New Roman" w:hAnsi="Times New Roman"/>
          <w:sz w:val="20"/>
          <w:u w:val="single"/>
        </w:rPr>
        <w:t>Section 9.03(b)</w:t>
      </w:r>
      <w:r>
        <w:rPr>
          <w:rFonts w:ascii="Times New Roman" w:hAnsi="Times New Roman"/>
          <w:sz w:val="20"/>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This </w:t>
      </w:r>
      <w:r>
        <w:rPr>
          <w:rFonts w:ascii="Times New Roman" w:hAnsi="Times New Roman"/>
          <w:sz w:val="20"/>
          <w:u w:val="single"/>
        </w:rPr>
        <w:t>Section 9.03(b)</w:t>
      </w:r>
      <w:r>
        <w:rPr>
          <w:rFonts w:ascii="Times New Roman" w:hAnsi="Times New Roman"/>
          <w:sz w:val="20"/>
        </w:rPr>
        <w:t xml:space="preserve"> shall not apply to Taxes other than any Taxes that represent losses, claims, damages or liabilities in respect of a non-Tax claim.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not be liable for any settlement of any proceeding effected without the written consent of the Borrower (which consent shall not be unreasonably withheld, delayed or conditioned) or any other loss, claim, damage, liability and/or expense incurred in connection therewith, but if any proceeding is settled with the written consent of the Borrower, or if there is a final and non-appealable judgment of a court of competent jurisdiction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Waiver of Claim</w:t>
      </w:r>
      <w:r>
        <w:rPr>
          <w:rFonts w:ascii="Times New Roman" w:hAnsi="Times New Roman"/>
          <w:sz w:val="20"/>
        </w:rPr>
        <w:t xml:space="preserve">. To the extent permitted by applicable Requirements of Law, no party to this Agreement nor any Secured Party shall assert, and each hereby waives,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and in accordance with, the terms of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permitted assigns; </w:t>
      </w:r>
      <w:r>
        <w:rPr>
          <w:rFonts w:ascii="Times New Roman" w:hAnsi="Times New Roman"/>
          <w:sz w:val="20"/>
          <w:u w:val="single"/>
        </w:rPr>
        <w:t>provided</w:t>
      </w:r>
      <w:r>
        <w:rPr>
          <w:rFonts w:ascii="Times New Roman" w:hAnsi="Times New Roman"/>
          <w:sz w:val="20"/>
        </w:rPr>
        <w:t xml:space="preserve">, that (i) except as provided under </w:t>
      </w:r>
      <w:r>
        <w:rPr>
          <w:rFonts w:ascii="Times New Roman" w:hAnsi="Times New Roman"/>
          <w:sz w:val="20"/>
          <w:u w:val="single"/>
        </w:rPr>
        <w:t>Section 6.07</w:t>
      </w:r>
      <w:r>
        <w:rPr>
          <w:rFonts w:ascii="Times New Roman" w:hAnsi="Times New Roman"/>
          <w:sz w:val="20"/>
        </w:rPr>
        <w:t xml:space="preserve">, the Borrower may not assign or otherwise transfer any of its rights or obligations hereunder without the prior written consent of each Lender and the Administrative Agent (and any attempted assignment or transfer by the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and, with respect to any attempted assignment or transfer to any Disqualified Institution, subject to </w:t>
      </w:r>
      <w:r>
        <w:rPr>
          <w:rFonts w:ascii="Times New Roman" w:hAnsi="Times New Roman"/>
          <w:sz w:val="20"/>
          <w:u w:val="single"/>
        </w:rPr>
        <w:t>Section 9.05(f)</w:t>
      </w:r>
      <w:r>
        <w:rPr>
          <w:rFonts w:ascii="Times New Roman" w:hAnsi="Times New Roman"/>
          <w:sz w:val="20"/>
        </w:rPr>
        <w:t xml:space="preserve">). Nothing in this Agreement, expressed or implied, shall be construed to confer upon any Person (other than the parties hereto, their respective successors and permitted assigns, to the extent provided in </w:t>
      </w:r>
      <w:r>
        <w:rPr>
          <w:rFonts w:ascii="Times New Roman" w:hAnsi="Times New Roman"/>
          <w:sz w:val="20"/>
          <w:u w:val="single"/>
        </w:rPr>
        <w:t>paragraph (e)</w:t>
      </w:r>
      <w:r>
        <w:rPr>
          <w:rFonts w:ascii="Times New Roman" w:hAnsi="Times New Roman"/>
          <w:sz w:val="20"/>
        </w:rPr>
        <w:t xml:space="preserve"> of this Section, Participants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 Subject to the conditions set forth in </w:t>
      </w:r>
      <w:r>
        <w:rPr>
          <w:rFonts w:ascii="Times New Roman" w:hAnsi="Times New Roman"/>
          <w:sz w:val="20"/>
          <w:u w:val="single"/>
        </w:rPr>
        <w:t>paragraph (b)(ii)</w:t>
      </w:r>
      <w:r>
        <w:rPr>
          <w:rFonts w:ascii="Times New Roman" w:hAnsi="Times New Roman"/>
          <w:sz w:val="20"/>
        </w:rPr>
        <w:t xml:space="preserve"> below, any Lender may assign to one or more Eligible Assignees all or a portion of its rights and obligations under this Agreement (including all or a portion of any Loan or Additional Commitment added pursuant to </w:t>
      </w:r>
      <w:r>
        <w:rPr>
          <w:rFonts w:ascii="Times New Roman" w:hAnsi="Times New Roman"/>
          <w:sz w:val="20"/>
          <w:u w:val="single"/>
        </w:rPr>
        <w:t>Sections 2.22</w:t>
      </w:r>
      <w:r>
        <w:rPr>
          <w:rFonts w:ascii="Times New Roman" w:hAnsi="Times New Roman"/>
          <w:sz w:val="20"/>
        </w:rPr>
        <w:t xml:space="preserve">, </w:t>
      </w:r>
      <w:r>
        <w:rPr>
          <w:rFonts w:ascii="Times New Roman" w:hAnsi="Times New Roman"/>
          <w:sz w:val="20"/>
          <w:u w:val="single"/>
        </w:rPr>
        <w:t>2.23</w:t>
      </w:r>
      <w:r>
        <w:rPr>
          <w:rFonts w:ascii="Times New Roman" w:hAnsi="Times New Roman"/>
          <w:sz w:val="20"/>
        </w:rPr>
        <w:t xml:space="preserve"> or </w:t>
      </w:r>
      <w:r>
        <w:rPr>
          <w:rFonts w:ascii="Times New Roman" w:hAnsi="Times New Roman"/>
          <w:sz w:val="20"/>
          <w:u w:val="single"/>
        </w:rPr>
        <w:t>9.02(c)</w:t>
      </w:r>
      <w:r>
        <w:rPr>
          <w:rFonts w:ascii="Times New Roman" w:hAnsi="Times New Roman"/>
          <w:sz w:val="20"/>
        </w:rPr>
        <w:t xml:space="preserve"> at the time owing to it) with the prior written consent of: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(such consent not to be unreasonably withheld, conditioned or delayed); </w:t>
      </w:r>
      <w:r>
        <w:rPr>
          <w:rFonts w:ascii="Times New Roman" w:hAnsi="Times New Roman"/>
          <w:sz w:val="20"/>
          <w:u w:val="single"/>
        </w:rPr>
        <w:t>provided</w:t>
      </w:r>
      <w:r>
        <w:rPr>
          <w:rFonts w:ascii="Times New Roman" w:hAnsi="Times New Roman"/>
          <w:sz w:val="20"/>
        </w:rPr>
        <w:t xml:space="preserve">, that (x) the Borrower shall be deemed to have consented to any assignment (other than any such assignment to a Disqualified Institution or a natural person) unless it has objected thereto by written notice to the Administrative Agent within 10 Business Days after receipt of written notice thereof and (y) the consent of the Borrower shall not be required (1) for any assignment to any other Revolving Lender or an Affiliate thereof or (2) at any time when an Event of Default under </w:t>
      </w:r>
      <w:r>
        <w:rPr>
          <w:rFonts w:ascii="Times New Roman" w:hAnsi="Times New Roman"/>
          <w:sz w:val="20"/>
          <w:u w:val="single"/>
        </w:rPr>
        <w:t>Section 7.01(a)</w:t>
      </w:r>
      <w:r>
        <w:rPr>
          <w:rFonts w:ascii="Times New Roman" w:hAnsi="Times New Roman"/>
          <w:sz w:val="20"/>
        </w:rPr>
        <w:t xml:space="preserve"> or </w:t>
      </w:r>
      <w:r>
        <w:rPr>
          <w:rFonts w:ascii="Times New Roman" w:hAnsi="Times New Roman"/>
          <w:sz w:val="20"/>
          <w:u w:val="single"/>
        </w:rPr>
        <w:t>Sections 7.01(f)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(with respect to the Borrower) exists; </w:t>
      </w:r>
      <w:r>
        <w:rPr>
          <w:rFonts w:ascii="Times New Roman" w:hAnsi="Times New Roman"/>
          <w:sz w:val="20"/>
          <w:u w:val="single"/>
        </w:rPr>
        <w:t>provided</w:t>
      </w:r>
      <w:r>
        <w:rPr>
          <w:rFonts w:ascii="Times New Roman" w:hAnsi="Times New Roman"/>
          <w:sz w:val="20"/>
        </w:rPr>
        <w:t xml:space="preserve">, that notwithstanding the foregoing, the Borrower will be deemed to have reasonably withheld its consent to any assignment if (1) any Person (other than a Bona Fide Debt Fund) that is not a Disqualified Institution but is known by the Borrower to be an Affiliate of a Disqualified Institution regardless of whether such Person is identifiable as an Affiliate of a Disqualified Institution on the basis of such Affiliate’s name and (2) any person that is known to be an Affiliate of a Company Competitor (other than a Bona Fide Debt Fund unless the Borrower has other reasonable grounds on which to withhold its consent) regardless of whether such person is reasonably identifiable as an affiliate of a Company Competitor;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(such consent not to be unreasonably withheld, conditioned or delayed); </w:t>
      </w:r>
      <w:r>
        <w:rPr>
          <w:rFonts w:ascii="Times New Roman" w:hAnsi="Times New Roman"/>
          <w:sz w:val="20"/>
          <w:u w:val="single"/>
        </w:rPr>
        <w:t>provided</w:t>
      </w:r>
      <w:r>
        <w:rPr>
          <w:rFonts w:ascii="Times New Roman" w:hAnsi="Times New Roman"/>
          <w:sz w:val="20"/>
        </w:rPr>
        <w:t xml:space="preserve">, that no consent of the Administrative Agent shall be required for any assignment to another Lender or any Affiliate of a Lender; and </w:t>
      </w:r>
    </w:p>
    <w:p>
      <w:pPr>
        <w:pStyle w:val="TextBody"/>
        <w:bidi w:val="0"/>
        <w:spacing w:before="120" w:after="0"/>
        <w:jc w:val="left"/>
        <w:rPr>
          <w:rFonts w:ascii="Times New Roman" w:hAnsi="Times New Roman"/>
          <w:sz w:val="20"/>
        </w:rPr>
      </w:pPr>
      <w:r>
        <w:rPr>
          <w:rFonts w:ascii="Times New Roman" w:hAnsi="Times New Roman"/>
          <w:sz w:val="20"/>
        </w:rPr>
        <w:t xml:space="preserve">(C) each Issuing Bank and the Swingline Lender, in each case,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$1,000,000, unless the Borrower and the Administrative Agent otherwise consent; </w:t>
      </w:r>
    </w:p>
    <w:p>
      <w:pPr>
        <w:pStyle w:val="TextBody"/>
        <w:bidi w:val="0"/>
        <w:spacing w:before="120" w:after="0"/>
        <w:jc w:val="left"/>
        <w:rPr>
          <w:rFonts w:ascii="Times New Roman" w:hAnsi="Times New Roman"/>
          <w:sz w:val="20"/>
        </w:rPr>
      </w:pPr>
      <w:r>
        <w:rPr>
          <w:rFonts w:ascii="Times New Roman" w:hAnsi="Times New Roman"/>
          <w:sz w:val="20"/>
        </w:rPr>
        <w:t xml:space="preserve">(B) any partial assignment shall be made as an assignment of a proportionate part of all the relevant assigning Lender’s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except in the case of any assignment by a Lender to an Affiliate or Approved Fund of such Lender, 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(D) the relevant Eligible Assignee, if it is not a Lender, shall deliver on or prior to the effective date of such assignment, to the Administrative Agent (1) an Administrative Questionnaire and (2) any tax form required under </w:t>
      </w:r>
      <w:r>
        <w:rPr>
          <w:rFonts w:ascii="Times New Roman" w:hAnsi="Times New Roman"/>
          <w:sz w:val="20"/>
          <w:u w:val="single"/>
        </w:rPr>
        <w:t>Section 2.17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the acceptance and recording thereof pursuant to </w:t>
      </w:r>
      <w:r>
        <w:rPr>
          <w:rFonts w:ascii="Times New Roman" w:hAnsi="Times New Roman"/>
          <w:sz w:val="20"/>
          <w:u w:val="single"/>
        </w:rPr>
        <w:t>paragraph (b)(v)</w:t>
      </w:r>
      <w:r>
        <w:rPr>
          <w:rFonts w:ascii="Times New Roman" w:hAnsi="Times New Roman"/>
          <w:sz w:val="20"/>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w:t>
      </w:r>
      <w:r>
        <w:rPr>
          <w:rFonts w:ascii="Times New Roman" w:hAnsi="Times New Roman"/>
          <w:sz w:val="20"/>
          <w:u w:val="single"/>
        </w:rPr>
        <w:t>2.17</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with respect to facts and circumstances occurring on or prior to the effective date of such assignment and (B) subject to its obligations thereunder and under </w:t>
      </w:r>
      <w:r>
        <w:rPr>
          <w:rFonts w:ascii="Times New Roman" w:hAnsi="Times New Roman"/>
          <w:sz w:val="20"/>
          <w:u w:val="single"/>
        </w:rPr>
        <w:t>Section 9.13</w:t>
      </w:r>
      <w:r>
        <w:rPr>
          <w:rFonts w:ascii="Times New Roman" w:hAnsi="Times New Roman"/>
          <w:sz w:val="20"/>
        </w:rPr>
        <w:t xml:space="preserve">). If any assignment by any Lender holding any Promissory Note is made after the issuance of such Promissory Note, the assigning Lender shall, upon the effectiveness of such assignment or as promptly thereafter as practicable, surrender such Promissory Note to theAdministrative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the Borrower, shall maintain at one of its offices in the U.S. a copy of each Assignment Agreement delivered to it and a register for the recordation of the names and addresses of the Lenders and their respective successors and assigns, and the commitment of, and principal amount of and stated interest on the Loans and LC Disbursements owing to, each Lender or Issuing Bank pursuant to the terms hereof from time to time (the “</w:t>
      </w:r>
      <w:r>
        <w:rPr>
          <w:rFonts w:ascii="Times New Roman" w:hAnsi="Times New Roman"/>
          <w:sz w:val="20"/>
          <w:u w:val="single"/>
        </w:rPr>
        <w:t>Register</w:t>
      </w:r>
      <w:r>
        <w:rPr>
          <w:rFonts w:ascii="Times New Roman" w:hAnsi="Times New Roman"/>
          <w:sz w:val="20"/>
        </w:rPr>
        <w:t xml:space="preserve">”).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Upon its receipt of a duly completed Assignment Agreement executed by an assigning Lender and an Eligible Assignee, the Eligible Assignee’s completed Administrative Questionnaire and any tax certification required by </w:t>
      </w:r>
      <w:r>
        <w:rPr>
          <w:rFonts w:ascii="Times New Roman" w:hAnsi="Times New Roman"/>
          <w:sz w:val="20"/>
          <w:u w:val="single"/>
        </w:rPr>
        <w:t>Section 9.05(b)(ii)(D)(2)</w:t>
      </w:r>
      <w:r>
        <w:rPr>
          <w:rFonts w:ascii="Times New Roman" w:hAnsi="Times New Roman"/>
          <w:sz w:val="20"/>
        </w:rPr>
        <w:t xml:space="preserve"> (unless the assignee is already a Lender hereunder), the processing and recordation fee referred to in </w:t>
      </w:r>
      <w:r>
        <w:rPr>
          <w:rFonts w:ascii="Times New Roman" w:hAnsi="Times New Roman"/>
          <w:sz w:val="20"/>
          <w:u w:val="single"/>
        </w:rPr>
        <w:t>paragraph (b)</w:t>
      </w:r>
      <w:r>
        <w:rPr>
          <w:rFonts w:ascii="Times New Roman" w:hAnsi="Times New Roman"/>
          <w:sz w:val="20"/>
        </w:rPr>
        <w:t xml:space="preserve"> of this Section, if applicable, and any written consent to the relevant assignment required by </w:t>
      </w:r>
      <w:r>
        <w:rPr>
          <w:rFonts w:ascii="Times New Roman" w:hAnsi="Times New Roman"/>
          <w:sz w:val="20"/>
          <w:u w:val="single"/>
        </w:rPr>
        <w:t>paragraph (b)</w:t>
      </w:r>
      <w:r>
        <w:rPr>
          <w:rFonts w:ascii="Times New Roman" w:hAnsi="Times New Roman"/>
          <w:sz w:val="20"/>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(vi) 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hAnsi="Times New Roman"/>
          <w:sz w:val="20"/>
          <w:u w:val="single"/>
        </w:rPr>
        <w:t>clause (A)</w:t>
      </w:r>
      <w:r>
        <w:rPr>
          <w:rFonts w:ascii="Times New Roman" w:hAnsi="Times New Roman"/>
          <w:sz w:val="20"/>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Subsidiary or the performance or observance by the Borrower or any Subsidiary of any of its obligations under this Agreement, any other Loan Document or any other instrument or document furnished pursuant hereto; (C) the assignee represents and warrants that it is (1) an Eligible Assignee and (2) that it is not a Disqualified Institution or an Affiliate of any Disqualified Institution and legally authorized to enter into such Assignment Agreement; (D) the assignee confirms that it has received a copy of this Agreement and each applicable Acceptable Intercreditor Agreement, together with copies of the most recent financial statements delivered pursuant to </w:t>
      </w:r>
      <w:r>
        <w:rPr>
          <w:rFonts w:ascii="Times New Roman" w:hAnsi="Times New Roman"/>
          <w:sz w:val="20"/>
          <w:u w:val="single"/>
        </w:rPr>
        <w:t>Section 5.01</w:t>
      </w:r>
      <w:r>
        <w:rPr>
          <w:rFonts w:ascii="Times New Roman" w:hAnsi="Times New Roman"/>
          <w:sz w:val="20"/>
        </w:rPr>
        <w:t xml:space="preserve"> 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and of the other Loan Documents, together with such powers as are reasonably incidental thereto; and (G) the assignee agrees that it will perform in accordance with their terms all the obligations which by the terms of this Agreement are required to be performed by it as a Lender.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the Administrative Agent or any other Lender, but with the consent of the Borrower (not to be unreasonably withheld, conditioned or delayed) (</w:t>
      </w:r>
      <w:r>
        <w:rPr>
          <w:rFonts w:ascii="Times New Roman" w:hAnsi="Times New Roman"/>
          <w:sz w:val="20"/>
          <w:u w:val="single"/>
        </w:rPr>
        <w:t>provided</w:t>
      </w:r>
      <w:r>
        <w:rPr>
          <w:rFonts w:ascii="Times New Roman" w:hAnsi="Times New Roman"/>
          <w:sz w:val="20"/>
        </w:rPr>
        <w:t xml:space="preserve"> that no consent of the Borrower shall be required for participations (x) to any Affiliate or Approved Fund of a Lender or (y) if an Event of Default has occurred and is continuing), sell participations to any bank or other entity (other than to any Disqualified Institution or any natural person or Holdings, the Borrower or any of their Affiliates)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commitments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that such agreement or instrument may provide that such Lender will not, without the consent of the relevant Participant, agree to any amendment, modification or waiver described in (x)</w:t>
      </w:r>
      <w:r>
        <w:rPr>
          <w:rFonts w:ascii="Times New Roman" w:hAnsi="Times New Roman"/>
          <w:sz w:val="20"/>
          <w:u w:val="single"/>
        </w:rPr>
        <w:t> clause (A)</w:t>
      </w:r>
      <w:r>
        <w:rPr>
          <w:rFonts w:ascii="Times New Roman" w:hAnsi="Times New Roman"/>
          <w:sz w:val="20"/>
        </w:rPr>
        <w:t xml:space="preserve"> of the first proviso to </w:t>
      </w:r>
      <w:r>
        <w:rPr>
          <w:rFonts w:ascii="Times New Roman" w:hAnsi="Times New Roman"/>
          <w:sz w:val="20"/>
          <w:u w:val="single"/>
        </w:rPr>
        <w:t>Section 9.02(b)</w:t>
      </w:r>
      <w:r>
        <w:rPr>
          <w:rFonts w:ascii="Times New Roman" w:hAnsi="Times New Roman"/>
          <w:sz w:val="20"/>
        </w:rPr>
        <w:t xml:space="preserve"> that directly and adversely affects the Loans or commitments in which such Participant has an interest and (y)</w:t>
      </w:r>
      <w:r>
        <w:rPr>
          <w:rFonts w:ascii="Times New Roman" w:hAnsi="Times New Roman"/>
          <w:sz w:val="20"/>
          <w:u w:val="single"/>
        </w:rPr>
        <w:t> clauses (B)(1)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or </w:t>
      </w:r>
      <w:r>
        <w:rPr>
          <w:rFonts w:ascii="Times New Roman" w:hAnsi="Times New Roman"/>
          <w:sz w:val="20"/>
          <w:u w:val="single"/>
        </w:rPr>
        <w:t>(3)</w:t>
      </w:r>
      <w:r>
        <w:rPr>
          <w:rFonts w:ascii="Times New Roman" w:hAnsi="Times New Roman"/>
          <w:sz w:val="20"/>
        </w:rPr>
        <w:t xml:space="preserve"> of the first proviso to </w:t>
      </w:r>
      <w:r>
        <w:rPr>
          <w:rFonts w:ascii="Times New Roman" w:hAnsi="Times New Roman"/>
          <w:sz w:val="20"/>
          <w:u w:val="single"/>
        </w:rPr>
        <w:t>Section 9.02(b)</w:t>
      </w:r>
      <w:r>
        <w:rPr>
          <w:rFonts w:ascii="Times New Roman" w:hAnsi="Times New Roman"/>
          <w:sz w:val="20"/>
        </w:rPr>
        <w:t xml:space="preserve">. Subject to </w:t>
      </w:r>
      <w:r>
        <w:rPr>
          <w:rFonts w:ascii="Times New Roman" w:hAnsi="Times New Roman"/>
          <w:sz w:val="20"/>
          <w:u w:val="single"/>
        </w:rPr>
        <w:t>paragraph (c)(ii)</w:t>
      </w:r>
      <w:r>
        <w:rPr>
          <w:rFonts w:ascii="Times New Roman" w:hAnsi="Times New Roman"/>
          <w:sz w:val="20"/>
        </w:rPr>
        <w:t xml:space="preserve"> of this Section, the Borrower agrees that each Participant shall be entitled to the benefits of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2.17</w:t>
      </w:r>
      <w:r>
        <w:rPr>
          <w:rFonts w:ascii="Times New Roman" w:hAnsi="Times New Roman"/>
          <w:sz w:val="20"/>
        </w:rPr>
        <w:t xml:space="preserve"> (subject to the limitations and requirements of such Sections and </w:t>
      </w:r>
      <w:r>
        <w:rPr>
          <w:rFonts w:ascii="Times New Roman" w:hAnsi="Times New Roman"/>
          <w:sz w:val="20"/>
          <w:u w:val="single"/>
        </w:rPr>
        <w:t>Section 2.19</w:t>
      </w:r>
      <w:r>
        <w:rPr>
          <w:rFonts w:ascii="Times New Roman" w:hAnsi="Times New Roman"/>
          <w:sz w:val="20"/>
        </w:rPr>
        <w:t xml:space="preserve">) to the same extent as if it were a Lender and had acquired its interest by assignment pursuant to </w:t>
      </w:r>
      <w:r>
        <w:rPr>
          <w:rFonts w:ascii="Times New Roman" w:hAnsi="Times New Roman"/>
          <w:sz w:val="20"/>
          <w:u w:val="single"/>
        </w:rPr>
        <w:t>paragraph (b)</w:t>
      </w:r>
      <w:r>
        <w:rPr>
          <w:rFonts w:ascii="Times New Roman" w:hAnsi="Times New Roman"/>
          <w:sz w:val="20"/>
        </w:rPr>
        <w:t xml:space="preserve"> of this Section and it being understood that the documentation required under </w:t>
      </w:r>
      <w:r>
        <w:rPr>
          <w:rFonts w:ascii="Times New Roman" w:hAnsi="Times New Roman"/>
          <w:sz w:val="20"/>
          <w:u w:val="single"/>
        </w:rPr>
        <w:t>Section 2.17(f)</w:t>
      </w:r>
      <w:r>
        <w:rPr>
          <w:rFonts w:ascii="Times New Roman" w:hAnsi="Times New Roman"/>
          <w:sz w:val="20"/>
        </w:rPr>
        <w:t xml:space="preserve"> shall be delivered to the participating Lender, and if additional amounts are required to be paid pursuant to </w:t>
      </w:r>
      <w:r>
        <w:rPr>
          <w:rFonts w:ascii="Times New Roman" w:hAnsi="Times New Roman"/>
          <w:sz w:val="20"/>
          <w:u w:val="single"/>
        </w:rPr>
        <w:t>Section 2.17(a)</w:t>
      </w:r>
      <w:r>
        <w:rPr>
          <w:rFonts w:ascii="Times New Roman" w:hAnsi="Times New Roman"/>
          <w:sz w:val="20"/>
        </w:rPr>
        <w:t xml:space="preserve"> or </w:t>
      </w:r>
      <w:r>
        <w:rPr>
          <w:rFonts w:ascii="Times New Roman" w:hAnsi="Times New Roman"/>
          <w:sz w:val="20"/>
          <w:u w:val="single"/>
        </w:rPr>
        <w:t>Section 2.17(c)</w:t>
      </w:r>
      <w:r>
        <w:rPr>
          <w:rFonts w:ascii="Times New Roman" w:hAnsi="Times New Roman"/>
          <w:sz w:val="20"/>
        </w:rPr>
        <w:t xml:space="preserve">, to the Borrower and the Administrative Agent). To the extent permitted by applicable Requirements of Law, each Participant also shall be entitled to the benefits of </w:t>
      </w:r>
      <w:r>
        <w:rPr>
          <w:rFonts w:ascii="Times New Roman" w:hAnsi="Times New Roman"/>
          <w:sz w:val="20"/>
          <w:u w:val="single"/>
        </w:rPr>
        <w:t>Section 9.09</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shall be subject to </w:t>
      </w:r>
      <w:r>
        <w:rPr>
          <w:rFonts w:ascii="Times New Roman" w:hAnsi="Times New Roman"/>
          <w:sz w:val="20"/>
          <w:u w:val="single"/>
        </w:rPr>
        <w:t>Section 2.18(c)</w:t>
      </w:r>
      <w:r>
        <w:rPr>
          <w:rFonts w:ascii="Times New Roman" w:hAnsi="Times New Roman"/>
          <w:sz w:val="20"/>
        </w:rPr>
        <w:t xml:space="preserve"> as though it were a Lender. </w:t>
      </w:r>
    </w:p>
    <w:p>
      <w:pPr>
        <w:pStyle w:val="TextBody"/>
        <w:bidi w:val="0"/>
        <w:spacing w:before="120" w:after="0"/>
        <w:jc w:val="left"/>
        <w:rPr>
          <w:rFonts w:ascii="Times New Roman" w:hAnsi="Times New Roman"/>
          <w:sz w:val="20"/>
        </w:rPr>
      </w:pPr>
      <w:r>
        <w:rPr>
          <w:rFonts w:ascii="Times New Roman" w:hAnsi="Times New Roman"/>
          <w:sz w:val="20"/>
        </w:rPr>
        <w:t xml:space="preserve">(ii) No Participant shall be entitled to receive any greater payment under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or </w:t>
      </w:r>
      <w:r>
        <w:rPr>
          <w:rFonts w:ascii="Times New Roman" w:hAnsi="Times New Roman"/>
          <w:sz w:val="20"/>
          <w:u w:val="single"/>
        </w:rPr>
        <w:t>2.17</w:t>
      </w:r>
      <w:r>
        <w:rPr>
          <w:rFonts w:ascii="Times New Roman" w:hAnsi="Times New Roman"/>
          <w:sz w:val="20"/>
        </w:rPr>
        <w:t xml:space="preserve"> than the participating Lender would have been entitled to receive with respect to the participation sold to such Participant, unless the sale of the participation to such Participant is made with the Borrower’s prior written consent (in its sole discretion), expressly acknowledging that such Participant’s entitlement to benefits under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2.17</w:t>
      </w:r>
      <w:r>
        <w:rPr>
          <w:rFonts w:ascii="Times New Roman" w:hAnsi="Times New Roman"/>
          <w:sz w:val="20"/>
        </w:rPr>
        <w:t xml:space="preserve"> is not limited to what the participating Lender would have been entitled to receive absent the participation. </w:t>
      </w:r>
    </w:p>
    <w:p>
      <w:pPr>
        <w:pStyle w:val="TextBody"/>
        <w:bidi w:val="0"/>
        <w:spacing w:before="240" w:after="0"/>
        <w:jc w:val="left"/>
        <w:rPr>
          <w:rFonts w:ascii="Times New Roman" w:hAnsi="Times New Roman"/>
          <w:sz w:val="20"/>
        </w:rPr>
      </w:pPr>
      <w:r>
        <w:rPr>
          <w:rFonts w:ascii="Times New Roman" w:hAnsi="Times New Roman"/>
          <w:sz w:val="20"/>
        </w:rPr>
        <w:t>Each Lender that sells a participation shall, acting solely for this purpose as a non-fiduciary agent of the Borrower, maintain a register on which it enters the name and address of each Participant and their respective successors and registered assigns, and the principal and interest amounts of each Participant’s interest in the Loans or other obligations under the Loan Documents (a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any Participant Register (including the identity of any Participant or any information relating to any Participant’s interest in any Commitment, Loan or any other obligation under any Loan Document) to any Person except to the extent that such disclosure is necessary to establish that such Commitment, Loan or other obligation is in registered form under Section 5f.103-1(c) of the U.S. Treasury Regulations and Section 1.163-5(b) of the U.S. Proposed Treasury Regulations (or any amended or successor version).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(d) (i) Any Lender may at any time pledge or assign a security interest in all or any portion of its rights under this Agreement (other than to any Disqualified Institution or any natural person) to secure obligations of such Lender, including without limitation any pledge or assignment to secure obligations to any Federal Reserve Bank or other central bank having jurisdiction over such Lender, and this </w:t>
      </w:r>
      <w:r>
        <w:rPr>
          <w:rFonts w:ascii="Times New Roman" w:hAnsi="Times New Roman"/>
          <w:sz w:val="20"/>
          <w:u w:val="single"/>
        </w:rPr>
        <w:t>Section 9.05</w:t>
      </w:r>
      <w:r>
        <w:rPr>
          <w:rFonts w:ascii="Times New Roman" w:hAnsi="Times New Roman"/>
          <w:sz w:val="20"/>
        </w:rPr>
        <w:t xml:space="preserve">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any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(ii) If any Lender (other than any Lender that is a Regulated Bank), in its capacity as a Lender, enters into a total return swap, total rate of return swap, credit default swap or other derivative instrument under which any Secured Obligation is a sole reference obligation (or a reference obligation constituting at least 5.00% of the weight in any bucket of such derivative instruments) (any such swap or other derivative instrument, an “</w:t>
      </w:r>
      <w:r>
        <w:rPr>
          <w:rFonts w:ascii="Times New Roman" w:hAnsi="Times New Roman"/>
          <w:sz w:val="20"/>
          <w:u w:val="single"/>
        </w:rPr>
        <w:t>Obligations Derivative Instrument</w:t>
      </w:r>
      <w:r>
        <w:rPr>
          <w:rFonts w:ascii="Times New Roman" w:hAnsi="Times New Roman"/>
          <w:sz w:val="20"/>
        </w:rPr>
        <w:t xml:space="preserve">”) with any counterparty that is a Disqualified Institution, the Borrower shall be entitled to seek specific performance to unwind the applicable Obligations Derivative Instrument at the sole cost and expense of the applicable Lender, but such unwind right shall not extend to Obligations Derivative Instruments that were entered into both (i) on the public side of an information wall and (ii) not by or on behalf of such Lender in its capacity as a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in no event shall Confidential Information be shared with any counterparty to an Obligations Derivatives Instrument that is a Disqualified Institution and each Lender shall be required to comply with the provisions of </w:t>
      </w:r>
      <w:r>
        <w:rPr>
          <w:rFonts w:ascii="Times New Roman" w:hAnsi="Times New Roman"/>
          <w:sz w:val="20"/>
          <w:u w:val="single"/>
        </w:rPr>
        <w:t>Section 9.13</w:t>
      </w:r>
      <w:r>
        <w:rPr>
          <w:rFonts w:ascii="Times New Roman" w:hAnsi="Times New Roman"/>
          <w:sz w:val="20"/>
        </w:rPr>
        <w:t xml:space="preserve"> in connection with any transactions involving Obligations Derivative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Notwithstanding anything to the contrary contained herein, any Lender (a “</w:t>
      </w:r>
      <w:r>
        <w:rPr>
          <w:rFonts w:ascii="Times New Roman" w:hAnsi="Times New Roman"/>
          <w:sz w:val="20"/>
          <w:u w:val="single"/>
        </w:rPr>
        <w:t>Granting Lender</w:t>
      </w:r>
      <w:r>
        <w:rPr>
          <w:rFonts w:ascii="Times New Roman" w:hAnsi="Times New Roman"/>
          <w:sz w:val="20"/>
        </w:rPr>
        <w:t>”) may grant to a special purpose funding vehicle (an “</w:t>
      </w:r>
      <w:r>
        <w:rPr>
          <w:rFonts w:ascii="Times New Roman" w:hAnsi="Times New Roman"/>
          <w:sz w:val="20"/>
          <w:u w:val="single"/>
        </w:rPr>
        <w:t>SPC</w:t>
      </w:r>
      <w:r>
        <w:rPr>
          <w:rFonts w:ascii="Times New Roman" w:hAnsi="Times New Roman"/>
          <w:sz w:val="20"/>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hAnsi="Times New Roman"/>
          <w:sz w:val="20"/>
          <w:u w:val="single"/>
        </w:rPr>
        <w:t>provided</w:t>
      </w:r>
      <w:r>
        <w:rPr>
          <w:rFonts w:ascii="Times New Roman" w:hAnsi="Times New Roman"/>
          <w:sz w:val="20"/>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or </w:t>
      </w:r>
      <w:r>
        <w:rPr>
          <w:rFonts w:ascii="Times New Roman" w:hAnsi="Times New Roman"/>
          <w:sz w:val="20"/>
          <w:u w:val="single"/>
        </w:rPr>
        <w:t>2.17</w:t>
      </w:r>
      <w:r>
        <w:rPr>
          <w:rFonts w:ascii="Times New Roman" w:hAnsi="Times New Roman"/>
          <w:sz w:val="20"/>
        </w:rPr>
        <w:t xml:space="preserve">) and no SPC shall be entitled to any greater amount under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or </w:t>
      </w:r>
      <w:r>
        <w:rPr>
          <w:rFonts w:ascii="Times New Roman" w:hAnsi="Times New Roman"/>
          <w:sz w:val="20"/>
          <w:u w:val="single"/>
        </w:rPr>
        <w:t>2.17</w:t>
      </w:r>
      <w:r>
        <w:rPr>
          <w:rFonts w:ascii="Times New Roman" w:hAnsi="Times New Roman"/>
          <w:sz w:val="20"/>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and </w:t>
      </w:r>
      <w:r>
        <w:rPr>
          <w:rFonts w:ascii="Times New Roman" w:hAnsi="Times New Roman"/>
          <w:sz w:val="20"/>
          <w:u w:val="single"/>
        </w:rPr>
        <w:t>2.17</w:t>
      </w:r>
      <w:r>
        <w:rPr>
          <w:rFonts w:ascii="Times New Roman" w:hAnsi="Times New Roman"/>
          <w:sz w:val="20"/>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hAnsi="Times New Roman"/>
          <w:sz w:val="20"/>
          <w:u w:val="single"/>
        </w:rPr>
        <w:t>provided</w:t>
      </w:r>
      <w:r>
        <w:rPr>
          <w:rFonts w:ascii="Times New Roman" w:hAnsi="Times New Roman"/>
          <w:sz w:val="20"/>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hAnsi="Times New Roman"/>
          <w:sz w:val="20"/>
          <w:u w:val="single"/>
        </w:rPr>
        <w:t>Section 9.05</w:t>
      </w:r>
      <w:r>
        <w:rPr>
          <w:rFonts w:ascii="Times New Roman" w:hAnsi="Times New Roman"/>
          <w:sz w:val="20"/>
        </w:rPr>
        <w:t xml:space="preserve">,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 </w:t>
      </w:r>
    </w:p>
    <w:p>
      <w:pPr>
        <w:pStyle w:val="TextBody"/>
        <w:bidi w:val="0"/>
        <w:spacing w:before="240" w:after="0"/>
        <w:jc w:val="left"/>
        <w:rPr>
          <w:rFonts w:ascii="Times New Roman" w:hAnsi="Times New Roman"/>
          <w:sz w:val="20"/>
        </w:rPr>
      </w:pPr>
      <w:r>
        <w:rPr>
          <w:rFonts w:ascii="Times New Roman" w:hAnsi="Times New Roman"/>
          <w:sz w:val="20"/>
        </w:rPr>
        <w:t xml:space="preserve">(f) (i) Any assignment or participation by a Lender (A) to or with any Disqualified Institution or (B) without the Borrower’s consent to the extent the Borrower’s consent is required under this </w:t>
      </w:r>
      <w:r>
        <w:rPr>
          <w:rFonts w:ascii="Times New Roman" w:hAnsi="Times New Roman"/>
          <w:sz w:val="20"/>
          <w:u w:val="single"/>
        </w:rPr>
        <w:t>Section 9.05</w:t>
      </w:r>
      <w:r>
        <w:rPr>
          <w:rFonts w:ascii="Times New Roman" w:hAnsi="Times New Roman"/>
          <w:sz w:val="20"/>
        </w:rPr>
        <w:t xml:space="preserve"> (and not deemed to have been given pursuant to </w:t>
      </w:r>
      <w:r>
        <w:rPr>
          <w:rFonts w:ascii="Times New Roman" w:hAnsi="Times New Roman"/>
          <w:sz w:val="20"/>
          <w:u w:val="single"/>
        </w:rPr>
        <w:t>Section 9.05(b)(i)(A)</w:t>
      </w:r>
      <w:r>
        <w:rPr>
          <w:rFonts w:ascii="Times New Roman" w:hAnsi="Times New Roman"/>
          <w:sz w:val="20"/>
        </w:rPr>
        <w:t xml:space="preserve">), in each case, to any Person, shall not be null and void, but the Borrower may require such Disqualified Institution (upon written notice to the Disqualified Institution) to promptly (and in any event within five Business Days of such written notice) assign, without recourse and in accordance with and subject to the restrictions contained in this Section 9.05, all Loans and Commitments then owned by such Disqualified Institution to another Lender (other than Defaulting Lender) or Eligible Assignee (and the Borrower shall be entitled to seek specific performance in any applicable court of law or equity to enforce this sentence and/or specifically enforce this </w:t>
      </w:r>
      <w:r>
        <w:rPr>
          <w:rFonts w:ascii="Times New Roman" w:hAnsi="Times New Roman"/>
          <w:sz w:val="20"/>
          <w:u w:val="single"/>
        </w:rPr>
        <w:t>Section 9.05(f)</w:t>
      </w:r>
      <w:r>
        <w:rPr>
          <w:rFonts w:ascii="Times New Roman" w:hAnsi="Times New Roman"/>
          <w:sz w:val="20"/>
        </w:rPr>
        <w:t xml:space="preserve"> in addition to injunctive relief (without posting a bond or presenting evidence of irreparable harm) or any other remedy available to the Borrower at law or in equity; it being understood and agreed that (A) Holdings, the Borrower and its Subsidiaries will suffer irreparable harm if any Lender breaches any obligation under this </w:t>
      </w:r>
      <w:r>
        <w:rPr>
          <w:rFonts w:ascii="Times New Roman" w:hAnsi="Times New Roman"/>
          <w:sz w:val="20"/>
          <w:u w:val="single"/>
        </w:rPr>
        <w:t>Section 9.05</w:t>
      </w:r>
      <w:r>
        <w:rPr>
          <w:rFonts w:ascii="Times New Roman" w:hAnsi="Times New Roman"/>
          <w:sz w:val="20"/>
        </w:rPr>
        <w:t xml:space="preserve"> as it relates to any assignment, participation or pledge of any Loan or Commitment to any Person to whom the Borrower’s consent is required but not obtained and (B) notwithstanding the foregoing provisions of this </w:t>
      </w:r>
      <w:r>
        <w:rPr>
          <w:rFonts w:ascii="Times New Roman" w:hAnsi="Times New Roman"/>
          <w:sz w:val="20"/>
          <w:u w:val="single"/>
        </w:rPr>
        <w:t>Section 9.05(f)</w:t>
      </w:r>
      <w:r>
        <w:rPr>
          <w:rFonts w:ascii="Times New Roman" w:hAnsi="Times New Roman"/>
          <w:sz w:val="20"/>
        </w:rPr>
        <w:t xml:space="preserve">, any subsequent assignment by any Disqualified Institution (or any other Person to which an assignment or participation was made without the required consent of the Borrower) to an Eligible Assignee that complies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requirements of </w:t>
      </w:r>
      <w:r>
        <w:rPr>
          <w:rFonts w:ascii="Times New Roman" w:hAnsi="Times New Roman"/>
          <w:sz w:val="20"/>
          <w:u w:val="single"/>
        </w:rPr>
        <w:t>Section 9.05(b)</w:t>
      </w:r>
      <w:r>
        <w:rPr>
          <w:rFonts w:ascii="Times New Roman" w:hAnsi="Times New Roman"/>
          <w:sz w:val="20"/>
        </w:rPr>
        <w:t xml:space="preserve"> will be deemed to be a valid and enforceable assignment for purposes hereof. Nothing in this </w:t>
      </w:r>
      <w:r>
        <w:rPr>
          <w:rFonts w:ascii="Times New Roman" w:hAnsi="Times New Roman"/>
          <w:sz w:val="20"/>
          <w:u w:val="single"/>
        </w:rPr>
        <w:t>Section 9.05(f)</w:t>
      </w:r>
      <w:r>
        <w:rPr>
          <w:rFonts w:ascii="Times New Roman" w:hAnsi="Times New Roman"/>
          <w:sz w:val="20"/>
        </w:rPr>
        <w:t xml:space="preserve"> shall be deemed to prejudice any right or remedy that Holdings or the Borrower or its Subsidiaries may otherwise have at law or equity. Upon the request of any Lender, the Administrative Agent shall make the list of Disqualified Institutions provided to it by the Borrower available to such Lender, and such Lender may provide the list of Disqualified Institutions to any potential assignee or participant or counterparty to any Obligations Derivative Instrument on a confidential basis in accordance with </w:t>
      </w:r>
      <w:r>
        <w:rPr>
          <w:rFonts w:ascii="Times New Roman" w:hAnsi="Times New Roman"/>
          <w:sz w:val="20"/>
          <w:u w:val="single"/>
        </w:rPr>
        <w:t>Section 9.13</w:t>
      </w:r>
      <w:r>
        <w:rPr>
          <w:rFonts w:ascii="Times New Roman" w:hAnsi="Times New Roman"/>
          <w:sz w:val="20"/>
        </w:rPr>
        <w:t xml:space="preserve"> solely for the purpose of permitting such Person to verify whether such Person (or any Affiliate thereof) constitutes a Disqualified Institution. </w:t>
      </w:r>
    </w:p>
    <w:p>
      <w:pPr>
        <w:pStyle w:val="TextBody"/>
        <w:bidi w:val="0"/>
        <w:spacing w:before="120" w:after="0"/>
        <w:jc w:val="left"/>
        <w:rPr>
          <w:rFonts w:ascii="Times New Roman" w:hAnsi="Times New Roman"/>
          <w:sz w:val="20"/>
        </w:rPr>
      </w:pPr>
      <w:r>
        <w:rPr>
          <w:rFonts w:ascii="Times New Roman" w:hAnsi="Times New Roman"/>
          <w:sz w:val="20"/>
        </w:rPr>
        <w:t xml:space="preserve">(ii) If any assignment or participation under this </w:t>
      </w:r>
      <w:r>
        <w:rPr>
          <w:rFonts w:ascii="Times New Roman" w:hAnsi="Times New Roman"/>
          <w:sz w:val="20"/>
          <w:u w:val="single"/>
        </w:rPr>
        <w:t>Section 9.05</w:t>
      </w:r>
      <w:r>
        <w:rPr>
          <w:rFonts w:ascii="Times New Roman" w:hAnsi="Times New Roman"/>
          <w:sz w:val="20"/>
        </w:rPr>
        <w:t xml:space="preserve"> is made to any Disqualified Institution and/or any Affiliate of any Disqualified Institution (other than any Bona Fide Debt Fund) and/or any other Person to whom the Borrower’s consent is required but not obtained, in each case, without the Borrower’s prior written consent (any such person, a “</w:t>
      </w:r>
      <w:r>
        <w:rPr>
          <w:rFonts w:ascii="Times New Roman" w:hAnsi="Times New Roman"/>
          <w:sz w:val="20"/>
          <w:u w:val="single"/>
        </w:rPr>
        <w:t>Disqualified Person</w:t>
      </w:r>
      <w:r>
        <w:rPr>
          <w:rFonts w:ascii="Times New Roman" w:hAnsi="Times New Roman"/>
          <w:sz w:val="20"/>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[reserved] and/or (C) require such Disqualified Person to assign, without recourse (in accordance with and subject to the restrictions contained in this </w:t>
      </w:r>
      <w:r>
        <w:rPr>
          <w:rFonts w:ascii="Times New Roman" w:hAnsi="Times New Roman"/>
          <w:sz w:val="20"/>
          <w:u w:val="single"/>
        </w:rPr>
        <w:t>Section 9.05</w:t>
      </w:r>
      <w:r>
        <w:rPr>
          <w:rFonts w:ascii="Times New Roman" w:hAnsi="Times New Roman"/>
          <w:sz w:val="20"/>
        </w:rPr>
        <w:t xml:space="preserve">), all of its interests, rights and obligations under this Agreement to one or more Eligible Assignees; </w:t>
      </w:r>
      <w:r>
        <w:rPr>
          <w:rFonts w:ascii="Times New Roman" w:hAnsi="Times New Roman"/>
          <w:sz w:val="20"/>
          <w:u w:val="single"/>
        </w:rPr>
        <w:t>provided</w:t>
      </w:r>
      <w:r>
        <w:rPr>
          <w:rFonts w:ascii="Times New Roman" w:hAnsi="Times New Roman"/>
          <w:sz w:val="20"/>
        </w:rPr>
        <w:t xml:space="preserve">, that (I) in the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the Borrower shall not be liable to the relevant Disqualified Person under </w:t>
      </w:r>
      <w:r>
        <w:rPr>
          <w:rFonts w:ascii="Times New Roman" w:hAnsi="Times New Roman"/>
          <w:sz w:val="20"/>
          <w:u w:val="single"/>
        </w:rPr>
        <w:t>Section 2.16</w:t>
      </w:r>
      <w:r>
        <w:rPr>
          <w:rFonts w:ascii="Times New Roman" w:hAnsi="Times New Roman"/>
          <w:sz w:val="20"/>
        </w:rPr>
        <w:t xml:space="preserve"> if any SOFR Loan owing to such Disqualified Person is repaid or assigned other than on the last day of the Interest Period relating thereto, (II) in the case of </w:t>
      </w:r>
      <w:r>
        <w:rPr>
          <w:rFonts w:ascii="Times New Roman" w:hAnsi="Times New Roman"/>
          <w:sz w:val="20"/>
          <w:u w:val="single"/>
        </w:rPr>
        <w:t>clause (C)</w:t>
      </w:r>
      <w:r>
        <w:rPr>
          <w:rFonts w:ascii="Times New Roman" w:hAnsi="Times New Roman"/>
          <w:sz w:val="20"/>
        </w:rPr>
        <w:t xml:space="preserve">, the relevant assignment shall otherwise comply with this </w:t>
      </w:r>
      <w:r>
        <w:rPr>
          <w:rFonts w:ascii="Times New Roman" w:hAnsi="Times New Roman"/>
          <w:sz w:val="20"/>
          <w:u w:val="single"/>
        </w:rPr>
        <w:t>Section 9.05</w:t>
      </w:r>
      <w:r>
        <w:rPr>
          <w:rFonts w:ascii="Times New Roman" w:hAnsi="Times New Roman"/>
          <w:sz w:val="20"/>
        </w:rPr>
        <w:t xml:space="preserve"> (except that no registration and processing fee required under this </w:t>
      </w:r>
      <w:r>
        <w:rPr>
          <w:rFonts w:ascii="Times New Roman" w:hAnsi="Times New Roman"/>
          <w:sz w:val="20"/>
          <w:u w:val="single"/>
        </w:rPr>
        <w:t>Section 9.05</w:t>
      </w:r>
      <w:r>
        <w:rPr>
          <w:rFonts w:ascii="Times New Roman" w:hAnsi="Times New Roman"/>
          <w:sz w:val="20"/>
        </w:rPr>
        <w:t xml:space="preserve"> shall be required with any assignment pursuant to this paragraph and (III) in no event shall such Disqualified Person be entitled to receive amounts set forth in </w:t>
      </w:r>
      <w:r>
        <w:rPr>
          <w:rFonts w:ascii="Times New Roman" w:hAnsi="Times New Roman"/>
          <w:sz w:val="20"/>
          <w:u w:val="single"/>
        </w:rPr>
        <w:t>Section 2.13(d)</w:t>
      </w:r>
      <w:r>
        <w:rPr>
          <w:rFonts w:ascii="Times New Roman" w:hAnsi="Times New Roman"/>
          <w:sz w:val="20"/>
        </w:rPr>
        <w:t xml:space="preserve">. Further, any Disqualified Person identified by the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 (x) shall not for purposes of determining whether the Required Lenders, the majority of Lenders under any Class, each Lender or each affected Lender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majority Lenders under any Class, each Lender or each affected Lender have taken any action, and (y) shall be deemed to vote in the same proportion as Lenders that are not Disqualified Persons in any proceeding under any Debtor Relief Law commenced by or against the Borrower or any other Loan Party and (C) shall not be entitled to receive the benefits of </w:t>
      </w:r>
      <w:r>
        <w:rPr>
          <w:rFonts w:ascii="Times New Roman" w:hAnsi="Times New Roman"/>
          <w:sz w:val="20"/>
          <w:u w:val="single"/>
        </w:rPr>
        <w:t>Section 9.03</w:t>
      </w:r>
      <w:r>
        <w:rPr>
          <w:rFonts w:ascii="Times New Roman" w:hAnsi="Times New Roman"/>
          <w:sz w:val="20"/>
        </w:rPr>
        <w:t xml:space="preserve">. For the sake of clarity, the provisions in this </w:t>
      </w:r>
      <w:r>
        <w:rPr>
          <w:rFonts w:ascii="Times New Roman" w:hAnsi="Times New Roman"/>
          <w:sz w:val="20"/>
          <w:u w:val="single"/>
        </w:rPr>
        <w:t>Section 9.05(f)</w:t>
      </w:r>
      <w:r>
        <w:rPr>
          <w:rFonts w:ascii="Times New Roman" w:hAnsi="Times New Roman"/>
          <w:sz w:val="20"/>
        </w:rPr>
        <w:t xml:space="preserve"> shall not apply to any Person that is an assignee of any Disqualified Person, if such assignee is not a Disqualified Person.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herein, each of the Loan Parties and the Lenders acknowledges and agrees that the Administrative Agent shall not have any responsibility or obligation to determine whether any Lender or potential Lender is a Disqualified Person or any Affiliate thereof, and the Administrative Agent shall have no liabilities with respect to any assignment or participation made to a Disqualified Person or any Affiliate thereof. Without limiting the generality of the foregoing, the Administrative Agent shall not be obligated to ascertain, monitor or inquire as to whether any Lender or Participant or prospective Lender or Participant is a Disqualified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Survival</w:t>
      </w:r>
      <w:r>
        <w:rPr>
          <w:rFonts w:ascii="Times New Roman" w:hAnsi="Times New Roman"/>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hAnsi="Times New Roman"/>
          <w:sz w:val="20"/>
          <w:u w:val="single"/>
        </w:rPr>
        <w:t>Sections 2.15</w:t>
      </w:r>
      <w:r>
        <w:rPr>
          <w:rFonts w:ascii="Times New Roman" w:hAnsi="Times New Roman"/>
          <w:sz w:val="20"/>
        </w:rPr>
        <w:t xml:space="preserve">, </w:t>
      </w:r>
      <w:r>
        <w:rPr>
          <w:rFonts w:ascii="Times New Roman" w:hAnsi="Times New Roman"/>
          <w:sz w:val="20"/>
          <w:u w:val="single"/>
        </w:rPr>
        <w:t>2.16</w:t>
      </w:r>
      <w:r>
        <w:rPr>
          <w:rFonts w:ascii="Times New Roman" w:hAnsi="Times New Roman"/>
          <w:sz w:val="20"/>
        </w:rPr>
        <w:t xml:space="preserve">, </w:t>
      </w:r>
      <w:r>
        <w:rPr>
          <w:rFonts w:ascii="Times New Roman" w:hAnsi="Times New Roman"/>
          <w:sz w:val="20"/>
          <w:u w:val="single"/>
        </w:rPr>
        <w:t>2.17</w:t>
      </w:r>
      <w:r>
        <w:rPr>
          <w:rFonts w:ascii="Times New Roman" w:hAnsi="Times New Roman"/>
          <w:sz w:val="20"/>
        </w:rPr>
        <w:t xml:space="preserve">, </w:t>
      </w:r>
      <w:r>
        <w:rPr>
          <w:rFonts w:ascii="Times New Roman" w:hAnsi="Times New Roman"/>
          <w:sz w:val="20"/>
          <w:u w:val="single"/>
        </w:rPr>
        <w:t>9.03</w:t>
      </w:r>
      <w:r>
        <w:rPr>
          <w:rFonts w:ascii="Times New Roman" w:hAnsi="Times New Roman"/>
          <w:sz w:val="20"/>
        </w:rPr>
        <w:t xml:space="preserve"> and </w:t>
      </w:r>
      <w:r>
        <w:rPr>
          <w:rFonts w:ascii="Times New Roman" w:hAnsi="Times New Roman"/>
          <w:sz w:val="20"/>
          <w:u w:val="single"/>
        </w:rPr>
        <w:t>9.13</w:t>
      </w:r>
      <w:r>
        <w:rPr>
          <w:rFonts w:ascii="Times New Roman" w:hAnsi="Times New Roman"/>
          <w:sz w:val="20"/>
        </w:rPr>
        <w:t xml:space="preserve"> and </w:t>
      </w:r>
      <w:r>
        <w:rPr>
          <w:rFonts w:ascii="Times New Roman" w:hAnsi="Times New Roman"/>
          <w:sz w:val="20"/>
          <w:u w:val="single"/>
        </w:rPr>
        <w:t>Article 8</w:t>
      </w:r>
      <w:r>
        <w:rPr>
          <w:rFonts w:ascii="Times New Roman" w:hAnsi="Times New Roman"/>
          <w:sz w:val="20"/>
        </w:rPr>
        <w:t xml:space="preserve"> shall survive and remain in full force and effect regardless of the consummation of the transactions contemplated hereby, the repayment of the Loans, the expiration or termination of the Letters of Credit and the Commitment, the occurrence of the Termination Date or the termination of this Agreement or any provision hereof, but in each case, subject to the limitations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Counterparts; Integration;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each Intercreditor Agreement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Severability</w:t>
      </w:r>
      <w:r>
        <w:rPr>
          <w:rFonts w:ascii="Times New Roman" w:hAnsi="Times New Roman"/>
          <w:sz w:val="20"/>
        </w:rPr>
        <w:t xml:space="preserve">.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Right of Setoff</w:t>
      </w:r>
      <w:r>
        <w:rPr>
          <w:rFonts w:ascii="Times New Roman" w:hAnsi="Times New Roman"/>
          <w:sz w:val="20"/>
        </w:rPr>
        <w:t xml:space="preserve">. At any time when an Event of Default exists, upon the written consent of the Administrative Agent, each Lender and each Issuing Bank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Lender or such Issuing Bank to or for the credit or the account of any Loan Party against any and all of the Secured Obligations held by the Administrative Agent, such Lender or such Issuing Bank, irrespective of whether or not the Administrative Agent or such Lender shall have made any demand under the Loan Documents and although such obligations may be contingent or unmatured or are owed to a branch or office of such Lender or such Issuing Bank different than the branch or office holding such deposit or obligation on such Indebtedness. Any applicable Lender or Issuing Bank shall promptly notify the Borrower and the Administrative Agent of such set-off or application; </w:t>
      </w:r>
      <w:r>
        <w:rPr>
          <w:rFonts w:ascii="Times New Roman" w:hAnsi="Times New Roman"/>
          <w:sz w:val="20"/>
          <w:u w:val="single"/>
        </w:rPr>
        <w:t>provided</w:t>
      </w:r>
      <w:r>
        <w:rPr>
          <w:rFonts w:ascii="Times New Roman" w:hAnsi="Times New Roman"/>
          <w:sz w:val="20"/>
        </w:rPr>
        <w:t xml:space="preserve">, that any failure to give or any delay in giving such notice shall not affect the validity of any such set-off or application under this Section. The rights of each Lender, each Issuing Bank and the Administrative Agent under this Section are in addition to other rights and remedies (including other rights of setoff) which such Lender, such Issuing Bank or the Administrative Agent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hAnsi="Times New Roman"/>
          <w:sz w:val="20"/>
          <w:u w:val="single"/>
        </w:rPr>
        <w:t>PARAGRAPH (b)</w:t>
      </w:r>
      <w:r>
        <w:rPr>
          <w:rFonts w:ascii="Times New Roman" w:hAnsi="Times New Roman"/>
          <w:sz w:val="20"/>
        </w:rPr>
        <w:t xml:space="preserve"> OF THIS SECTION. EACH PARTY HERETO HEREBY IRREVOCABLY WAIVES, TO THE FULLEST EXTENT PERMITTED BY APPLICABLE REQUIREMENTS OF LAW, ANY CLAIM OR DEFENSE OF AN INCONVENIENT FORUM TO THE MAINTENANCE OF SUCH ACTION, SUIT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hAnsi="Times New Roman"/>
          <w:sz w:val="20"/>
          <w:u w:val="single"/>
        </w:rPr>
        <w:t>SECTION 9.01</w:t>
      </w:r>
      <w:r>
        <w:rPr>
          <w:rFonts w:ascii="Times New Roman" w:hAnsi="Times New Roman"/>
          <w:sz w:val="20"/>
        </w:rPr>
        <w:t xml:space="preserve">.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Waiver of Jury Trial</w:t>
      </w:r>
      <w:r>
        <w:rPr>
          <w:rFonts w:ascii="Times New Roman" w:hAnsi="Times New Roman"/>
          <w:sz w:val="20"/>
        </w:rPr>
        <w:t xml:space="preserve">.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Confidentiality</w:t>
      </w:r>
      <w:r>
        <w:rPr>
          <w:rFonts w:ascii="Times New Roman" w:hAnsi="Times New Roman"/>
          <w:sz w:val="20"/>
        </w:rPr>
        <w:t>. Each of the Administrative Agent, each Arranger, each Issuing Bank and each Lender agrees (and each Lender agrees to cause its SPC, if any) to maintain the confidentiality of the Confidential Information (as defined below) and not publish disclose or otherwise divulge such Confidential Information, except that Confidential Information may be disclosed (a) to its Affiliates and its and its Affiliates’ respective partners, directors (or equivalent managers), officers, employees, independent auditors, or other experts and advisors, including accountants, legal counsel and other advisors (collectively, the “</w:t>
      </w:r>
      <w:r>
        <w:rPr>
          <w:rFonts w:ascii="Times New Roman" w:hAnsi="Times New Roman"/>
          <w:sz w:val="20"/>
          <w:u w:val="single"/>
        </w:rPr>
        <w:t>Representatives</w:t>
      </w:r>
      <w:r>
        <w:rPr>
          <w:rFonts w:ascii="Times New Roman" w:hAnsi="Times New Roman"/>
          <w:sz w:val="20"/>
        </w:rPr>
        <w:t xml:space="preserve">”)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 w:hAnsi="Times New Roman"/>
          <w:sz w:val="20"/>
          <w:u w:val="single"/>
        </w:rPr>
        <w:t>provided</w:t>
      </w:r>
      <w:r>
        <w:rPr>
          <w:rFonts w:ascii="Times New Roman" w:hAnsi="Times New Roman"/>
          <w:sz w:val="20"/>
        </w:rPr>
        <w:t xml:space="preserve">, that such Person shall be responsible for its Affiliates’ and their Representatives’ compliance with this paragraph;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the Borrower otherwise consents, no such disclosure shall be made by the Administrative Agent, any Arranger, any Issuing Bank or any Lender or any Affiliate or Representative thereof to any Affiliate or Representative of the Administrative Agent or any Lender that is a Disqualified Institution (other than any Affiliate or Representative of the Administrative Agent or any Lender that is engaged as a principal primarily in private equity, mezzanine financing or venture capital that is a senior employee of the Administrative Agent or such Lender who is required, in accordance with industry regulations or the Administrative Agent’s or the relevant Lender’s internal policies and procedures, to act in a supervisory capacity and the Administrative Agent’s or the relevant Lender’s internal, legal or compliance committee members, so long as such persons do not share any such information with any individual primarily engaged in private equity, venture capital or mezzanine financing activities at the Disqualified Institution itself), (b) to the extent compelled by legal process in, or reasonably necessary to, the defense or prosecution of such legal, judicial or administrative proceeding (including in connection with any enforcement of rights under this Agreement or any other Loan Document), in any legal, judicial or administrative proceeding or otherwise as required by applicable Requirements of Law (in which case such Person shall (i) to the extent permitted by applicable Requirements of Law, inform the Borrower promptly in advance thereof and (ii) use commercially reasonable efforts to ensure that any such information so disclosed is accorded confidential treatment), (c) upon the demand or request 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(i) to the extent permitted by applicable Requirements of Law, inform the Borrower promptly in advance thereof and (ii) use commercially reasonable efforts to ensure that any information so disclosed is accorded confidential treatment), (d) subject to an acknowledgment and agreement by the relevant recipient that the Confidential Information is being disseminated on a confidential basis (on substantially the terms set forth in this paragraph or as otherwise reasonably acceptable to the Borrower) in accordance with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 w:hAnsi="Times New Roman"/>
          <w:sz w:val="20"/>
          <w:u w:val="single"/>
        </w:rPr>
        <w:t>Section 9.05</w:t>
      </w:r>
      <w:r>
        <w:rPr>
          <w:rFonts w:ascii="Times New Roman" w:hAnsi="Times New Roman"/>
          <w:sz w:val="20"/>
        </w:rPr>
        <w:t xml:space="preserve"> and (iii) any actual or prospective, direct or indirect contractual counterparty (or its advisors) to any Derivative Transaction (including any credit default swap) or similar derivative product to which any Loan Party is a party, (e) with the prior written consent of the Borrower, (f) to the extent the Confidential Information becomes publicly available other than as a result of a breach of this Section by such Person, its Affiliates or their respective Representatives, (g) to the extent such Confidential Information is received from a third party that is not, to such recipient’s knowledge, subject to confidentiality obligations owing to the Sponsor, any Parent Company, the Borrower, any Subsidiary or any of their respective Affiliates, (h) to the extent such information was independently developed by the Administrative Agent, Arranger, Issuing Bank or Lender, (i) to market data collectors or similar service providers in the lending industry, (j) to the extent such information (x) is received by the Administrative Agent, any Lender, any Issuing Bank and/or any Arranger from a third party that is not, to such person’s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confidentiality, fiduciary or other legal obligations owing to Holdings, the Borrower or any of its subsidiaries or Affiliates or (y) was already in the possession of the Administrative Agent, any Lender, any Issuing Bank and/or any Arranger (except to the extent received in a manner restricted by this </w:t>
      </w:r>
      <w:r>
        <w:rPr>
          <w:rFonts w:ascii="Times New Roman" w:hAnsi="Times New Roman"/>
          <w:sz w:val="20"/>
          <w:u w:val="single"/>
        </w:rPr>
        <w:t>Section 9.13</w:t>
      </w:r>
      <w:r>
        <w:rPr>
          <w:rFonts w:ascii="Times New Roman" w:hAnsi="Times New Roman"/>
          <w:sz w:val="20"/>
        </w:rPr>
        <w:t>) and (k)</w:t>
      </w:r>
      <w:r>
        <w:rPr>
          <w:rFonts w:ascii="Times New Roman" w:hAnsi="Times New Roman"/>
          <w:sz w:val="20"/>
          <w:u w:val="single"/>
        </w:rPr>
        <w:t> provided</w:t>
      </w:r>
      <w:r>
        <w:rPr>
          <w:rFonts w:ascii="Times New Roman" w:hAnsi="Times New Roman"/>
          <w:sz w:val="20"/>
        </w:rPr>
        <w:t>, that none of the Administrative Agent, any Lender, any Issuing Bank or any Arranger nor any of their respective Affiliates or Representatives may advertise or promote their respective roles in arranging or providing any portion of any Revolving Facility (including in any newspaper or other periodical, on any website or similar place for dissemination of information on the internet, as part of a “case study” incorporated into promotional materials, in the form of a “tombstone” advertisement or otherwise) without the prior written consent of the Borrower (which consent shall not be unreasonably withheld, conditioned or delayed). In addition, the Administrative Agent, any Lender, any Issuing Bank or any Arranger may disclose the existence of any Revolving Facility and economic and structural terms related to any Revolving Facility (and not, for the avoidance of doubt, Confidential Information regarding Holdings, the Borrower or any of its subsidiaries or Affiliates) to market data collectors and similar service providers to the lending industry in connection with the administration and management of any Revolving Facility. For purposes of this Section, “</w:t>
      </w:r>
      <w:r>
        <w:rPr>
          <w:rFonts w:ascii="Times New Roman" w:hAnsi="Times New Roman"/>
          <w:sz w:val="20"/>
          <w:u w:val="single"/>
        </w:rPr>
        <w:t>Confidential Information</w:t>
      </w:r>
      <w:r>
        <w:rPr>
          <w:rFonts w:ascii="Times New Roman" w:hAnsi="Times New Roman"/>
          <w:sz w:val="20"/>
        </w:rPr>
        <w:t xml:space="preserve">” means all information relating to Holdings, the Borrower and/or any of the Subsidiaries of the Borrower and their respective businesses or the Transactions (including any information obtained by the Administrative Agent, any Arranger, any Issuing Bank or any Lender, or any of their respective Affiliates or Representatives, based on a review of any books and records relating to Holdings, the Borrower and/or any of its Subsidiaries and their respective Affiliates from time to time, including prior to the date hereof) other than any such information that is publicly available to the Administrative Agent, any Arranger, any Issuing Bank or any Lender on a non-confidential basis prior to disclosure by the Borrower or any of its Subsidiaries. For the avoidance of doubt, in no event shall any disclosure of any Confidential Information be made to Person that is a Disqualified Institution at the time of disclosure.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No Fiduciary Duty</w:t>
      </w:r>
      <w:r>
        <w:rPr>
          <w:rFonts w:ascii="Times New Roman" w:hAnsi="Times New Roman"/>
          <w:sz w:val="20"/>
        </w:rPr>
        <w:t>. Each of the Administrative Agent, each Lender, each Issuing Bank and their respective Affiliates (collectively, solely for purposes of this paragraph, the “</w:t>
      </w:r>
      <w:r>
        <w:rPr>
          <w:rFonts w:ascii="Times New Roman" w:hAnsi="Times New Roman"/>
          <w:sz w:val="20"/>
          <w:u w:val="single"/>
        </w:rPr>
        <w:t>Lenders</w:t>
      </w:r>
      <w:r>
        <w:rPr>
          <w:rFonts w:ascii="Times New Roman" w:hAnsi="Times New Roman"/>
          <w:sz w:val="20"/>
        </w:rPr>
        <w:t xml:space="preserve">”),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any Loan Party, its respective management, stockholders, creditors or any other Person. Each Loan Party acknowledges and agrees that such Loan Party has consulted its own legal, tax and financial advisors to the extent it deemed appropriate and has not relied on the Administrative Agent, any Lender, any Issuing Bank or their respective Affiliates for any advice with respect to such matters and that it is responsible for making its own independent judgment with respect to such transactions and the process leading thereto. To the fullest extent permitted by law, the Borrower hereby waives and releases any claims that it may have against the Administrative Agent and each Lender with respect to any breach or alleged breach of agency or fiduciary duty arising solely by virtue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Several Obligations</w:t>
      </w:r>
      <w:r>
        <w:rPr>
          <w:rFonts w:ascii="Times New Roman" w:hAnsi="Times New Roman"/>
          <w:sz w:val="20"/>
        </w:rPr>
        <w:t xml:space="preserve">. The respective obligations of the Lenders hereunder are several and not joint and the failure of any Lender to make any Loan, issue any Letter of Credit or perform any of its obligations hereunder shall not relieve any other Lender from any of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USA PATRIOT Act; Beneficial Ownership Regulation</w:t>
      </w:r>
      <w:r>
        <w:rPr>
          <w:rFonts w:ascii="Times New Roman" w:hAnsi="Times New Roman"/>
          <w:sz w:val="20"/>
        </w:rPr>
        <w:t>. Each Lender that is subject to the requirements of the USA PATRIOT Act and the requirements of the Beneficial Ownership Regulation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information concerning its direct and indirect holders of its Capital Stock and other Persons exercising Control over it, and other information that will allow such Lender to identify such Loan Party in accordance with the USA PATRIOT Act and the Borrower in accordance with the Beneficial Ownership Regulation. The Borrower acknowledges that similar requirements exist under the laws of other jurisdictions. In order to comply with laws, rules, regulations and executive orders in effect from time to time applicable to banking institutions, including those relating to the funding of terrorist activities and money laundering (“</w:t>
      </w:r>
      <w:r>
        <w:rPr>
          <w:rFonts w:ascii="Times New Roman" w:hAnsi="Times New Roman"/>
          <w:sz w:val="20"/>
          <w:u w:val="single"/>
        </w:rPr>
        <w:t>Applicable Law</w:t>
      </w:r>
      <w:r>
        <w:rPr>
          <w:rFonts w:ascii="Times New Roman" w:hAnsi="Times New Roman"/>
          <w:sz w:val="20"/>
        </w:rPr>
        <w:t xml:space="preserve">”), the Administrative Agent is required to obtain, verify and record certain information relating to individuals and entities which maintain a business relationship with the Administrative Agent. Accordingly, each of the parties agrees to provide to the Administrative Agent upon its reasonable request from time to time such identifying information and documentation as may be available for such party in order to enable the Administrative Agent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Disclosure of Agent Conflicts</w:t>
      </w:r>
      <w:r>
        <w:rPr>
          <w:rFonts w:ascii="Times New Roman" w:hAnsi="Times New Roman"/>
          <w:sz w:val="20"/>
        </w:rPr>
        <w:t xml:space="preserve">. Each Loan Party, each Issuing Bank and each Lender hereby acknowledges and agrees that the Administrative Agent and/or its Affiliates from time to time may hold investments in, make other loans to or have other relationships with any of the Loan Parties and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Appointment for Perfection</w:t>
      </w:r>
      <w:r>
        <w:rPr>
          <w:rFonts w:ascii="Times New Roman" w:hAnsi="Times New Roman"/>
          <w:sz w:val="20"/>
        </w:rPr>
        <w:t xml:space="preserve">. Each Lender hereby appoints each other Lender and each Issuing Bank as its agent for the purpose of perfecting Liens for the benefit of Administrative Agent, the Issuing Bank and the Lenders in assets which, in accordance with Article 9 of the UCC or any other applicable Requirement of Law can be perfected only by possession. If any Lender or Issuing Bank (other than the Administrative Agent) obtains possession of any Collateral, such Lender or such Issuing Bank shall notify the Administrative Agent thereof and, promptly upon the Administrative Agent’s request therefor shall deliver such Collateral to the Administrative Agent or otherwise deal with such Collateral in accordance with the Administrative Agent’s instructions.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Interest Rate Limitation</w:t>
      </w:r>
      <w:r>
        <w:rPr>
          <w:rFonts w:ascii="Times New Roman" w:hAnsi="Times New Roman"/>
          <w:sz w:val="20"/>
        </w:rPr>
        <w:t>.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Times New Roman" w:hAnsi="Times New Roman"/>
          <w:sz w:val="20"/>
          <w:u w:val="single"/>
        </w:rPr>
        <w:t>Charged Amounts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Section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Electronic Execution of Assignments and Certain Other Documents</w:t>
      </w:r>
      <w:r>
        <w:rPr>
          <w:rFonts w:ascii="Times New Roman" w:hAnsi="Times New Roman"/>
          <w:sz w:val="20"/>
        </w:rPr>
        <w:t xml:space="preserve">. The words “execute,” “execution,” “signed,” “signature,” and words of like import in or related to any document to be signed in connection with this Agreement and the transactions contemplated hereby (including without limitation Assignment Agreements, amendments or other modifications,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Requirements of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sz w:val="20"/>
          <w:u w:val="single"/>
        </w:rPr>
        <w:t>provided</w:t>
      </w:r>
      <w:r>
        <w:rPr>
          <w:rFonts w:ascii="Times New Roman" w:hAnsi="Times New Roman"/>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Conflicts</w:t>
      </w:r>
      <w:r>
        <w:rPr>
          <w:rFonts w:ascii="Times New Roman" w:hAnsi="Times New Roman"/>
          <w:sz w:val="20"/>
        </w:rPr>
        <w:t xml:space="preserve">. Notwithstanding anything to the contrary contained herein or in any other Loan Document, in the event of any conflict or inconsistency between this Agreement and any other Loan Document, the terms of this Agreement shall govern and control; </w:t>
      </w:r>
      <w:r>
        <w:rPr>
          <w:rFonts w:ascii="Times New Roman" w:hAnsi="Times New Roman"/>
          <w:sz w:val="20"/>
          <w:u w:val="single"/>
        </w:rPr>
        <w:t>provided</w:t>
      </w:r>
      <w:r>
        <w:rPr>
          <w:rFonts w:ascii="Times New Roman" w:hAnsi="Times New Roman"/>
          <w:sz w:val="20"/>
        </w:rPr>
        <w:t xml:space="preserve">, that in the case of any conflict or inconsistency between any Intercreditor Agreement and any Loan Document, the terms of such Intercreditor Agreement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Release of Guarantors</w:t>
      </w:r>
      <w:r>
        <w:rPr>
          <w:rFonts w:ascii="Times New Roman" w:hAnsi="Times New Roman"/>
          <w:sz w:val="20"/>
        </w:rPr>
        <w:t xml:space="preserve">. Notwithstanding anything in </w:t>
      </w:r>
      <w:r>
        <w:rPr>
          <w:rFonts w:ascii="Times New Roman" w:hAnsi="Times New Roman"/>
          <w:sz w:val="20"/>
          <w:u w:val="single"/>
        </w:rPr>
        <w:t>Section 9.02(b)</w:t>
      </w:r>
      <w:r>
        <w:rPr>
          <w:rFonts w:ascii="Times New Roman" w:hAnsi="Times New Roman"/>
          <w:sz w:val="20"/>
        </w:rPr>
        <w:t xml:space="preserve"> to the contrary, but subject to the immediately succeeding proviso, (a) any Subsidiary Guarantor shall automatically be released from its obligations hereunder (and its Loan Guaranty and the Liens granted pursuant to the Collateral Documents shall be released by the Administrative Agent) (i) upon the consummation of any permitted transaction or series of related transactions if as a result thereof such Subsidiary Guarantor ceases to be a Subsidiary (or is or becomes an Excluded Subsidiary as a result of a single transaction or series of related transactions permitted hereunder), (ii) upon the occurrence of the Termination Date and/or (iii) with respect to any Discretionary Guarantor, upon notice by the Borrower to the Administrative Agent at any time as a result of a single transaction or series of related transactions not prohibited hereunder; </w:t>
      </w:r>
      <w:r>
        <w:rPr>
          <w:rFonts w:ascii="Times New Roman" w:hAnsi="Times New Roman"/>
          <w:sz w:val="20"/>
          <w:u w:val="single"/>
        </w:rPr>
        <w:t>provided</w:t>
      </w:r>
      <w:r>
        <w:rPr>
          <w:rFonts w:ascii="Times New Roman" w:hAnsi="Times New Roman"/>
          <w:sz w:val="20"/>
        </w:rPr>
        <w:t xml:space="preserve">, that (x) such Discretionary Guarantor constitutes an Excluded Subsidiary at the time such notice is delivered, (y) the release of any Discretionary Guarantor from its obligations under the Loan Guaranty shall constitute the incurrence or making, as applicable, at the time of release of any then-existing Investment, Indebtedness or Lien of such Discretionary Guarantor, as applicable and (z) no Discretionary Guarantor shall be permitted to be released from its obligations under the Loan Guaranty nor shall the Liens granted by such Discretionary Guarantor pursuant to the Collateral Documents be permitted to be released pursuant to this clause (iii) unless, after giving pro forma effect to such release, the Borrower shall be automatically and immediately deemed to have made an Investment in such Discretionary Guarantor on the date of such release in an amount equal to the portion of the fair market value of the Borrower’s direct or indirect retained ownership in such Discretionary Guarantor and such Investment shall be permitted hereunder and/or (b) that meets the definition of an “Excluded Subsidiary” shall be released by the Administrative Agent promptly following the request therefor by the Borrower; </w:t>
      </w:r>
      <w:r>
        <w:rPr>
          <w:rFonts w:ascii="Times New Roman" w:hAnsi="Times New Roman"/>
          <w:sz w:val="20"/>
          <w:u w:val="single"/>
        </w:rPr>
        <w:t>provided</w:t>
      </w:r>
      <w:r>
        <w:rPr>
          <w:rFonts w:ascii="Times New Roman" w:hAnsi="Times New Roman"/>
          <w:sz w:val="20"/>
        </w:rPr>
        <w:t xml:space="preserve">, that, in each case, a Subsidiary Guarantor (including any Discretionary Guarantor) shall not be released as a Loan Party hereunder solely by virtue of the Disposition of a minority amount of such Subsidiary Guarantor’s Capital Stock, unless (x) after giving pro forma effect to such Disposition, the Borrower (or the other Loan Guarantor owning such Subsidiary Guarantor) shall be automatically and immediately deemed to have made an Investment in such Subsidiary Guarantor on the date of such release in an amount equal to the portion of the fair market value of the Borrower’s or such other Loan Guarantor’s direct or indirect retained ownership in such Subsidiary Guarantor and such Investment shall be permitted hereunder and (y) such Disposition is to an unaffiliated third party for fair market value (as determined by the Borrower in good faith) and for a bona fide business purpose (as determined by the Borrower in good faith) (it being understood that this proviso shall not limit the release of any Subsidiary Guarantor that otherwise qualifies as an Excluded Subsidiary for reasons other than not constituting a Wholly-Owned Subsidiary of the Borrower). In connection with any such release, the Administrative Agent shall promptly execute and deliver to the relevant Loan Party, at such Loan Party’s expense, all documents that such Loan Party shall reasonably request to evidence termination or release; provided, that upon the request of the Administrative Agent, the Borrower shall deliver a certificate of a Responsible Officer certifying that the relevant transaction has been consummated in compliance with the terms of this Agreement. Any execution and delivery of any document pursuant to the preceding sentence of this </w:t>
      </w:r>
      <w:r>
        <w:rPr>
          <w:rFonts w:ascii="Times New Roman" w:hAnsi="Times New Roman"/>
          <w:sz w:val="20"/>
          <w:u w:val="single"/>
        </w:rPr>
        <w:t>Section 9.22</w:t>
      </w:r>
      <w:r>
        <w:rPr>
          <w:rFonts w:ascii="Times New Roman" w:hAnsi="Times New Roman"/>
          <w:sz w:val="20"/>
        </w:rPr>
        <w:t xml:space="preserve"> shall be without recourse to or warranty by the Administrative Agent (other than as to the Administrative Agent’s authority to execute and deliver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of the parties hereto, each such party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or Issuing Bank that is an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9.24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Hedge Agreements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U.S. or any other state of the U.S.). </w:t>
      </w:r>
    </w:p>
    <w:p>
      <w:pPr>
        <w:pStyle w:val="TextBody"/>
        <w:bidi w:val="0"/>
        <w:spacing w:before="24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9.24</w:t>
      </w:r>
      <w:r>
        <w:rPr>
          <w:rFonts w:ascii="Times New Roman" w:hAnsi="Times New Roman"/>
          <w:sz w:val="20"/>
        </w:rPr>
        <w:t xml:space="preserve">,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9.25 </w:t>
      </w:r>
      <w:r>
        <w:rPr>
          <w:rFonts w:ascii="Times New Roman" w:hAnsi="Times New Roman"/>
          <w:sz w:val="20"/>
          <w:u w:val="single"/>
        </w:rPr>
        <w:t>Marshaling; Payments Set Aside</w:t>
      </w:r>
      <w:r>
        <w:rPr>
          <w:rFonts w:ascii="Times New Roman" w:hAnsi="Times New Roman"/>
          <w:sz w:val="20"/>
        </w:rPr>
        <w:t xml:space="preserve">. None of the Administrative Agent or any Lender shall be under any obligation to marshal any assets in favor of the Loan Parties or any other party or against or in payment of any or all of the Obligations.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Administrative Agent, plus interest thereon from the date of such demand to the date such payment is made at a rate per annum equal to the greater of (i) the Federal Funds Effective Rate and (ii) a rate determined by the Administrative Agent in accordance with marketing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Section 9.26 </w:t>
      </w:r>
      <w:r>
        <w:rPr>
          <w:rFonts w:ascii="Times New Roman" w:hAnsi="Times New Roman"/>
          <w:sz w:val="20"/>
          <w:u w:val="single"/>
        </w:rPr>
        <w:t>Judgment Currency</w:t>
      </w:r>
      <w:r>
        <w:rPr>
          <w:rFonts w:ascii="Times New Roman" w:hAnsi="Times New Roman"/>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hAnsi="Times New Roman"/>
          <w:sz w:val="20"/>
          <w:u w:val="single"/>
        </w:rPr>
        <w:t>Judgment Currency</w:t>
      </w:r>
      <w:r>
        <w:rPr>
          <w:rFonts w:ascii="Times New Roman" w:hAnsi="Times New Roman"/>
          <w:sz w:val="20"/>
        </w:rPr>
        <w:t>”) other than that in which such sum is denominated in accordance with the applicable provisions of this Agreement (the “</w:t>
      </w:r>
      <w:r>
        <w:rPr>
          <w:rFonts w:ascii="Times New Roman" w:hAnsi="Times New Roman"/>
          <w:sz w:val="20"/>
          <w:u w:val="single"/>
        </w:rPr>
        <w:t>Agreement Currency</w:t>
      </w:r>
      <w:r>
        <w:rPr>
          <w:rFonts w:ascii="Times New Roman" w:hAnsi="Times New Roman"/>
          <w:sz w:val="20"/>
        </w:rPr>
        <w:t xml:space="preserve">”),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Requirements of Law).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68"/>
        <w:gridCol w:w="88"/>
        <w:gridCol w:w="3426"/>
      </w:tblGrid>
      <w:tr>
        <w:trPr/>
        <w:tc>
          <w:tcPr>
            <w:tcW w:w="56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SOLV ENERGY ACQUISITION LLC, as the Borrower</w:t>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pPr>
            <w:r>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6"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568"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left"/>
              <w:rPr/>
            </w:pPr>
            <w:r>
              <w:rPr/>
              <w:t>Name: Chad Plotkin</w:t>
            </w:r>
          </w:p>
        </w:tc>
      </w:tr>
      <w:tr>
        <w:trPr/>
        <w:tc>
          <w:tcPr>
            <w:tcW w:w="568"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SOLV ENERGY INTERMEDIATE HOLDINGS LLC, as Holdings</w:t>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pPr>
            <w:r>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426" w:type="dxa"/>
            <w:tcBorders>
              <w:bottom w:val="single" w:sz="2" w:space="0" w:color="000000"/>
            </w:tcBorders>
            <w:tcMar>
              <w:bottom w:w="28" w:type="dxa"/>
            </w:tcMar>
          </w:tcPr>
          <w:p>
            <w:pPr>
              <w:pStyle w:val="TableContents"/>
              <w:bidi w:val="0"/>
              <w:spacing w:before="0" w:after="283"/>
              <w:jc w:val="left"/>
              <w:rPr/>
            </w:pPr>
            <w:r>
              <w:rPr/>
              <w:t>/s/ Chad Plotkin</w:t>
            </w:r>
          </w:p>
        </w:tc>
      </w:tr>
      <w:tr>
        <w:trPr/>
        <w:tc>
          <w:tcPr>
            <w:tcW w:w="568"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left"/>
              <w:rPr/>
            </w:pPr>
            <w:r>
              <w:rPr/>
              <w:t>Name: Chad Plotkin</w:t>
            </w:r>
          </w:p>
        </w:tc>
      </w:tr>
      <w:tr>
        <w:trPr/>
        <w:tc>
          <w:tcPr>
            <w:tcW w:w="568"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left"/>
              <w:rPr/>
            </w:pPr>
            <w:r>
              <w:rPr/>
              <w:t>Title: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KEYBANK NATIONAL ASSOCIATION, as Administrative Agent, a Lender, an Issuing Bank and the Swingline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Patrick Whitmore</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Patrick Whitmore</w:t>
            </w:r>
          </w:p>
        </w:tc>
      </w:tr>
      <w:tr>
        <w:trPr/>
        <w:tc>
          <w:tcPr>
            <w:tcW w:w="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an Issuing Bank and a Lender</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Dong Sun Shin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 Dong Sun Shin</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 Authorized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4270" w:type="dxa"/>
        <w:jc w:val="right"/>
        <w:tblInd w:w="0" w:type="dxa"/>
        <w:tblLayout w:type="fixed"/>
        <w:tblCellMar>
          <w:top w:w="0" w:type="dxa"/>
          <w:left w:w="0" w:type="dxa"/>
          <w:bottom w:w="0" w:type="dxa"/>
          <w:right w:w="0" w:type="dxa"/>
        </w:tblCellMar>
      </w:tblPr>
      <w:tblGrid>
        <w:gridCol w:w="305"/>
        <w:gridCol w:w="60"/>
        <w:gridCol w:w="3905"/>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5" w:type="dxa"/>
            <w:tcBorders/>
            <w:vAlign w:val="bottom"/>
          </w:tcPr>
          <w:p>
            <w:pPr>
              <w:pStyle w:val="TableContents"/>
              <w:bidi w:val="0"/>
              <w:spacing w:before="0" w:after="283"/>
              <w:jc w:val="left"/>
              <w:rPr/>
            </w:pPr>
            <w:r>
              <w:rPr/>
              <w:t>CITY NATIONAL BANK, as a Lender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96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905" w:type="dxa"/>
            <w:tcBorders>
              <w:bottom w:val="single" w:sz="2" w:space="0" w:color="000000"/>
            </w:tcBorders>
            <w:tcMar>
              <w:bottom w:w="28" w:type="dxa"/>
            </w:tcMar>
          </w:tcPr>
          <w:p>
            <w:pPr>
              <w:pStyle w:val="TableContents"/>
              <w:bidi w:val="0"/>
              <w:spacing w:before="0" w:after="283"/>
              <w:jc w:val="left"/>
              <w:rPr/>
            </w:pPr>
            <w:r>
              <w:rPr/>
              <w:t>/s/ Eric Lo</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5" w:type="dxa"/>
            <w:tcBorders/>
            <w:vAlign w:val="bottom"/>
          </w:tcPr>
          <w:p>
            <w:pPr>
              <w:pStyle w:val="TableContents"/>
              <w:bidi w:val="0"/>
              <w:spacing w:before="0" w:after="283"/>
              <w:jc w:val="left"/>
              <w:rPr/>
            </w:pPr>
            <w:r>
              <w:rPr/>
              <w:t>Name: Eric Lo</w:t>
            </w:r>
          </w:p>
        </w:tc>
      </w:tr>
      <w:tr>
        <w:trPr/>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05" w:type="dxa"/>
            <w:tcBorders/>
            <w:vAlign w:val="bottom"/>
          </w:tcPr>
          <w:p>
            <w:pPr>
              <w:pStyle w:val="TableContents"/>
              <w:bidi w:val="0"/>
              <w:spacing w:before="0" w:after="283"/>
              <w:jc w:val="left"/>
              <w:rPr/>
            </w:pPr>
            <w:r>
              <w:rPr/>
              <w:t>Title: SVP</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JEFFERIES FINANCE LLC, as a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John Koehler</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John Koehler</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TORONTO-DOMINION BANK, NEW YORK BRANCH, as a Lender</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David Perlman</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Name: David Perlman</w:t>
            </w:r>
          </w:p>
        </w:tc>
      </w:tr>
      <w:tr>
        <w:trPr/>
        <w:tc>
          <w:tcPr>
            <w:tcW w:w="3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UBS AG, STAMFORD BRANCH, as a Lender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Muhammad Afzal</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Muhammad Afzal</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Director</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Joselin Fernandes</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Joselin Fernandes</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CANADIAN IMPERIAL BANK OF COMMERCE, as a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Pallavi Nanda</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Pallavi Nanda</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NOMURA CORPORATE FUNDING AMERICAS, LLC, as a Lender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Garrett P. Carpenter</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Name: Garrett P. Carpenter</w:t>
            </w:r>
          </w:p>
        </w:tc>
      </w:tr>
      <w:tr>
        <w:trPr/>
        <w:tc>
          <w:tcPr>
            <w:tcW w:w="401"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p>
    <w:p>
      <w:pPr>
        <w:pStyle w:val="TextBody"/>
        <w:bidi w:val="0"/>
        <w:spacing w:before="0" w:after="0"/>
        <w:jc w:val="right"/>
        <w:rPr>
          <w:rFonts w:ascii="Times New Roman" w:hAnsi="Times New Roman"/>
          <w:b/>
          <w:sz w:val="20"/>
        </w:rPr>
      </w:pPr>
      <w:bookmarkStart w:id="12" w:name="d189834dex991.htm"/>
      <w:bookmarkStart w:id="13" w:name="ksd189834dex991"/>
      <w:bookmarkEnd w:id="12"/>
      <w:bookmarkEnd w:id="1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SOLV Energy Announces Closing of Initial Public Offering and Full Exercise of Underwriters’ Option to Purchase Additional Shares </w:t>
      </w:r>
    </w:p>
    <w:p>
      <w:pPr>
        <w:pStyle w:val="TextBody"/>
        <w:bidi w:val="0"/>
        <w:spacing w:before="240" w:after="0"/>
        <w:jc w:val="left"/>
        <w:rPr>
          <w:rFonts w:ascii="Times New Roman" w:hAnsi="Times New Roman"/>
          <w:sz w:val="20"/>
        </w:rPr>
      </w:pPr>
      <w:r>
        <w:rPr>
          <w:rFonts w:ascii="Times New Roman" w:hAnsi="Times New Roman"/>
          <w:b/>
          <w:sz w:val="20"/>
        </w:rPr>
        <w:t xml:space="preserve">SAN DIEGO, California </w:t>
      </w:r>
      <w:r>
        <w:rPr>
          <w:rFonts w:ascii="Times New Roman" w:hAnsi="Times New Roman"/>
          <w:sz w:val="20"/>
        </w:rPr>
        <w:t xml:space="preserve">– February 12, 2026 – SOLV Energy, Inc. (“SOLV” or the “Company”) (Nasdaq: MWH), a leading provider of infrastructure services to the power industry, today announced the closing of its initial public offering of 23,575,000 shares of its Class A common stock, which includes the exercise in full by the underwriters of their option to purchase 3,075,000 additional shares, at the initial public offering price of $25.00 per share, less underwriting discounts and commissions. All of the shares were offered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shares began trading on the Nasdaq Global Select Market on February 11, 2026 under the ticker symbol “MWH.” </w:t>
      </w:r>
    </w:p>
    <w:p>
      <w:pPr>
        <w:pStyle w:val="TextBody"/>
        <w:bidi w:val="0"/>
        <w:spacing w:before="240" w:after="0"/>
        <w:jc w:val="left"/>
        <w:rPr>
          <w:rFonts w:ascii="Times New Roman" w:hAnsi="Times New Roman"/>
          <w:sz w:val="20"/>
        </w:rPr>
      </w:pPr>
      <w:r>
        <w:rPr>
          <w:rFonts w:ascii="Times New Roman" w:hAnsi="Times New Roman"/>
          <w:sz w:val="20"/>
        </w:rPr>
        <w:t xml:space="preserve">Jefferies and J.P. Morgan acted as joint lead book-running managers for the offering. KeyBanc Capital Markets, TD Cowen, UBS Investment Bank, Baird, Evercore ISI, Guggenheim Securities, Wolfe | Nomura Alliance, CIBC Capital Markets and Roth Capital Partners acted as bookrunners for the offering. Academy Securities acted as co-manager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these securities was made only by means of a prospectus. Copies of the final prospectus relating to the offering may be obtained for free by visiting EDGAR on the Securities and Exchange Commission’s (the “SEC”) website at </w:t>
      </w:r>
      <w:r>
        <w:rPr>
          <w:rFonts w:ascii="Times New Roman" w:hAnsi="Times New Roman"/>
          <w:sz w:val="20"/>
          <w:u w:val="single"/>
        </w:rPr>
        <w:t>www.sec.gov.</w:t>
      </w:r>
      <w:r>
        <w:rPr>
          <w:rFonts w:ascii="Times New Roman" w:hAnsi="Times New Roman"/>
          <w:sz w:val="20"/>
        </w:rPr>
        <w:t xml:space="preserve"> Alternatively, copies of the final prospectus may be obtained from: Jefferies LLC, Attention: Equity Syndicate Prospectus Department, 520 Madison Avenue, New York, New York 10022, or by telephone at +1 (877) 821-7388, or by email at </w:t>
      </w:r>
      <w:r>
        <w:rPr>
          <w:rFonts w:ascii="Times New Roman" w:hAnsi="Times New Roman"/>
          <w:sz w:val="20"/>
          <w:u w:val="single"/>
        </w:rPr>
        <w:t>prospectus_department@jefferies.com</w:t>
      </w:r>
      <w:r>
        <w:rPr>
          <w:rFonts w:ascii="Times New Roman" w:hAnsi="Times New Roman"/>
          <w:sz w:val="20"/>
        </w:rPr>
        <w:t xml:space="preserve">; or J.P. Morgan Securities LLC, c/o Broadridge Financial Solutions, 1155 Long Island Avenue, Edgewood, New York 11717 or by email at </w:t>
      </w:r>
      <w:r>
        <w:rPr>
          <w:rFonts w:ascii="Times New Roman" w:hAnsi="Times New Roman"/>
          <w:sz w:val="20"/>
          <w:u w:val="single"/>
        </w:rPr>
        <w:t>prospectus-eq_fi@jpmchase.com</w:t>
      </w:r>
      <w:r>
        <w:rPr>
          <w:rFonts w:ascii="Times New Roman" w:hAnsi="Times New Roman"/>
          <w:sz w:val="20"/>
        </w:rPr>
        <w:t xml:space="preserve"> and </w:t>
      </w:r>
      <w:r>
        <w:rPr>
          <w:rFonts w:ascii="Times New Roman" w:hAnsi="Times New Roman"/>
          <w:sz w:val="20"/>
          <w:u w:val="single"/>
        </w:rPr>
        <w:t>postsalemanualrequests@broadridge.com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registration statement on Form S-1 relating to these securities was declared effective by the SEC on January 30, 2026. 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SOLV </w:t>
      </w:r>
    </w:p>
    <w:p>
      <w:pPr>
        <w:pStyle w:val="TextBody"/>
        <w:bidi w:val="0"/>
        <w:spacing w:before="120" w:after="0"/>
        <w:jc w:val="left"/>
        <w:rPr>
          <w:rFonts w:ascii="Times New Roman" w:hAnsi="Times New Roman"/>
          <w:sz w:val="20"/>
        </w:rPr>
      </w:pPr>
      <w:r>
        <w:rPr>
          <w:rFonts w:ascii="Times New Roman" w:hAnsi="Times New Roman"/>
          <w:sz w:val="20"/>
        </w:rPr>
        <w:t xml:space="preserve">SOLV Energy is a leading provider of infrastructure services to the power industry, including engineering, procurement, construction, testing, commissioning, operations, maintenance and repowering. Since 2008, we have built more than 500 power plants, representing 20 GW of generating capacity. SOLV Energy also provides operations and maintenance (O&amp;M) services to 146 operating power plants, representing over 18 GW of generating capacity. In addition to EPC and O&amp;M for utility-scale power plants and related T&amp;D infrastructure, we offer large-scale repair, emergency response and repowering services and install end-to-end SCADA and network infrastructure solutions to maximize project performance and energy availability.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Forward-looking statements include all statements that are not historical facts and can be identified by terms such as “anticipate,” “believe,” “could,” “estimate,” “expect,” “intend,” “may,” “plan,” “potential,” “predict,” “project,” “seek,” “should,” “will,” “would” or similar expressions and the negatives of those terms.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These factors include but are not limited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those described under “Risk Factors” in SOLV’s registration statement on Form S-1, as amended, relating to the initial public offering. These factors should not be construed as exhaustive and should be read in conjunction with the other cautionary statements that are included in the registration statement. Except as required by law, SOLV assumes no obligation to update these forward-looking statements, or to update the reasons actual results could differ materially from those anticipated in these forward-looking statements,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Solebury Strategic Communications / Anthony Rozmus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InvestorRelations@solvenergy.com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Ashley McCarthy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media@solvenergy.com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65636/000119312526015169/d12408dex32.htm" TargetMode="External"/><Relationship Id="rId3" Type="http://schemas.openxmlformats.org/officeDocument/2006/relationships/hyperlink" Target="http://www.sec.gov/Archives/edgar/data/2065636/000119312526015169/d12408dex34.htm" TargetMode="External"/><Relationship Id="rId4" Type="http://schemas.openxmlformats.org/officeDocument/2006/relationships/hyperlink" Target="http://www.sec.gov/Archives/edgar/data/2065636/000119312526045032/d10103dex99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422</Pages>
  <Words>232460</Words>
  <Characters>1236703</Characters>
  <CharactersWithSpaces>1470524</CharactersWithSpaces>
  <Paragraphs>7021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