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8001d10ka.htm"/>
      <w:bookmarkStart w:id="1" w:name="ksd108001d10k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10-K/A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December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to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001-43117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33-4537250</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16680 West Bernardo Drive, San Diego, CA 92127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(858) 251-4888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b/>
              </w:rPr>
            </w:pPr>
            <w:r>
              <w:rPr>
                <w:b/>
              </w:rPr>
              <w:t>Class A common stock, par value of $0.0001 per share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The Nasdaq Stock Market LLC</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MWH</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12(g) of the Act: 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not required to file reports pursuant to Section 13 or Section 15(d) of the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12b-2 of the Act). Yes ☐ No ☒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was not a public company as of the last business day of its most recently completed second fiscal quarter and, therefore, cannot calculate the aggregate market value of its voting and non-voting common equity held by non-affiliates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the Registrant’s Class A Common Stock as of March 24, 2026: 115,348,571 shares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the Registrant’s Class B Common Stock as of March 24, 2026: 87,141,865 shares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SOLV Energy, Inc. (the “Company”) is filing this Amendment No. 1 on Form 10-K/A (“Amendment No. 1”) to its Annual Report on Form 10-K for the fiscal year ended December 31, 2025 filed with the Securities Exchange Commission (the “SEC”) on March 25, 2026 (the “Original Form 10-K”) solely for the purpose of filing a revised Consent of Independent Registered Public Accounting Firm on Exhibit 23.1 (the “E&amp;Y Consent”) to include the conformed signature from Ernst &amp; Young LLP, the Company’s independent registered public accounting firm, which due to an administrative error, was inadvertently omitted from the version of the E&amp;Y Consent attached to the Original Form 10-K filed with the SEC. The signed E&amp;Y Consent was delivered prior to the filing of the Original Form 10-K.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12b-15 under the Securities Exchange Act of 1934, as amended, this Amendment No. 1 also contains new certifications pursuant to Section 302 of the Sarbanes-Oxley Act of 2002, which are attached hereto. Because no financial statements have been included in this Amendment No. 1 and this Amendment No. 1 does not contain or amend any disclosure with respect to Items 307 and 308 of Regulation S-K, paragraphs 3, 4, and 5 of the certifications have been omitted.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noted herein, this Amendment No. 1 does not modify, amend, or update in any way the financial position, results of operations, cash flows, or other disclosure in, or exhibits to, the Original Form 10-K, nor does it reflect events occurring after the filing of the Original Form 10-K. Accordingly, this Amendment No. 1 should be read in conjunction with the Original Form 10-K and with the filings with the SEC subsequent to the Original Form 10-K.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IV </w:t>
      </w:r>
    </w:p>
    <w:p>
      <w:pPr>
        <w:pStyle w:val="TextBody"/>
        <w:bidi w:val="0"/>
        <w:spacing w:before="240" w:after="0"/>
        <w:jc w:val="left"/>
        <w:rPr>
          <w:rFonts w:ascii="Times New Roman" w:hAnsi="Times New Roman"/>
          <w:b/>
          <w:sz w:val="20"/>
        </w:rPr>
      </w:pPr>
      <w:r>
        <w:rPr>
          <w:rFonts w:ascii="Times New Roman" w:hAnsi="Times New Roman"/>
          <w:b/>
          <w:sz w:val="20"/>
        </w:rPr>
        <w:t xml:space="preserve">ITEM 15. EXHIBITS, FINANCIAL STATEMENT SCHEDULES. </w:t>
      </w:r>
    </w:p>
    <w:p>
      <w:pPr>
        <w:pStyle w:val="TextBody"/>
        <w:bidi w:val="0"/>
        <w:spacing w:before="120" w:after="0"/>
        <w:jc w:val="left"/>
        <w:rPr>
          <w:rFonts w:ascii="Times New Roman" w:hAnsi="Times New Roman"/>
          <w:b/>
          <w:sz w:val="20"/>
        </w:rPr>
      </w:pPr>
      <w:r>
        <w:rPr>
          <w:rFonts w:ascii="Times New Roman" w:hAnsi="Times New Roman"/>
          <w:b/>
          <w:sz w:val="20"/>
        </w:rPr>
        <w:t xml:space="preserve">A.3.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list of all exhibits filed as part of this amended Amendment No.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3"/>
        <w:gridCol w:w="505"/>
        <w:gridCol w:w="8807"/>
      </w:tblGrid>
      <w:tr>
        <w:trPr/>
        <w:tc>
          <w:tcPr>
            <w:tcW w:w="893"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8807" w:type="dxa"/>
            <w:tcBorders/>
            <w:vAlign w:val="center"/>
          </w:tcPr>
          <w:p>
            <w:pPr>
              <w:pStyle w:val="TableContents"/>
              <w:bidi w:val="0"/>
              <w:spacing w:before="0" w:after="283"/>
              <w:jc w:val="left"/>
              <w:rPr>
                <w:sz w:val="4"/>
                <w:szCs w:val="4"/>
              </w:rPr>
            </w:pPr>
            <w:r>
              <w:rPr>
                <w:sz w:val="4"/>
                <w:szCs w:val="4"/>
              </w:rPr>
            </w:r>
          </w:p>
        </w:tc>
      </w:tr>
      <w:tr>
        <w:trPr/>
        <w:tc>
          <w:tcPr>
            <w:tcW w:w="893" w:type="dxa"/>
            <w:tcBorders/>
            <w:vAlign w:val="bottom"/>
          </w:tcPr>
          <w:p>
            <w:pPr>
              <w:pStyle w:val="TableContents"/>
              <w:bidi w:val="0"/>
              <w:spacing w:before="0" w:after="283"/>
              <w:jc w:val="center"/>
              <w:rPr>
                <w:b/>
              </w:rPr>
            </w:pPr>
            <w:r>
              <w:rPr>
                <w:b/>
              </w:rPr>
              <w:t>Exhibit</w:t>
              <w:br/>
              <w:t>Number</w:t>
            </w:r>
          </w:p>
        </w:tc>
        <w:tc>
          <w:tcPr>
            <w:tcW w:w="505" w:type="dxa"/>
            <w:tcBorders/>
            <w:vAlign w:val="bottom"/>
          </w:tcPr>
          <w:p>
            <w:pPr>
              <w:pStyle w:val="TableContents"/>
              <w:bidi w:val="0"/>
              <w:spacing w:before="0" w:after="283"/>
              <w:jc w:val="left"/>
              <w:rPr/>
            </w:pPr>
            <w:r>
              <w:rPr/>
              <w:t>  </w:t>
            </w:r>
          </w:p>
        </w:tc>
        <w:tc>
          <w:tcPr>
            <w:tcW w:w="8807" w:type="dxa"/>
            <w:tcBorders/>
            <w:vAlign w:val="bottom"/>
          </w:tcPr>
          <w:p>
            <w:pPr>
              <w:pStyle w:val="TableContents"/>
              <w:bidi w:val="0"/>
              <w:spacing w:before="0" w:after="283"/>
              <w:jc w:val="left"/>
              <w:rPr>
                <w:b/>
              </w:rPr>
            </w:pPr>
            <w:r>
              <w:rPr>
                <w:b/>
              </w:rPr>
              <w:t>Description</w:t>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23.1</w:t>
            </w:r>
          </w:p>
        </w:tc>
        <w:tc>
          <w:tcPr>
            <w:tcW w:w="505" w:type="dxa"/>
            <w:tcBorders/>
            <w:vAlign w:val="bottom"/>
          </w:tcPr>
          <w:p>
            <w:pPr>
              <w:pStyle w:val="TableContents"/>
              <w:bidi w:val="0"/>
              <w:spacing w:before="0" w:after="283"/>
              <w:jc w:val="left"/>
              <w:rPr/>
            </w:pPr>
            <w:r>
              <w:rPr/>
              <w:t>  </w:t>
            </w:r>
          </w:p>
        </w:tc>
        <w:tc>
          <w:tcPr>
            <w:tcW w:w="8807" w:type="dxa"/>
            <w:tcBorders/>
          </w:tcPr>
          <w:p>
            <w:pPr>
              <w:pStyle w:val="TableContents"/>
              <w:bidi w:val="0"/>
              <w:spacing w:before="0" w:after="283"/>
              <w:jc w:val="left"/>
              <w:rPr/>
            </w:pPr>
            <w:hyperlink w:anchor="d108001dex231.htm">
              <w:r>
                <w:rPr>
                  <w:rStyle w:val="InternetLink"/>
                </w:rPr>
                <w:t xml:space="preserve">Consent of Independent Registered Public Accounting Firm.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31.1</w:t>
            </w:r>
          </w:p>
        </w:tc>
        <w:tc>
          <w:tcPr>
            <w:tcW w:w="505" w:type="dxa"/>
            <w:tcBorders/>
            <w:vAlign w:val="bottom"/>
          </w:tcPr>
          <w:p>
            <w:pPr>
              <w:pStyle w:val="TableContents"/>
              <w:bidi w:val="0"/>
              <w:spacing w:before="0" w:after="283"/>
              <w:jc w:val="left"/>
              <w:rPr/>
            </w:pPr>
            <w:r>
              <w:rPr/>
              <w:t>  </w:t>
            </w:r>
          </w:p>
        </w:tc>
        <w:tc>
          <w:tcPr>
            <w:tcW w:w="8807" w:type="dxa"/>
            <w:tcBorders/>
          </w:tcPr>
          <w:p>
            <w:pPr>
              <w:pStyle w:val="TableContents"/>
              <w:bidi w:val="0"/>
              <w:spacing w:before="0" w:after="283"/>
              <w:jc w:val="left"/>
              <w:rPr/>
            </w:pPr>
            <w:hyperlink w:anchor="d108001dex311.htm">
              <w:r>
                <w:rPr>
                  <w:rStyle w:val="InternetLink"/>
                </w:rPr>
                <w:t xml:space="preserve">Certification of Chief Executive Officer pursuant to Section 302 of the Sarbanes-Oxley Act of 2002.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31.2</w:t>
            </w:r>
          </w:p>
        </w:tc>
        <w:tc>
          <w:tcPr>
            <w:tcW w:w="505" w:type="dxa"/>
            <w:tcBorders/>
            <w:vAlign w:val="bottom"/>
          </w:tcPr>
          <w:p>
            <w:pPr>
              <w:pStyle w:val="TableContents"/>
              <w:bidi w:val="0"/>
              <w:spacing w:before="0" w:after="283"/>
              <w:jc w:val="left"/>
              <w:rPr/>
            </w:pPr>
            <w:r>
              <w:rPr/>
              <w:t>  </w:t>
            </w:r>
          </w:p>
        </w:tc>
        <w:tc>
          <w:tcPr>
            <w:tcW w:w="8807" w:type="dxa"/>
            <w:tcBorders/>
          </w:tcPr>
          <w:p>
            <w:pPr>
              <w:pStyle w:val="TableContents"/>
              <w:bidi w:val="0"/>
              <w:spacing w:before="0" w:after="283"/>
              <w:jc w:val="left"/>
              <w:rPr/>
            </w:pPr>
            <w:hyperlink w:anchor="d108001dex312.htm">
              <w:r>
                <w:rPr>
                  <w:rStyle w:val="InternetLink"/>
                </w:rPr>
                <w:t xml:space="preserve">Certification of Chief Financial Officer pursuant to Section 302 of the Sarbanes-Oxley Act of 2002.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8"/>
        <w:gridCol w:w="101"/>
        <w:gridCol w:w="305"/>
        <w:gridCol w:w="101"/>
        <w:gridCol w:w="4595"/>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94" w:type="dxa"/>
            <w:tcBorders/>
            <w:vAlign w:val="bottom"/>
          </w:tcPr>
          <w:p>
            <w:pPr>
              <w:pStyle w:val="TableContents"/>
              <w:bidi w:val="0"/>
              <w:spacing w:before="0" w:after="283"/>
              <w:jc w:val="left"/>
              <w:rPr/>
            </w:pPr>
            <w:r>
              <w:rPr/>
              <w:t>Date: March 25, 2026</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vAlign w:val="bottom"/>
          </w:tcPr>
          <w:p>
            <w:pPr>
              <w:pStyle w:val="TableContents"/>
              <w:bidi w:val="0"/>
              <w:spacing w:before="0" w:after="283"/>
              <w:jc w:val="left"/>
              <w:rPr>
                <w:b/>
              </w:rPr>
            </w:pPr>
            <w:r>
              <w:rPr>
                <w:b/>
              </w:rPr>
              <w:t>SOLV Energy, Inc.</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6" w:type="dxa"/>
            <w:gridSpan w:val="2"/>
            <w:tcBorders/>
            <w:vAlign w:val="center"/>
          </w:tcPr>
          <w:p>
            <w:pPr>
              <w:pStyle w:val="TableContents"/>
              <w:bidi w:val="0"/>
              <w:spacing w:before="0" w:after="283"/>
              <w:jc w:val="left"/>
              <w:rPr>
                <w:sz w:val="4"/>
                <w:szCs w:val="4"/>
              </w:rPr>
            </w:pPr>
            <w:r>
              <w:rPr>
                <w:sz w:val="4"/>
                <w:szCs w:val="4"/>
              </w:rPr>
            </w:r>
          </w:p>
        </w:tc>
      </w:tr>
      <w:tr>
        <w:trPr/>
        <w:tc>
          <w:tcPr>
            <w:tcW w:w="459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5" w:type="dxa"/>
            <w:tcBorders>
              <w:bottom w:val="single" w:sz="2" w:space="0" w:color="000000"/>
            </w:tcBorders>
            <w:tcMar>
              <w:bottom w:w="28" w:type="dxa"/>
            </w:tcMar>
            <w:vAlign w:val="bottom"/>
          </w:tcPr>
          <w:p>
            <w:pPr>
              <w:pStyle w:val="TableContents"/>
              <w:bidi w:val="0"/>
              <w:spacing w:before="0" w:after="283"/>
              <w:jc w:val="left"/>
              <w:rPr/>
            </w:pPr>
            <w:r>
              <w:rPr/>
              <w:t>/s/ Chad Plotkin</w:t>
            </w:r>
          </w:p>
        </w:tc>
      </w:tr>
      <w:tr>
        <w:trPr/>
        <w:tc>
          <w:tcPr>
            <w:tcW w:w="459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vAlign w:val="bottom"/>
          </w:tcPr>
          <w:p>
            <w:pPr>
              <w:pStyle w:val="TableContents"/>
              <w:bidi w:val="0"/>
              <w:spacing w:before="0" w:after="283"/>
              <w:jc w:val="left"/>
              <w:rPr/>
            </w:pPr>
            <w:r>
              <w:rPr/>
              <w:t>Name: Chad Plotkin</w:t>
            </w:r>
          </w:p>
        </w:tc>
      </w:tr>
      <w:tr>
        <w:trPr/>
        <w:tc>
          <w:tcPr>
            <w:tcW w:w="459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vAlign w:val="bottom"/>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2" w:name="d108001dex231.htm"/>
      <w:bookmarkStart w:id="3" w:name="ksd108001dex231"/>
      <w:bookmarkEnd w:id="2"/>
      <w:bookmarkEnd w:id="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No. 333-293360) pertaining to the 2026 Equity Incentive Plan of SOLV Energy, Inc of our reports dated March 25, 2026, with respect to the financial statement of SOLV Energy, Inc and the consolidated financial statements of SOLV Energy Holdings LLC included in this Annual Report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Tysons, Virginia </w:t>
      </w:r>
    </w:p>
    <w:p>
      <w:pPr>
        <w:pStyle w:val="TextBody"/>
        <w:bidi w:val="0"/>
        <w:spacing w:before="0" w:after="0"/>
        <w:jc w:val="left"/>
        <w:rPr>
          <w:rFonts w:ascii="Times New Roman" w:hAnsi="Times New Roman"/>
          <w:sz w:val="20"/>
        </w:rPr>
      </w:pPr>
      <w:r>
        <w:rPr>
          <w:rFonts w:ascii="Times New Roman" w:hAnsi="Times New Roman"/>
          <w:sz w:val="20"/>
        </w:rPr>
        <w:t xml:space="preserve">March 25, 2026 </w:t>
      </w:r>
    </w:p>
    <w:p>
      <w:pPr>
        <w:pStyle w:val="TextBody"/>
        <w:bidi w:val="0"/>
        <w:spacing w:before="0" w:after="0"/>
        <w:jc w:val="right"/>
        <w:rPr>
          <w:rFonts w:ascii="Times New Roman" w:hAnsi="Times New Roman"/>
          <w:b/>
          <w:sz w:val="20"/>
        </w:rPr>
      </w:pPr>
      <w:bookmarkStart w:id="4" w:name="d108001dex311.htm"/>
      <w:bookmarkStart w:id="5" w:name="ksd108001dex311"/>
      <w:bookmarkEnd w:id="4"/>
      <w:bookmarkEnd w:id="5"/>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RULES 13a-14(a) AND 15d-14(a) UNDER THE SECURITIES EXCHANGE ACT OF 1934, AS ADOPTED 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George Hershman,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Amendment No. 1 to the Annual Report on Form 10-K of SOLV Energy, Inc.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9"/>
        <w:gridCol w:w="104"/>
        <w:gridCol w:w="404"/>
        <w:gridCol w:w="104"/>
        <w:gridCol w:w="320"/>
        <w:gridCol w:w="104"/>
        <w:gridCol w:w="4600"/>
      </w:tblGrid>
      <w:tr>
        <w:trPr/>
        <w:tc>
          <w:tcPr>
            <w:tcW w:w="45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600" w:type="dxa"/>
            <w:tcBorders/>
            <w:vAlign w:val="center"/>
          </w:tcPr>
          <w:p>
            <w:pPr>
              <w:pStyle w:val="TableContents"/>
              <w:bidi w:val="0"/>
              <w:spacing w:before="0" w:after="283"/>
              <w:jc w:val="left"/>
              <w:rPr>
                <w:sz w:val="4"/>
                <w:szCs w:val="4"/>
              </w:rPr>
            </w:pPr>
            <w:r>
              <w:rPr>
                <w:sz w:val="4"/>
                <w:szCs w:val="4"/>
              </w:rPr>
            </w:r>
          </w:p>
        </w:tc>
      </w:tr>
      <w:tr>
        <w:trPr/>
        <w:tc>
          <w:tcPr>
            <w:tcW w:w="4569" w:type="dxa"/>
            <w:tcBorders/>
            <w:vAlign w:val="bottom"/>
          </w:tcPr>
          <w:p>
            <w:pPr>
              <w:pStyle w:val="TableContents"/>
              <w:bidi w:val="0"/>
              <w:spacing w:before="0" w:after="283"/>
              <w:jc w:val="left"/>
              <w:rPr/>
            </w:pPr>
            <w:r>
              <w:rPr/>
              <w:t>Date: March 25, 2026</w:t>
            </w:r>
          </w:p>
        </w:tc>
        <w:tc>
          <w:tcPr>
            <w:tcW w:w="104"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4600" w:type="dxa"/>
            <w:tcBorders>
              <w:bottom w:val="single" w:sz="2" w:space="0" w:color="000000"/>
            </w:tcBorders>
            <w:tcMar>
              <w:bottom w:w="28" w:type="dxa"/>
            </w:tcMar>
            <w:vAlign w:val="bottom"/>
          </w:tcPr>
          <w:p>
            <w:pPr>
              <w:pStyle w:val="TableContents"/>
              <w:bidi w:val="0"/>
              <w:spacing w:before="0" w:after="283"/>
              <w:jc w:val="left"/>
              <w:rPr/>
            </w:pPr>
            <w:r>
              <w:rPr/>
              <w:t>/s/ George Hershman</w:t>
            </w:r>
          </w:p>
        </w:tc>
      </w:tr>
      <w:tr>
        <w:trPr/>
        <w:tc>
          <w:tcPr>
            <w:tcW w:w="4569"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024" w:type="dxa"/>
            <w:gridSpan w:val="3"/>
            <w:tcBorders/>
            <w:vAlign w:val="bottom"/>
          </w:tcPr>
          <w:p>
            <w:pPr>
              <w:pStyle w:val="TableContents"/>
              <w:bidi w:val="0"/>
              <w:spacing w:before="0" w:after="283"/>
              <w:jc w:val="left"/>
              <w:rPr/>
            </w:pPr>
            <w:r>
              <w:rPr/>
              <w:t>Name: George Hershman</w:t>
            </w:r>
          </w:p>
        </w:tc>
      </w:tr>
      <w:tr>
        <w:trPr/>
        <w:tc>
          <w:tcPr>
            <w:tcW w:w="4569"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024" w:type="dxa"/>
            <w:gridSpan w:val="3"/>
            <w:tcBorders/>
            <w:vAlign w:val="bottom"/>
          </w:tcPr>
          <w:p>
            <w:pPr>
              <w:pStyle w:val="TableContents"/>
              <w:bidi w:val="0"/>
              <w:spacing w:before="0" w:after="283"/>
              <w:jc w:val="left"/>
              <w:rPr/>
            </w:pPr>
            <w:r>
              <w:rPr/>
              <w:t>Title: Chief Executive Officer and Director (Principal Executive Officer)</w:t>
            </w:r>
          </w:p>
        </w:tc>
      </w:tr>
    </w:tbl>
    <w:p>
      <w:pPr>
        <w:pStyle w:val="TextBody"/>
        <w:bidi w:val="0"/>
        <w:spacing w:before="0" w:after="0"/>
        <w:jc w:val="right"/>
        <w:rPr>
          <w:rFonts w:ascii="Times New Roman" w:hAnsi="Times New Roman"/>
          <w:b/>
          <w:sz w:val="20"/>
        </w:rPr>
      </w:pPr>
      <w:bookmarkStart w:id="6" w:name="d108001dex312.htm"/>
      <w:bookmarkStart w:id="7" w:name="ksd108001dex312"/>
      <w:bookmarkEnd w:id="6"/>
      <w:bookmarkEnd w:id="7"/>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RULES 13a-14(a) AND 15d-14(a) UNDER THE SECURITIES EXCHANGE ACT OF 1934, AS ADOPTED 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Chad Plotkin,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Amendment No. 1 to the Annual Report on Form 10-K of SOLV Energy, Inc.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8"/>
        <w:gridCol w:w="101"/>
        <w:gridCol w:w="305"/>
        <w:gridCol w:w="101"/>
        <w:gridCol w:w="4595"/>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94" w:type="dxa"/>
            <w:tcBorders/>
            <w:vAlign w:val="bottom"/>
          </w:tcPr>
          <w:p>
            <w:pPr>
              <w:pStyle w:val="TableContents"/>
              <w:bidi w:val="0"/>
              <w:spacing w:before="0" w:after="283"/>
              <w:jc w:val="left"/>
              <w:rPr/>
            </w:pPr>
            <w:r>
              <w:rPr/>
              <w:t>Date: March 25, 2026</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5" w:type="dxa"/>
            <w:tcBorders>
              <w:bottom w:val="single" w:sz="2" w:space="0" w:color="000000"/>
            </w:tcBorders>
            <w:tcMar>
              <w:bottom w:w="28" w:type="dxa"/>
            </w:tcMar>
            <w:vAlign w:val="bottom"/>
          </w:tcPr>
          <w:p>
            <w:pPr>
              <w:pStyle w:val="TableContents"/>
              <w:bidi w:val="0"/>
              <w:spacing w:before="0" w:after="283"/>
              <w:jc w:val="left"/>
              <w:rPr/>
            </w:pPr>
            <w:r>
              <w:rPr/>
              <w:t>/s/ Chad Plotkin</w:t>
            </w:r>
          </w:p>
        </w:tc>
      </w:tr>
      <w:tr>
        <w:trPr/>
        <w:tc>
          <w:tcPr>
            <w:tcW w:w="459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vAlign w:val="bottom"/>
          </w:tcPr>
          <w:p>
            <w:pPr>
              <w:pStyle w:val="TableContents"/>
              <w:bidi w:val="0"/>
              <w:spacing w:before="0" w:after="283"/>
              <w:jc w:val="left"/>
              <w:rPr/>
            </w:pPr>
            <w:r>
              <w:rPr/>
              <w:t>Name: Chad Plotkin</w:t>
            </w:r>
          </w:p>
        </w:tc>
      </w:tr>
      <w:tr>
        <w:trPr/>
        <w:tc>
          <w:tcPr>
            <w:tcW w:w="459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vAlign w:val="bottom"/>
          </w:tcPr>
          <w:p>
            <w:pPr>
              <w:pStyle w:val="TableContents"/>
              <w:bidi w:val="0"/>
              <w:spacing w:before="0" w:after="283"/>
              <w:jc w:val="left"/>
              <w:rPr/>
            </w:pPr>
            <w:r>
              <w:rPr/>
              <w:t>Title: Chief Financial Officer (Principal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1431</Words>
  <Characters>7357</Characters>
  <CharactersWithSpaces>8833</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EX-31.2</dc:title>
</cp:coreProperties>
</file>