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SOLV Energy,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001-43117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33-4537250</w:t>
      </w:r>
    </w:p>
    <w:p>
      <w:pPr>
        <w:spacing w:after="0" w:line="24" w:lineRule="exact"/>
        <w:rPr>
          <w:sz w:val="24"/>
          <w:szCs w:val="24"/>
          <w:color w:val="auto"/>
        </w:rPr>
      </w:pPr>
    </w:p>
    <w:p>
      <w:pPr>
        <w:sectPr>
          <w:pgSz w:w="11900" w:h="16838" w:orient="portrait"/>
          <w:cols w:equalWidth="0" w:num="3">
            <w:col w:w="4524" w:space="720"/>
            <w:col w:w="286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16680 West Bernardo Drive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Diego, CA 92127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(858) 251-4888</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MWH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March 19, 2026, SOLV Energy, Inc. issued a press release announcing its financial results for the quarter and full year ended December 31, 2025. A copy of the press release is furnished as Exhibit 99.1 to this Current Report on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(the “Exchange Act”), or otherwise subject to the liability of that section, and shall not be deemed incorporated by reference in any registration statement or other document filed under the Securities Act of 1933, as amended, or the Exchange Act,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dated March 19, 2026, issued by SOLV Energy, Inc.</w:t>
            </w:r>
          </w:p>
        </w:tc>
      </w:tr>
    </w:tbl>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SOLV ENERGY, INC.</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Forman</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Adam Forman</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SOLV Energy Reports Fourth Quarter and Full Year 2025 Results</w:t>
      </w:r>
    </w:p>
    <w:p>
      <w:pPr>
        <w:spacing w:after="0" w:line="225" w:lineRule="exact"/>
        <w:rPr>
          <w:sz w:val="20"/>
          <w:szCs w:val="20"/>
          <w:color w:val="auto"/>
        </w:rPr>
      </w:pPr>
    </w:p>
    <w:p>
      <w:pPr>
        <w:ind w:left="4" w:right="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SAN DIEGO, California – March 19, 2026 – </w:t>
      </w:r>
      <w:r>
        <w:rPr>
          <w:rFonts w:ascii="Times New Roman" w:cs="Times New Roman" w:eastAsia="Times New Roman" w:hAnsi="Times New Roman"/>
          <w:sz w:val="17"/>
          <w:szCs w:val="17"/>
          <w:color w:val="auto"/>
        </w:rPr>
        <w:t>(GLOBE NEWSWIRE)—SOLV Energy, Inc. (“SOLV” or the “Company”) (Nasdaq: MWH), a leading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provider of infrastructure services to the power industry, today announced financial results for the fourth quarter and full year ended December 31, 2025.</w:t>
      </w: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millions except percentages)</w:t>
            </w:r>
          </w:p>
        </w:tc>
        <w:tc>
          <w:tcPr>
            <w:tcW w:w="19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48"/>
        </w:trPr>
        <w:tc>
          <w:tcPr>
            <w:tcW w:w="6380" w:type="dxa"/>
            <w:vAlign w:val="bottom"/>
            <w:vMerge w:val="continue"/>
          </w:tcPr>
          <w:p>
            <w:pPr>
              <w:spacing w:after="0"/>
              <w:rPr>
                <w:sz w:val="12"/>
                <w:szCs w:val="12"/>
                <w:color w:val="auto"/>
              </w:rPr>
            </w:pPr>
          </w:p>
        </w:tc>
        <w:tc>
          <w:tcPr>
            <w:tcW w:w="1960" w:type="dxa"/>
            <w:vAlign w:val="bottom"/>
            <w:gridSpan w:val="4"/>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80" w:type="dxa"/>
            <w:vAlign w:val="bottom"/>
            <w:gridSpan w:val="4"/>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144</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82</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464</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18.5%</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Income</w:t>
            </w:r>
            <w:r>
              <w:rPr>
                <w:rFonts w:ascii="Times New Roman" w:cs="Times New Roman" w:eastAsia="Times New Roman" w:hAnsi="Times New Roman"/>
                <w:sz w:val="25"/>
                <w:szCs w:val="25"/>
                <w:color w:val="auto"/>
                <w:vertAlign w:val="superscript"/>
              </w:rPr>
              <w:t>1</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Controlling Interest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and Recent Business Highlights</w:t>
      </w:r>
    </w:p>
    <w:p>
      <w:pPr>
        <w:spacing w:after="0" w:line="135" w:lineRule="exact"/>
        <w:rPr>
          <w:sz w:val="20"/>
          <w:szCs w:val="20"/>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$552.5 million in net proceeds from initial public offering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outstanding term loan and upsized revolver to $200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Year-end 2025 backlog of $8 billion, an 87% increase over year-end 2024</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20 GW now under contract for O&amp;M services</w:t>
      </w:r>
    </w:p>
    <w:p>
      <w:pPr>
        <w:spacing w:after="0" w:line="225"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“We closed 2025 with record financial performance that reflects the strength of our value proposition and the sustained demand for infrastructure services. Our track record combined with the successful completion of our IPO last month has created a strong foundation for our business. The positive reception from the investment community underscores the confidence our customers, employees, and shareholders have in our mission and long-term vision,” said George Hershman, Chief Executive Officer of SOLV Energy.</w:t>
      </w:r>
    </w:p>
    <w:p>
      <w:pPr>
        <w:spacing w:after="0" w:line="180"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“As we look ahead, we expect that 2026 will be a foundational year of disciplined, scalable growth. We remain focused on executing our strategy and deepening relationships with both new and existing customers. Today, we are introducing our 2026 financial guidance, which reflects our conviction in the significant opportunities ahead and our focus on delivering durable, profitable growth. We are energized by the road in front of us and remain dedicated to creating long-term value for all stakeholders,” Hershman concluded.</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the Company is initiating full year 2026 financial guidance for the year ending December 31, 2026, with expected ranges of:</w:t>
      </w:r>
    </w:p>
    <w:p>
      <w:pPr>
        <w:spacing w:after="0" w:line="127"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of $3.720 billion to $3.820 billion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of $580 million to $620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of 15.6% to 16.2%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$400 million to $420 million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will present results during a conference call today March 19, 2026 at 8:30 a.m. Eastern time.</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 live webcast of the conference call, including presentation materials, can be accessed through the Company’s website at https://investors.solvenergy.com and clicking on “News &amp; Events” under the Investor Relations section. The webcast will be archived on the site for those unable to listen in real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SOLV</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SOLV Energy (Nasdaq: MWH) is a leading provider of infrastructure services to the power industry, including engineering, procurement, construction, testing, commissioning, operations, maintenance and repowering. Since 2008, we have built more than 500 power plants, representing 21 GW of generating capacity. SOLV Energy also provides operations and maintenance (O&amp;M) services to 150 power plants, representing over 20 GW of generating capacity. In addition to EPC and O&amp;M for utility-scale power plants and related T&amp;D infrastructure, we offer large-scale repair, emergency response and repowering services and install end-to-end SCADA and network infrastructure solutions to maximize project performance and energy availability.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66"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press release in the context of the risks and uncertainties disclosed herein, in our Annual Report on Form 10-K, including “Risk Factors” and “Management’s Discussion and Analysis of Financial Condition and Results of Operations,” and our other filings with the SEC, accessible on the SEC’s website at www.sec.gov and the Investors Relations section of the Company’s website at https://investors.solvenergy.com/financial-information/sec-filings. Important factors that could cause actual results to differ materially from those in the forward-looking statements include regional, national or global political, economic, business, competitive, market and regulatory conditions and the following: a wide range of factors, many that are beyond our control, can impact the timing, performance or profitability of our projects, any of which can result in additional costs to us, reductions or delays in revenues, the payment of liquidated damages by us or project termination; our results of operations, financial condition and other financial and operational disclosures are based upon estimates and assumptions that may differ from actual results or future outcomes; changes in estimates related to revenues and costs associated with our contracts with customers could result in a reduction or elimination of revenues, a reduction of profits or the recognition of losses; backlog may not be realized or may not result in profits and may not accurately represent future revenue; the imposition of additional duties and tariffs and other trade barriers and retaliatory countermeasures implemented by the U.S. and other governments; our results of operations may vary significantly from quarter to quarter; the reduction, elimination or expiration of government incentives for, or regulations mandating the use of, renewable energy and battery storage specifically; limitations on the availability or an increase in the price of materials, equipment and subcontractors that we and our customers depend on to complete and maintain projects; our business is labor-intensive, and we may be unable to attract and retain qualified employees or we may incur significant costs in the event we are unable to efficiently manage our workforce or the cost of labor increases; the loss, or reduction in business from, certain significant customers; many of our contracts may be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canceled or suspended on short notice or may not be renewed upon completion or expiration, and we may be unsuccessful in replacing our contracts; we may fail to adequately recover on contract modifications against project owners for payment or performance; the nature of our business exposes us to potential liability for warranty, engineering and other related claims; during the ordinary course of our business, we are subject to lawsuits, claims and other legal proceedings, as well as bonding claims and related reimbursement requirements; we can incur liabilities or suffer negative financial or reputational impacts relating to health and safety matters; disruptions to our information technology systems or our failure to adequately protect critical data, sensitive information and technology systems; we have identified material weaknesses in our internal control over financial reporting and if our remediation of the material weaknesses is not effective, or if we otherwise fail to maintain effective internal control over financial reporting in the future, we may not be able to accurately or timely report our financial condition or results of operations; any deterioration in the quality or reputation of our brands, which can be exacerbated by the effect of social media or significant media coverage; the loss of, or our inability to attract or keep, key personnel could disrupt our business; our inability to successfully execute our acquisition strategy; we may be unable to compete for projects if we are not able to obtain surety bonds, letters of credit or bank guarantees; we are generally paid in arrears for our services and may enter into other arrangements with certain of our customers, which could subject us to potential credit or investment risk and the risk of client defaults; insurance and claims expenses, as well as the unavailability or cancellation of third-party insurance coverage; our business and results of operations are subject to physical risks including those associated with climate change; our business is subject to operational hazards, including, among others, damage from severe weather conditions and electrical hazards, that can result in significant liabilities, and we may not be insured against all potential liabilities; increasing scrutiny and changing expectations from various stakeholders with respect to corporate sustainability practices may impose additional costs on us or expose us to reputational or other risks; our unionized workforce and related obligations; our inability to maintain, protect or enforce our rights in intellectual property; we may be subject to intellectual property rights claims by third parties, which are extremely costly to defend, could require us to pay significant damages and could limit our ability to use certain technologies; we use artificial intelligence technologies in our business, and the deployment, use, and maintenance of these technologies involve significant technological and legal risks; negative macroeconomic conditions and industry-specific market conditions; projects in our industry can have long sales cycles requiring significant upfront investment of resources; our revenues and profitability can be negatively impacted if our customers encounter financial difficulties or file for bankruptcy or disputes arise with our customers; our business is highly competitive; technological advancements in other forms of power generation could negatively affect our business; regulatory requirements applicable to our industry and changes in current and potential legislative and regulatory initiatives may adversely affect demand for our services; the</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unavailability, reduction or elimination of government and economic incentives; we are subject to complex federal, state and other environmental, health and safety laws and regulations that could adversely affect the cost, manner or feasibility of conducting our operations or expose us to significant liabilities; we are subject to various specific regulatory regimes and requirements that could result in significant compliance costs and liabilities; any actual or perceived failure to comply with new or existing laws, regulations or other requirements relating to the privacy, security and processing of personal information; changes in tax laws or our tax estimates or positions; failure to comply with anti-corruption, anti-bribery and/or international trade laws; violations of export control and/or economic sanctions laws and regulations to which we are subject and changes to U.S. foreign trade policy; immigration laws, including our inability to verify employment eligibility; our variable rate indebtedness subjects us to interest rate risk, which could cause our debt service obligations to increase significantly; our failure to comply with the covenants contained in the credit agreement could result in an event of default that could cause repayment of our debt to be accelerated; we may incur substantial additional indebtedness in the future and may not be able to generate sufficient cash to service such indebtedness, and may be forced to take other actions to satisfy our obligations under such indebtedness, which may not be successful; and and the expenses that are required in order to operate as a public company could be material. For additional discussion of factors that could impact our operational and financial results, please refer to our filings with the SEC, accessible on the SEC’s website at www.sec.gov and the Investors Relations section of the Company’s website at https://investors.solvenergy.com/financial-information/sec-filings. The Company assumes no responsibility to update forward-looking statements made herein or otherwise.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Information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Included in this press release are certain financial measures, including EBITDA and Adjusted EBITDA, that are not required by or prepared in accordance with U.S. generally accepted accounting principles (“GAAP”), and are designed to supplement, and not substitute, the Company’s financial information presented in accordance with GAAP.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carrying levels of interest expense), asset base (such as depreciation and amortization) and items outside the control of our management team (such as income taxes). The non-GAAP measures as defined by the Company may not be comparable to similar non-GAAP measures presented by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companies. The presentation of such measures, which may include adjustments to exclude unusual or non-recurring items, should not be construed as an inference that the Company’s future results, cash flows or leverage will be unaffected by other unusual or nonrecurring items. Please see the financial tables included with this press release for reconciliations thereof to the most directly comparable GAAP measures.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does not reconcile its forward-looking non-GAAP financial measures to the corresponding GAAP measures, due to variability and difficulty in making accurate forecasts and projections and/or certain information not being ascertainable or accessible; and because not all of the information, such as provisions for income taxes necessary for a quantitative reconciliation of these forward-looking non-GAAP financial measures to the most directly comparable GAAP financial measure, is available to the Company without unreasonable efforts. For the same reasons, the Company is unable to address the probable significance of the unavailable information. The Company provides non-GAAP financial measures that it believes will be achieved, however it cannot predict all of the components of the adjusted calculations and the GAAP measures may be materially different than the non-GAAP measures.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Solebury Strategic Communications / Anthony Rozmus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InvestorRelations@solvenergy.com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McCarthy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media@solvenergy.com</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(Financial Tables to Follow)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793,630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440,949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2,490,496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1,847,803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649,758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359,449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2,026,263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1,588,639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143,872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464,233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259,164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40,355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127,885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66,347</w:t>
            </w: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24,776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64,932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52,730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55,394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4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controlling interests</w:t>
            </w:r>
          </w:p>
        </w:tc>
        <w:tc>
          <w:tcPr>
            <w:tcW w:w="2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20" w:type="dxa"/>
            <w:vAlign w:val="bottom"/>
            <w:vMerge w:val="restart"/>
          </w:tcPr>
          <w:p>
            <w:pPr>
              <w:jc w:val="right"/>
              <w:ind w:right="16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394,876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207,987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269,044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277,962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156,744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project development costs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25,204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26,953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899,285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588,306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67,635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410,006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362,390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398,578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1,816,272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1,478,031</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MEMBER’S EQUITY</w:t>
            </w: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562,218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401,883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308,619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equipment financing</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892,839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663,427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Term debt, long term</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391,988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362,832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 long-term</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15,777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28,014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14,534</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1,361,047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1,084,584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See Note 13</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(247,322)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638,259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member’s equity</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393,447</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4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1,816,272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1,478,031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60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40" w:type="dxa"/>
            <w:vAlign w:val="bottom"/>
          </w:tcPr>
          <w:p>
            <w:pPr>
              <w:spacing w:after="0"/>
              <w:rPr>
                <w:sz w:val="15"/>
                <w:szCs w:val="15"/>
                <w:color w:val="auto"/>
              </w:rPr>
            </w:pPr>
          </w:p>
        </w:tc>
        <w:tc>
          <w:tcPr>
            <w:tcW w:w="18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140" w:type="dxa"/>
            <w:vAlign w:val="bottom"/>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96"/>
        </w:trPr>
        <w:tc>
          <w:tcPr>
            <w:tcW w:w="9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$ 149,703</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9,924</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85,543</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84,836</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4,329</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(2,635)</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27,326</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8,607</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investment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3,061</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 off of project development costs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7,180</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21,469</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(49,970)</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(100,437)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133,127</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(32,801)</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(2,526)</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109,250</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(96,457)</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66,896</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liabilities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(4,313)</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9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117,613</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(21,411)</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(8,569)</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(55,331)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from investment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unconsolidated entity</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(76,742)</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(8,269)</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32,500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(4,062)</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(18,622)</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97,250</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to line of credit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(97,250)</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financing fees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(8,781)</w:t>
            </w:r>
          </w:p>
        </w:tc>
      </w:tr>
      <w:tr>
        <w:trPr>
          <w:trHeight w:val="234"/>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finance leases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(4,299)</w:t>
            </w:r>
          </w:p>
        </w:tc>
      </w:tr>
      <w:tr>
        <w:trPr>
          <w:trHeight w:val="346"/>
        </w:trPr>
        <w:tc>
          <w:tcPr>
            <w:tcW w:w="914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on equipment financing</w:t>
            </w:r>
          </w:p>
        </w:tc>
        <w:tc>
          <w:tcPr>
            <w:tcW w:w="5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equipment financing</w:t>
            </w:r>
          </w:p>
        </w:tc>
        <w:tc>
          <w:tcPr>
            <w:tcW w:w="5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(6,201)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purchase price</w:t>
            </w:r>
          </w:p>
        </w:tc>
        <w:tc>
          <w:tcPr>
            <w:tcW w:w="49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(34,144)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offering costs</w:t>
            </w:r>
          </w:p>
        </w:tc>
        <w:tc>
          <w:tcPr>
            <w:tcW w:w="5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49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parent</w:t>
            </w:r>
          </w:p>
        </w:tc>
        <w:tc>
          <w:tcPr>
            <w:tcW w:w="5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(91,248)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(10,525)</w:t>
            </w:r>
          </w:p>
        </w:tc>
        <w:tc>
          <w:tcPr>
            <w:tcW w:w="0" w:type="dxa"/>
            <w:vAlign w:val="bottom"/>
          </w:tcPr>
          <w:p>
            <w:pPr>
              <w:spacing w:after="0"/>
              <w:rPr>
                <w:sz w:val="1"/>
                <w:szCs w:val="1"/>
                <w:color w:val="auto"/>
              </w:rPr>
            </w:pPr>
          </w:p>
        </w:tc>
      </w:tr>
      <w:tr>
        <w:trPr>
          <w:trHeight w:val="223"/>
        </w:trPr>
        <w:tc>
          <w:tcPr>
            <w:tcW w:w="4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9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(68,014)</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5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186,889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29,971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207,987</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178,016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394,876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207,987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960" w:type="dxa"/>
            <w:vAlign w:val="bottom"/>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Non-GAAP Financial Measures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 thousands)</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$149,183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9,922</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13,733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55,394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(2,645)</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22,163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85,543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84,836</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42,633</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146,149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2,722</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the disposal of assets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the extinguishment of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4,398</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the fair value of derivative</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the fair value of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98"/>
        </w:trPr>
        <w:tc>
          <w:tcPr>
            <w:tcW w:w="7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Non-recurring private equity management fees, transaction, integration and transition costs,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non-cash costs</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100,411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53,049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341,677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165,133</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2026-03-19T06:15:20Z</dcterms:created>
  <dcterms:modified xsi:type="dcterms:W3CDTF">2026-03-19T06:15:20Z</dcterms:modified>
</cp:coreProperties>
</file>