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2940d10q.htm"/>
        <w:bookmarkStart w:id="1" w:name="ksd152940d10q"/>
        <w:bookmarkEnd w:id="0"/>
        <w:bookmarkEnd w:id="1"/>
        <w:r>
          <w:rPr>
            <w:rStyle w:val="InternetLink"/>
            <w:b/>
            <w:sz w:val="20"/>
          </w:rPr>
          <w:t>Table of Contents</w:t>
        </w:r>
      </w:hyperlink>
    </w:p>
    <w:p>
      <w:pPr>
        <w:pStyle w:val="TextBody"/>
        <w:bidi w:val="0"/>
        <w:spacing w:lineRule="atLeast" w:line="142" w:before="0" w:after="40"/>
        <w:jc w:val="left"/>
        <w:rPr/>
      </w:pPr>
      <w:r>
        <w:rPr/>
        <w:t> </w:t>
      </w:r>
    </w:p>
    <w:p>
      <w:pPr>
        <w:pStyle w:val="TextBody"/>
        <w:bidi w:val="0"/>
        <w:spacing w:before="80" w:after="0"/>
        <w:ind w:left="0" w:right="0" w:hanging="0"/>
        <w:jc w:val="center"/>
        <w:rPr>
          <w:rFonts w:ascii="Times New Roman" w:hAnsi="Times New Roman"/>
          <w:b/>
          <w:spacing w:val="0"/>
          <w:sz w:val="36"/>
        </w:rPr>
      </w:pPr>
      <w:r>
        <w:rPr>
          <w:rFonts w:ascii="Times New Roman" w:hAnsi="Times New Roman"/>
          <w:b/>
          <w:spacing w:val="0"/>
          <w:sz w:val="36"/>
        </w:rPr>
        <w:t xml:space="preserve">UNITED STATES </w:t>
      </w:r>
    </w:p>
    <w:p>
      <w:pPr>
        <w:pStyle w:val="TextBody"/>
        <w:bidi w:val="0"/>
        <w:spacing w:before="0" w:after="0"/>
        <w:ind w:left="0" w:right="0" w:hanging="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bidi w:val="0"/>
        <w:spacing w:before="0" w:after="0"/>
        <w:ind w:left="0" w:right="0" w:hanging="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10-Q</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pacing w:val="0"/>
                <w:sz w:val="24"/>
              </w:rPr>
            </w:pPr>
            <w:r>
              <w:rPr>
                <w:rFonts w:ascii="Times New Roman" w:hAnsi="Times New Roman"/>
                <w:b/>
                <w:spacing w:val="0"/>
                <w:sz w:val="24"/>
              </w:rPr>
              <w:t xml:space="preserve">QUARTERLY REPORT PURSUANT TO SECTION 13 OR 15(d) OF THE SECURITIES EXCHANGE ACT OF 1934 </w:t>
            </w:r>
          </w:p>
        </w:tc>
      </w:tr>
    </w:tbl>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For the quarterly period ended June 30, 2026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OR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pacing w:val="0"/>
                <w:sz w:val="24"/>
              </w:rPr>
            </w:pPr>
            <w:r>
              <w:rPr>
                <w:rFonts w:ascii="Times New Roman" w:hAnsi="Times New Roman"/>
                <w:b/>
                <w:spacing w:val="0"/>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For the transition period from _______ to ______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001-43117</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pacing w:val="0"/>
          <w:sz w:val="48"/>
        </w:rPr>
      </w:pPr>
      <w:r>
        <w:rPr>
          <w:rFonts w:ascii="Times New Roman" w:hAnsi="Times New Roman"/>
          <w:b/>
          <w:spacing w:val="0"/>
          <w:sz w:val="48"/>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(Exact name of registrant as specified in its charter)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0" w:after="0"/>
        <w:jc w:val="left"/>
        <w:rPr>
          <w:spacing w:val="0"/>
        </w:rPr>
      </w:pPr>
      <w:r>
        <w:rPr>
          <w:spacing w:val="0"/>
        </w:rPr>
        <w:t> </w:t>
      </w:r>
    </w:p>
    <w:tbl>
      <w:tblPr>
        <w:tblW w:w="7115" w:type="dxa"/>
        <w:jc w:val="left"/>
        <w:tblInd w:w="0" w:type="dxa"/>
        <w:tblLayout w:type="fixed"/>
        <w:tblCellMar>
          <w:top w:w="0" w:type="dxa"/>
          <w:left w:w="0" w:type="dxa"/>
          <w:bottom w:w="0" w:type="dxa"/>
          <w:right w:w="0" w:type="dxa"/>
        </w:tblCellMar>
      </w:tblPr>
      <w:tblGrid>
        <w:gridCol w:w="4070"/>
        <w:gridCol w:w="60"/>
        <w:gridCol w:w="1115"/>
        <w:gridCol w:w="60"/>
        <w:gridCol w:w="380"/>
        <w:gridCol w:w="60"/>
        <w:gridCol w:w="137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33-4537250</w:t>
            </w:r>
          </w:p>
        </w:tc>
      </w:tr>
      <w:tr>
        <w:trPr/>
        <w:tc>
          <w:tcPr>
            <w:tcW w:w="4070"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(State or other jurisdiction of</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incorporation or organization)</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(I.R.S. Employer</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b/>
                <w:spacing w:val="0"/>
              </w:rPr>
            </w:pPr>
            <w:r>
              <w:rPr>
                <w:b/>
                <w:spacing w:val="0"/>
              </w:rPr>
              <w:t>16680 West Bernardo Drive</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center"/>
              <w:rPr>
                <w:b/>
                <w:spacing w:val="0"/>
              </w:rPr>
            </w:pPr>
            <w:r>
              <w:rPr>
                <w:b/>
                <w:spacing w:val="0"/>
              </w:rPr>
              <w:t>San Diego,</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center"/>
              <w:rPr>
                <w:b/>
                <w:spacing w:val="0"/>
              </w:rPr>
            </w:pPr>
            <w:r>
              <w:rPr>
                <w:b/>
                <w:spacing w:val="0"/>
              </w:rPr>
              <w:t>CA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92127</w:t>
            </w:r>
          </w:p>
        </w:tc>
      </w:tr>
      <w:tr>
        <w:trPr/>
        <w:tc>
          <w:tcPr>
            <w:tcW w:w="4070"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(858)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251-4888</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Registrant’s telephone number, including area code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Securities registered pursuant to Section 12(b) of the Act: </w:t>
      </w:r>
    </w:p>
    <w:p>
      <w:pPr>
        <w:pStyle w:val="TextBody"/>
        <w:bidi w:val="0"/>
        <w:spacing w:before="0" w:after="0"/>
        <w:jc w:val="left"/>
        <w:rPr>
          <w:spacing w:val="0"/>
        </w:rPr>
      </w:pPr>
      <w:r>
        <w:rPr>
          <w:spacing w:val="0"/>
        </w:rPr>
        <w:t> </w:t>
      </w:r>
    </w:p>
    <w:tbl>
      <w:tblPr>
        <w:tblW w:w="9555" w:type="dxa"/>
        <w:jc w:val="left"/>
        <w:tblInd w:w="0" w:type="dxa"/>
        <w:tblLayout w:type="fixed"/>
        <w:tblCellMar>
          <w:top w:w="0" w:type="dxa"/>
          <w:left w:w="0" w:type="dxa"/>
          <w:bottom w:w="0" w:type="dxa"/>
          <w:right w:w="0" w:type="dxa"/>
        </w:tblCellMar>
      </w:tblPr>
      <w:tblGrid>
        <w:gridCol w:w="5390"/>
        <w:gridCol w:w="60"/>
        <w:gridCol w:w="740"/>
        <w:gridCol w:w="60"/>
        <w:gridCol w:w="3305"/>
      </w:tblGrid>
      <w:tr>
        <w:trPr/>
        <w:tc>
          <w:tcPr>
            <w:tcW w:w="5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Title of each class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Trading</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Symbol(s)</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Name of each exchange</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on which registered</w:t>
            </w:r>
          </w:p>
        </w:tc>
      </w:tr>
      <w:tr>
        <w:trPr/>
        <w:tc>
          <w:tcPr>
            <w:tcW w:w="5390" w:type="dxa"/>
            <w:tcBorders/>
            <w:vAlign w:val="center"/>
          </w:tcPr>
          <w:p>
            <w:pPr>
              <w:pStyle w:val="TableContents"/>
              <w:bidi w:val="0"/>
              <w:spacing w:before="0" w:after="0"/>
              <w:jc w:val="center"/>
              <w:rPr>
                <w:b/>
                <w:spacing w:val="0"/>
              </w:rPr>
            </w:pPr>
            <w:r>
              <w:rPr>
                <w:b/>
                <w:spacing w:val="0"/>
              </w:rPr>
              <w:t>Class A 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MWH</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center"/>
              <w:rPr>
                <w:b/>
                <w:spacing w:val="0"/>
              </w:rPr>
            </w:pPr>
            <w:r>
              <w:rPr>
                <w:b/>
                <w:spacing w:val="0"/>
              </w:rPr>
              <w:t>The Nasdaq Stock Market LLC</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S-T</w:t>
      </w:r>
    </w:p>
    <w:p>
      <w:pPr>
        <w:pStyle w:val="TextBody"/>
        <w:bidi w:val="0"/>
        <w:spacing w:before="240" w:after="0"/>
        <w:jc w:val="left"/>
        <w:rPr>
          <w:rFonts w:ascii="Times New Roman" w:hAnsi="Times New Roman"/>
          <w:sz w:val="20"/>
        </w:rPr>
      </w:pPr>
      <w:r>
        <w:rPr>
          <w:rFonts w:ascii="Times New Roman" w:hAnsi="Times New Roman"/>
          <w:sz w:val="20"/>
        </w:rPr>
        <w:t xml:space="preserve">(§ 232.405 of this chapter)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z w:val="20"/>
        </w:rPr>
      </w:pPr>
      <w:r>
        <w:rPr>
          <w:rFonts w:ascii="Times New Roman" w:hAnsi="Times New Roman"/>
          <w:sz w:val="20"/>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jc w:val="left"/>
        <w:rPr>
          <w:spacing w:val="0"/>
        </w:rPr>
      </w:pPr>
      <w:r>
        <w:rPr>
          <w:spacing w:val="0"/>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Act). Yes ☐ No ☒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Number of shares of the Registrant’s Class A Common Stock as of August </w:t>
      </w:r>
    </w:p>
    <w:p>
      <w:pPr>
        <w:pStyle w:val="TextBody"/>
        <w:bidi w:val="0"/>
        <w:spacing w:before="240" w:after="0"/>
        <w:jc w:val="left"/>
        <w:rPr>
          <w:rFonts w:ascii="Times New Roman" w:hAnsi="Times New Roman"/>
          <w:spacing w:val="0"/>
          <w:sz w:val="20"/>
        </w:rPr>
      </w:pPr>
      <w:r>
        <w:rPr>
          <w:rFonts w:ascii="Times New Roman" w:hAnsi="Times New Roman"/>
          <w:spacing w:val="0"/>
          <w:sz w:val="20"/>
        </w:rPr>
        <w:t>14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2026: 123,745,401 shares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Number of shares of the Registrant’s Class B Common Stock as of August </w:t>
      </w:r>
    </w:p>
    <w:p>
      <w:pPr>
        <w:pStyle w:val="TextBody"/>
        <w:bidi w:val="0"/>
        <w:spacing w:before="240" w:after="0"/>
        <w:jc w:val="left"/>
        <w:rPr>
          <w:rFonts w:ascii="Times New Roman" w:hAnsi="Times New Roman"/>
          <w:spacing w:val="0"/>
          <w:sz w:val="20"/>
        </w:rPr>
      </w:pPr>
      <w:r>
        <w:rPr>
          <w:rFonts w:ascii="Times New Roman" w:hAnsi="Times New Roman"/>
          <w:spacing w:val="0"/>
          <w:sz w:val="20"/>
        </w:rPr>
        <w:t>14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2026: 78,641,321 shares </w:t>
      </w:r>
    </w:p>
    <w:p>
      <w:pPr>
        <w:pStyle w:val="TextBody"/>
        <w:bidi w:val="0"/>
        <w:spacing w:before="0" w:after="0"/>
        <w:jc w:val="left"/>
        <w:rPr>
          <w:spacing w:val="0"/>
        </w:rPr>
      </w:pPr>
      <w:r>
        <w:rPr>
          <w:spacing w:val="0"/>
        </w:rPr>
        <w:t> </w:t>
      </w:r>
    </w:p>
    <w:p>
      <w:pPr>
        <w:pStyle w:val="TextBody"/>
        <w:bidi w:val="0"/>
        <w:spacing w:lineRule="atLeast" w:line="142" w:before="0" w:after="0"/>
        <w:jc w:val="left"/>
        <w:rPr/>
      </w:pPr>
      <w:r>
        <w:rPr/>
        <w:t> </w:t>
      </w:r>
    </w:p>
    <w:p>
      <w:pPr>
        <w:pStyle w:val="TextBody"/>
        <w:bidi w:val="0"/>
        <w:spacing w:lineRule="atLeast" w:line="142" w:before="0" w:after="40"/>
        <w:jc w:val="left"/>
        <w:rPr/>
      </w:pPr>
      <w:r>
        <w:rPr/>
        <w:t> </w:t>
      </w:r>
    </w:p>
    <w:p>
      <w:pPr>
        <w:pStyle w:val="HorizontalLine"/>
        <w:pBdr>
          <w:bottom w:val="double" w:sz="2" w:space="0" w:color="808080"/>
        </w:pBdr>
        <w:bidi w:val="0"/>
        <w:spacing w:before="0" w:after="283"/>
        <w:jc w:val="left"/>
        <w:rPr/>
      </w:pPr>
      <w:r>
        <w:rPr/>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FORM 10-Q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1">
              <w:r>
                <w:rPr>
                  <w:rStyle w:val="InternetLink"/>
                  <w:rFonts w:ascii="Times New Roman" w:hAnsi="Times New Roman"/>
                  <w:sz w:val="20"/>
                </w:rPr>
                <w:t>Cautionary Note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2">
              <w:r>
                <w:rPr>
                  <w:rStyle w:val="InternetLink"/>
                  <w:rFonts w:ascii="Times New Roman" w:hAnsi="Times New Roman"/>
                  <w:sz w:val="20"/>
                </w:rPr>
                <w:t>Certain Definitions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3">
              <w:r>
                <w:rPr>
                  <w:rStyle w:val="InternetLink"/>
                  <w:rFonts w:ascii="Times New Roman" w:hAnsi="Times New Roman"/>
                  <w:sz w:val="20"/>
                </w:rPr>
                <w:t>Presentation of Financial Results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4">
              <w:r>
                <w:rPr>
                  <w:rStyle w:val="InternetLink"/>
                  <w:rFonts w:ascii="Times New Roman" w:hAnsi="Times New Roman"/>
                  <w:sz w:val="20"/>
                </w:rPr>
                <w:t>The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5">
              <w:r>
                <w:rPr>
                  <w:rStyle w:val="InternetLink"/>
                  <w:rFonts w:ascii="Times New Roman" w:hAnsi="Times New Roman"/>
                  <w:sz w:val="20"/>
                </w:rPr>
                <w:t>PART I. FINANCIAL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6">
              <w:r>
                <w:rPr>
                  <w:rStyle w:val="InternetLink"/>
                  <w:rFonts w:ascii="Times New Roman" w:hAnsi="Times New Roman"/>
                  <w:sz w:val="20"/>
                </w:rPr>
                <w:t>Item 1. Financial Statements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7">
              <w:r>
                <w:rPr>
                  <w:rStyle w:val="InternetLink"/>
                  <w:rFonts w:ascii="Times New Roman" w:hAnsi="Times New Roman"/>
                  <w:sz w:val="20"/>
                </w:rPr>
                <w:t>Condensed Consolidated Balance Sheets as of June 30, 2026 and December 31,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8">
              <w:r>
                <w:rPr>
                  <w:rStyle w:val="InternetLink"/>
                  <w:rFonts w:ascii="Times New Roman" w:hAnsi="Times New Roman"/>
                  <w:sz w:val="20"/>
                </w:rPr>
                <w:t>Condensed Consolidated Statements of Operations for the three and six Months Ended June 30, 2026 and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9">
              <w:r>
                <w:rPr>
                  <w:rStyle w:val="InternetLink"/>
                  <w:rFonts w:ascii="Times New Roman" w:hAnsi="Times New Roman"/>
                  <w:sz w:val="20"/>
                </w:rPr>
                <w:t>Condensed Consolidated Statements of Changes of Stockholders’/Member’s Equity for the six Months Ended June 30, 2026 and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10">
              <w:r>
                <w:rPr>
                  <w:rStyle w:val="InternetLink"/>
                  <w:rFonts w:ascii="Times New Roman" w:hAnsi="Times New Roman"/>
                  <w:sz w:val="20"/>
                </w:rPr>
                <w:t>Condensed Consolidated Statements of Cash Flows for the six Months Ended June 30, 2026 and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11">
              <w:r>
                <w:rPr>
                  <w:rStyle w:val="InternetLink"/>
                  <w:rFonts w:ascii="Times New Roman" w:hAnsi="Times New Roman"/>
                  <w:sz w:val="20"/>
                </w:rPr>
                <w:t>Notes to the Condensed Consolidated Financial Statements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12">
              <w:r>
                <w:rPr>
                  <w:rStyle w:val="InternetLink"/>
                  <w:rFonts w:ascii="Times New Roman" w:hAnsi="Times New Roman"/>
                  <w:sz w:val="20"/>
                </w:rPr>
                <w:t>Item 2. 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13">
              <w:r>
                <w:rPr>
                  <w:rStyle w:val="InternetLink"/>
                  <w:rFonts w:ascii="Times New Roman" w:hAnsi="Times New Roman"/>
                  <w:sz w:val="20"/>
                </w:rPr>
                <w:t>Item 3. 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14">
              <w:r>
                <w:rPr>
                  <w:rStyle w:val="InternetLink"/>
                  <w:rFonts w:ascii="Times New Roman" w:hAnsi="Times New Roman"/>
                  <w:sz w:val="20"/>
                </w:rPr>
                <w:t>Item 4. Controls and Procedures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15">
              <w:r>
                <w:rPr>
                  <w:rStyle w:val="InternetLink"/>
                  <w:rFonts w:ascii="Times New Roman" w:hAnsi="Times New Roman"/>
                  <w:sz w:val="20"/>
                </w:rPr>
                <w:t>PART II. OTHER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16">
              <w:r>
                <w:rPr>
                  <w:rStyle w:val="InternetLink"/>
                  <w:rFonts w:ascii="Times New Roman" w:hAnsi="Times New Roman"/>
                  <w:sz w:val="20"/>
                </w:rPr>
                <w:t>Item 1. Legal Proceedings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17">
              <w:r>
                <w:rPr>
                  <w:rStyle w:val="InternetLink"/>
                  <w:rFonts w:ascii="Times New Roman" w:hAnsi="Times New Roman"/>
                  <w:sz w:val="20"/>
                </w:rPr>
                <w:t>Item 1A. 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18">
              <w:r>
                <w:rPr>
                  <w:rStyle w:val="InternetLink"/>
                  <w:rFonts w:ascii="Times New Roman" w:hAnsi="Times New Roman"/>
                  <w:sz w:val="20"/>
                </w:rPr>
                <w:t>Item 2. Unregistered Sales of Equity Securities and 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19">
              <w:r>
                <w:rPr>
                  <w:rStyle w:val="InternetLink"/>
                  <w:rFonts w:ascii="Times New Roman" w:hAnsi="Times New Roman"/>
                  <w:sz w:val="20"/>
                </w:rPr>
                <w:t>Item 3. Defaults Upon Senior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20">
              <w:r>
                <w:rPr>
                  <w:rStyle w:val="InternetLink"/>
                  <w:rFonts w:ascii="Times New Roman" w:hAnsi="Times New Roman"/>
                  <w:sz w:val="20"/>
                </w:rPr>
                <w:t>Item 4. Mine Safety Disclosures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21">
              <w:r>
                <w:rPr>
                  <w:rStyle w:val="InternetLink"/>
                  <w:rFonts w:ascii="Times New Roman" w:hAnsi="Times New Roman"/>
                  <w:sz w:val="20"/>
                </w:rPr>
                <w:t>Item 5. Other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22">
              <w:r>
                <w:rPr>
                  <w:rStyle w:val="InternetLink"/>
                  <w:rFonts w:ascii="Times New Roman" w:hAnsi="Times New Roman"/>
                  <w:sz w:val="20"/>
                </w:rPr>
                <w:t>Item 6. Exhibits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152940_23">
              <w:r>
                <w:rPr>
                  <w:rStyle w:val="InternetLink"/>
                  <w:rFonts w:ascii="Times New Roman" w:hAnsi="Times New Roman"/>
                  <w:sz w:val="20"/>
                </w:rPr>
                <w:t>Signatures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52940_1"/>
      <w:bookmarkEnd w:id="3"/>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(this “Quarterly Report”) contains forward-looking statements for purposes of the safe harbor provisions under the Private Securities Litigation Reform Act of 1995, which are subject to known and unknown risks, uncertainties and other important factors that may cause actual results to be materially different from the statements made herein. All statements other than statements of historical facts contained in this Quarterly Report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Quarterly Report in the context of the risks and uncertainties disclosed herein, in our Annual Report on Form 10-K, including “Risk Factors” and “Management’s Discussion and Analysis of Financial Condition and Results of Operations,” and our other filings with the Securities and Exchange Commission (the “SEC”), accessible on the SEC’s website at www.sec.gov and the Investors Relations section of the Company’s website at https://investors.solvenergy.com/financial-information/sec-filings. Important factors that could cause actual results to differ materially from those in the forward-looking statements include regional, national or global political, economic, business, competitive, market and regulatory conditions and the following, each of which could have a material adverse effect on our business, financial condition and results of operations: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wide range of factors, many that are beyond our control, can impact the timing, performance or profitability of our projects, any of which can result in additional costs to us, reductions or delays in revenues, the payment of liquidated damages by us or project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financial condition and other financial and operational disclosures are based upon estimates and assumptions that may differ from actual results or future outcomes;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estimates related to revenues and costs associated with our contracts with customers could result in a reduction or elimination of revenues, a reduction of profits or the recognition of losses; </w:t>
            </w:r>
          </w:p>
        </w:tc>
      </w:tr>
    </w:tbl>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Backlog may not be realized or may not result in profits and may not accurately represent future revenue;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additional duties and tariffs and other trade barriers and retaliatory countermeasures implemented by the U.S. and other governments; </w:t>
            </w:r>
          </w:p>
        </w:tc>
      </w:tr>
    </w:tbl>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may vary significantly from quarter to quarter;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reduction, elimination or expiration of government incentives for, or regulations mandating the use of, renewable energy and battery storage specifically;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the availability or an increase in the price of materials, equipment and subcontractors that we and our customers depend on to complete and maintain projects;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labor-intensive, and we may be unable to attract and retain qualified employees or we may incur significant costs in the event we are unable to efficiently manage our workforce or the cost of labor increases;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loss, or reduction in business from, certain significant customers;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Many of our contracts may be canceled or suspended on short notice or may not be renewed upon completion or expiration, and we may be unsuccessful in replacing our contracts;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adequately recover on contract modifications against project owners for payment or performance;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nature of our business exposes us to potential liability for warranty, engineering and other related claims;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During the ordinary course of our business, we are subject to lawsuits, claims and other legal proceedings, as well as bonding claims and related reimbursement requirements; </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110"/>
        <w:gridCol w:w="60"/>
        <w:gridCol w:w="9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can incur liabilities or suffer negative financial or reputational impacts relating to health and safety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Disruptions to our information technology systems or our failure to adequately protect critical data, sensitive information and technology systems;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identified material weaknesses in our internal control over financial reporting and if our remediation of the material weaknesses is not effective, or if we otherwise fail to maintain effective internal control over financial reporting in the future, we may not be able to accurately or timely report our financial condition or results of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deterioration in the quality or reputation of our brands, which can be exacerbated by the effect of social media or significant media coverage;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loss of, or our inability to attract or keep, key personnel could disrupt our business;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successfully execute our acquisition strategy;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compete for projects if we are not able to obtain surety bonds, letters of credit or bank guarantees;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generally paid in arrears for our services and may enter into other arrangements with certain of our customers, which could subject us to potential credit or investment risk and the risk of client defaults; </w:t>
            </w:r>
          </w:p>
        </w:tc>
      </w:tr>
    </w:tbl>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and claims expenses, as well as the unavailability or cancellation of third-party insurance coverage;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results of operations are subject to physical risks including those associated with climate 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subject to operational hazards, including, among others, damage from severe weather conditions and electrical hazards, that can result in significant liabilities, and we may not be insured against all potential liabilities;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Increasing scrutiny and changing expectations from various stakeholders with respect to corporate sustainability practices may impose additional costs on us or expose us to reputational or other risks;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unionized workforce and related obligations;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maintain, protect or enforce our rights in 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intellectual property rights claims by third parties, which are extremely costly to defend, could require us to pay significant damages and could limit our ability to use certain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use artificial intelligence technologies in our business, and the deployment, use, and maintenance of these technologies involve significant technological and legal risks;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Negative macroeconomic conditions and industry-specific market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economic, political, financial, industry and market conditions on a regional, national or global basis, including as a result of, among other things, inflationary pressure that impacts our costs associated with labor, equipment and materials, increased interest rates, default or threat of default by the U.S. federal government with respect to its debt obligations, U.S. government shutdowns, natural disasters and other emergencies (e.g., wildfires, weather-related events or pandemics), deterioration of global or specific trade relationships, or acts of war, including but not limited to conflicts in the Middle East, geopolitical conflicts and political unrest;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Projects in our industry can have long sales cycles requiring significant upfront investment of resources;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revenues and profitability can be negatively impacted if our customers encounter financial difficulties or file for bankruptcy or disputes arise with our customers;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highly competitive nature of our business; </w:t>
            </w:r>
          </w:p>
        </w:tc>
      </w:tr>
    </w:tbl>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75"/>
        <w:gridCol w:w="110"/>
        <w:gridCol w:w="60"/>
        <w:gridCol w:w="8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Technological advancements in other forms of power generation could negatively affect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requirements applicable to our industry and changes in current and potential legislative and regulatory initiatives may adversely affect demand for our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complex federal, state and other environmental, health and safety laws and regulations that could adversely affect the cost, manner or feasibility of conducting our operations or expose us to significant liabilities;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various specific regulatory regimes and requirements that could result in significant compliance costs and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actual or perceived failure to comply with new or existing laws, regulations or other requirements relating to the privacy, security and processing of personal information;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or our tax estimates or positions;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anti-corruption, anti-bribery and/or international trade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Violations of export control and/or economic sanctions laws and regulations to which we are subject and changes to U.S. foreign trade and tariff policies;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Immigration laws, including our inability to verify employment eligibility;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variable rate indebtedness may subject us to interest rate risk, which, subject to borrowings, could cause our debt service obligations to increase significantly;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the covenants contained in our credit agreements could result in an event of default that could cause repayment of our debt to be accelerated;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incur substantial additional indebtedness in the future and may not be able to generate sufficient cash to service such indebtedness, and may be forced to take other actions to satisfy our obligations under such indebtedness, which may not be successful; and </w:t>
            </w:r>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75"/>
        <w:gridCol w:w="110"/>
        <w:gridCol w:w="60"/>
        <w:gridCol w:w="5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that are required in order to operate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For the reasons described above, we caution you against relying on any forward-looking statements, which should also be read in conjunction with the other cautionary statements that are included elsewhere in this Quarterly Report, our most recent Annual Report on Form 10-K and our other filings with the SEC. Any forward-looking statement made by us in this Quarterly Report speaks only as of the date on which we make it. </w:t>
      </w:r>
    </w:p>
    <w:p>
      <w:pPr>
        <w:pStyle w:val="TextBody"/>
        <w:bidi w:val="0"/>
        <w:spacing w:before="240" w:after="0"/>
        <w:jc w:val="left"/>
        <w:rPr>
          <w:rFonts w:ascii="Times New Roman" w:hAnsi="Times New Roman"/>
          <w:sz w:val="20"/>
        </w:rPr>
      </w:pPr>
      <w:r>
        <w:rPr>
          <w:rFonts w:ascii="Times New Roman" w:hAnsi="Times New Roman"/>
          <w:sz w:val="20"/>
        </w:rPr>
        <w:t xml:space="preserve">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w:t>
      </w:r>
    </w:p>
    <w:p>
      <w:pPr>
        <w:pStyle w:val="TextBody"/>
        <w:bidi w:val="0"/>
        <w:spacing w:before="480" w:after="0"/>
        <w:jc w:val="center"/>
        <w:rPr>
          <w:rFonts w:ascii="Times New Roman" w:hAnsi="Times New Roman"/>
          <w:b/>
          <w:sz w:val="20"/>
        </w:rPr>
      </w:pPr>
      <w:bookmarkStart w:id="4" w:name="toc152940_2"/>
      <w:bookmarkEnd w:id="4"/>
      <w:r>
        <w:rPr>
          <w:rFonts w:ascii="Times New Roman" w:hAnsi="Times New Roman"/>
          <w:b/>
          <w:sz w:val="20"/>
        </w:rPr>
        <w:t xml:space="preserve">Certain Definitions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or the context requires otherwise in this Quarterly Report, all references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American Securities” or “Sponsor” refers to American Securities LLC, a private equity firm, and affiliated funds managed by American Securities.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r>
              <w:rPr/>
              <w:t>“</w:t>
            </w:r>
            <w:r>
              <w:rPr>
                <w:rFonts w:ascii="Times New Roman" w:hAnsi="Times New Roman"/>
                <w:sz w:val="20"/>
              </w:rPr>
              <w:t xml:space="preserve">Blocker Companies” refers to ASP VIII SOLV LP and ASP VIII CSE LP.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Blocker Shareholders” refers collectively to the owners of the Blocker Companies prior to the acquisition of the Blocker Companies by SOLV Energy, Inc., who exchanged their interests in the Blocker Companies for shares of our Class A common stock in connection with the consummation of the Transactions, and includes any aggregator vehicle to which such owners contribute such shares of Class A common stock in connection with the consummation of the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Continuing Equity Owners” refers collectively to direct and indirect holders of LLC Interests and our Class B common stock immediately following consummation of the Transactions, including American Securities, Management Holders and other minority investors and their respective permitted transferees who may exchange at each of their respective options (other than, prior to the Management Elective Redemption Date, Management Holders), in whole or in part from time to time, their LLC Interests (along with an equal number of shares of Class B common stock (and such shares shall be immediately cancelled)) for, at our election, cash or newly-issued shares of our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EPC” refers to engineering, procurement and construction, a type of contracting where the contractor performs design and engineering services for the project, procures key equipment used in the project and builds the project, such as a solar power plant.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0"/>
        <w:gridCol w:w="6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pPr>
            <w:r>
              <w:rPr/>
              <w:t>“</w:t>
            </w:r>
            <w:r>
              <w:rPr>
                <w:rFonts w:ascii="Times New Roman" w:hAnsi="Times New Roman"/>
                <w:sz w:val="20"/>
              </w:rPr>
              <w:t xml:space="preserve">Exchange Act” refers to the Securities Exchange Act of 1934, as amended.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pPr>
            <w:r>
              <w:rPr/>
              <w:t>“</w:t>
            </w:r>
            <w:r>
              <w:rPr>
                <w:rFonts w:ascii="Times New Roman" w:hAnsi="Times New Roman"/>
                <w:sz w:val="20"/>
              </w:rPr>
              <w:t xml:space="preserve">Holdings” refers to SOLV Energy Holdings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Holdco Term Loan Credit Agreement” refers to that certain Amended and Restated Credit Agreement, dated as of October 7, 2024, among SOLV Energy Holdings LLC, Wilmington Trust, National Association (or any of its designated branch offices or affiliates), as administrative agent for the secured parties, and the lenders from time to time party thereto, as amended on January 9, 2025 by that certain Amendment No. 1 to Amended and Restated Credit Agreement (“Amendment No. 1 to the Holdco Term Loan Credit Agreement”), among SOLV Energy Holdings LLC, Wilmington Trust, National Association (or any of its designated branch offices or affiliates), as administrative agent for the secured parties, and the lenders from time to time party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IPO” refers to our initial public offering, which we completed on February 12, 2026, and through which we offered and sold 23,575,000 shares of our Class A common stock at a price to the public of $25.00 per share, which includes the exercise in full by the underwriters of their option to purchase an additional 3,075,000 shares of our Class A common stock. The gross proceeds to us from the IPO were $589.4 million, before deducting underwriting discounts.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pPr>
            <w:r>
              <w:rPr/>
              <w:t>“</w:t>
            </w:r>
            <w:r>
              <w:rPr>
                <w:rFonts w:ascii="Times New Roman" w:hAnsi="Times New Roman"/>
                <w:sz w:val="20"/>
              </w:rPr>
              <w:t xml:space="preserve">LLC Interests” refers to the common units of SOLV Energy Holdings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LNTP” refers to limited-notice-to-proceed agreements, which authorize us to proceed with limited activities on a given EPC contract (e.g., perform initial engineering and site investigation work, procure long lead time equipment) in exchange for a payment that is typically creditable to the overall contract price if the customer uses us to build the project.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Management Elective Redemption Date” refers to the earlier to occur of (i) the date upon which American Securities (excluding, for the avoidance of doubt, Management Holdings) owns, directly or indirectly, less than twenty percent (20%) of the aggregate economic interests of the Company and (ii) the third anniversary of the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Management Holders” refers to the executive officers of SOLV Energy, Inc. and other employees, former employees and other service providers of SOLV Energy, Inc. and its direct and indirect subsidiaries who are limited partners of Management Holdings.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Management Holdings” refers to SOLV Energy Management Holdings LP, which is an affiliate of, and controlled by, American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New Revolving Credit Facility” refers to the $200.0 million revolving credit facility available under that certain Credit Agreement, dated as of February 12, 2026, by and among SOLV Energy Acquisition LLC, SOLV Energy Intermediate Holdings LLC, the lenders party thereto and KeyBank National Association, as administrative agent, which facility matures on February 12, 2031. </w:t>
            </w:r>
          </w:p>
        </w:tc>
      </w:tr>
    </w:tbl>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75"/>
        <w:gridCol w:w="110"/>
        <w:gridCol w:w="60"/>
        <w:gridCol w:w="3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left"/>
              <w:rPr/>
            </w:pPr>
            <w:r>
              <w:rPr/>
              <w:t>“</w:t>
            </w:r>
            <w:r>
              <w:rPr>
                <w:rFonts w:ascii="Times New Roman" w:hAnsi="Times New Roman"/>
                <w:sz w:val="20"/>
              </w:rPr>
              <w:t xml:space="preserve">O&amp;M” refers to operations and maintenance.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Prior Credit Facilities” refers to the Prior Revolving Facility and the Term Loans. The Prior Credit Facilities were repaid and terminated in connection with the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Prior Revolving Facility” refers to the $90,000,000 revolving credit facility available under that certain Credit Agreement, dated as of December 23, 2021 (as amended, restated, amended and restated, supplemented or otherwise modified from time to time), by and among SOLV Energy Acquisition LLC, SOLV Energy Parent LLC (f/k/a AS Renewable Technologies Intermediate LLC), SOLV Energy Intermediate Holdings LLC (f/k/a AS Renewable Technologies Intermediate II LLC), the lenders party thereto and KeyBank National Association, as administrative agent. The Prior Revolving Facility was terminated in connection with the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PV” refers to photovoltaic, i.e., the conversion of light into electricity using semiconducting materials, such as solar cells.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SOLV,” the “Company,” “our company,” “we,” “us” and “our” refer to SOLV Energy, Inc. and its subsidiaries, including SOLV Energy Holdings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SOLV Energy Holdings LLC Agreement” refers to SOLV Energy Holdings LLC’s amended and restated limited liability company agreement. </w:t>
            </w:r>
          </w:p>
        </w:tc>
      </w:tr>
    </w:tbl>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75"/>
        <w:gridCol w:w="110"/>
        <w:gridCol w:w="60"/>
        <w:gridCol w:w="3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left"/>
              <w:rPr/>
            </w:pPr>
            <w:r>
              <w:rPr/>
              <w:t>“</w:t>
            </w:r>
            <w:r>
              <w:rPr>
                <w:rFonts w:ascii="Times New Roman" w:hAnsi="Times New Roman"/>
                <w:sz w:val="20"/>
              </w:rPr>
              <w:t xml:space="preserve">T&amp;D” refers to transmission and distribution.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Tax Receivable Agreement” refers to the Tax Receivable Agreement, dated February 10, 2026, entered into by and among SOLV Energy, Inc., SOLV Energy Holdings LLC, the Continuing Equity Owners, the Blocker Shareholders and the other persons from time to time that may become a party thereto (collectively, the “TRA Participants”) in connection with the IPO, pursuant to which, among other things, SOLV Energy, Inc. is required to pay to the TRA Participants 85% of the tax benefits, if any, that it realizes, or is deemed to realize, as a result of certain tax benefits covered by the Tax Receivable Agreement as described in “Item 13. Certain Relationships and Related Transactions, and Director Independence—Tax Receivable Agreement” in our Annual Report on Form 10-K for the year ended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Term Loans” refers to (i) the initial term loans made to SOLV Energy Holdings LLC pursuant to the Holdco Term Loan Credit Agreement, in an original principal amount of $373,687,500, and (ii) the incremental term loans made to SOLV Energy Holdings LLC pursuant to Amendment No. 1 to the Holdco Term Loan Credit Agreement, in an original principal amount of $32,500,000. In connection with the IPO, the Term Loans were repaid in full.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Transactions” refers to the reorganization transactions, the redemption of units held by a minority investor, the IPO and the application of the net proceeds therefrom. </w:t>
            </w:r>
          </w:p>
        </w:tc>
      </w:tr>
    </w:tbl>
    <w:p>
      <w:pPr>
        <w:pStyle w:val="TextBody"/>
        <w:bidi w:val="0"/>
        <w:spacing w:before="480" w:after="0"/>
        <w:jc w:val="center"/>
        <w:rPr>
          <w:rFonts w:ascii="Times New Roman" w:hAnsi="Times New Roman"/>
          <w:b/>
          <w:sz w:val="20"/>
        </w:rPr>
      </w:pPr>
      <w:bookmarkStart w:id="5" w:name="toc152940_3"/>
      <w:bookmarkEnd w:id="5"/>
      <w:r>
        <w:rPr>
          <w:rFonts w:ascii="Times New Roman" w:hAnsi="Times New Roman"/>
          <w:b/>
          <w:sz w:val="20"/>
        </w:rPr>
        <w:t xml:space="preserve">Presentation of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includes certain historical consolidated financial information and other data for SOLV Energy Holdings LLC. Concurrent with the completion of the IPO, SOLV Energy, Inc. became the new parent holding company of SOLV Energy Holdings LLC and its subsidiaries. As SOLV Energy, Inc. did not have any previous operations prior to the IPO, SOLV Energy Holdings LLC is viewed as the accounting predecessor of SOLV Energy, Inc. </w:t>
      </w:r>
    </w:p>
    <w:p>
      <w:pPr>
        <w:pStyle w:val="TextBody"/>
        <w:bidi w:val="0"/>
        <w:spacing w:before="240" w:after="0"/>
        <w:jc w:val="left"/>
        <w:rPr>
          <w:rFonts w:ascii="Times New Roman" w:hAnsi="Times New Roman"/>
          <w:sz w:val="20"/>
        </w:rPr>
      </w:pPr>
      <w:r>
        <w:rPr>
          <w:rFonts w:ascii="Times New Roman" w:hAnsi="Times New Roman"/>
          <w:sz w:val="20"/>
        </w:rPr>
        <w:t xml:space="preserve">Certain monetary amounts, percentages and other figures included in this Quarterly Report have been subject to rounding adjustments. Percentage amounts included in this Quarterly Report have not in all cases been calculated on the basis of such rounded figures, but on the basis of such amounts prior to rounding. For this reason, percentage amounts in this Quarterly Report may vary from those obtained by performing the same calculations using the figures in our consolidated financial statements included elsewhere in this Quarterly Report. Certain other amounts that appear in this Quarterly Report may not sum due to rounding. </w:t>
      </w:r>
    </w:p>
    <w:p>
      <w:pPr>
        <w:pStyle w:val="TextBody"/>
        <w:bidi w:val="0"/>
        <w:spacing w:before="480" w:after="0"/>
        <w:jc w:val="center"/>
        <w:rPr>
          <w:rFonts w:ascii="Times New Roman" w:hAnsi="Times New Roman"/>
          <w:b/>
          <w:sz w:val="20"/>
        </w:rPr>
      </w:pPr>
      <w:bookmarkStart w:id="6" w:name="toc152940_4"/>
      <w:bookmarkEnd w:id="6"/>
      <w:r>
        <w:rPr>
          <w:rFonts w:ascii="Times New Roman" w:hAnsi="Times New Roman"/>
          <w:b/>
          <w:sz w:val="20"/>
        </w:rPr>
        <w:t xml:space="preserve">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SOLV Energy, Inc., a Delaware corporation, was formed on April 1, 2025 and was the issuer of the Class A common stock in the IPO. Prior to the IPO, all of our business operations were conducted through SOLV Energy Holdings LLC and its direct and indirect subsidiaries. Prior to the Transactions, SOLV Energy Parent Holdings LP was the sole holder of common stock of SOLV Energy, Inc. In connection with the IPO, we consummated the following organizational transactions: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amended and restated the limited liability company agreement of SOLV Energy Holdings LLC to, among other things, (i) recapitalize all of the ownership interests in SOLV Energy Holdings LLC into LLC Interests and (ii) appoint a wholly-owned subsidiary of SOLV Energy, Inc. as the sole managing member of SOLV Energy Holdings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amended and restated our certificate of incorporation to, among other things, provide for (i) Class A common stock, with each share of our Class A common stock entitling its holder to one vote per share on all matters presented to our stockholders generally and (ii)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SOLV Energy Parent Holdings LP was liquidated by distributing LLC Interests and nominal cash to the Continuing Equity Owners and merging into SOLV Energy Holdings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acquired, directly and indirectly, LLC Interests held by certain of the Continuing Equity Owners, by means of one or more contributions in exchange for 91,773,571 shares of our Class A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issued 87,141,865 shares of our Class B common stock to the Continuing Equity Owners, which is equal to the number of LLC Interests held by such Continuing Equity Owners, for nominal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Blocker Shareholders contributed their equity interests in the Blocker Companies to SOLV Energy, Inc. in exchange for shares of Class A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issued 23,575,000 shares of our Class A common stock to the purchasers in the IPO (including 3,075,000 shares after the underwriters exercised in full their option to purchase additional shares of Class A common stock) in exchange for net proceeds of approximately $552.5 million based upon an IPO price of $25.00 per share, less the underwriting discounts and commissions;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used the net proceeds from the IPO to purchase 23,575,000 newly issued LLC Interests from SOLV Energy Holdings LLC at a price per unit equal to the IPO price, less the underwriting discounts and commissions;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caused SOLV Energy Holdings LLC to use the net proceeds from the sale of LLC Interests to SOLV Energy, Inc. to repay in full approximately $405.6 million of amounts due upon repayment under the Term Loans, and, with respect to the remainder, for general corporate purposes, which could include growth initiatives, including potential merger and acquisition opportunities; and </w:t>
            </w:r>
          </w:p>
        </w:tc>
      </w:tr>
    </w:tbl>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75"/>
        <w:gridCol w:w="110"/>
        <w:gridCol w:w="60"/>
        <w:gridCol w:w="9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entered into the Tax Receivable Agreement with SOLV Energy Holdings LLC and each of the TRA Participants.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PART I - FINANCIAL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ITEM 1.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SOLV Energy,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219"/>
        <w:gridCol w:w="120"/>
        <w:gridCol w:w="140"/>
        <w:gridCol w:w="980"/>
        <w:gridCol w:w="60"/>
        <w:gridCol w:w="120"/>
        <w:gridCol w:w="173"/>
        <w:gridCol w:w="1221"/>
        <w:gridCol w:w="172"/>
      </w:tblGrid>
      <w:tr>
        <w:trPr/>
        <w:tc>
          <w:tcPr>
            <w:tcW w:w="72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21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172"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221"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2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363,968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221" w:type="dxa"/>
            <w:tcBorders/>
            <w:vAlign w:val="center"/>
          </w:tcPr>
          <w:p>
            <w:pPr>
              <w:pStyle w:val="TableContents"/>
              <w:bidi w:val="0"/>
              <w:spacing w:before="0" w:after="283"/>
              <w:jc w:val="right"/>
              <w:rPr/>
            </w:pPr>
            <w:r>
              <w:rPr/>
              <w:t>394,876</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receivable,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392,766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269,044</w:t>
            </w:r>
          </w:p>
        </w:tc>
        <w:tc>
          <w:tcPr>
            <w:tcW w:w="172" w:type="dxa"/>
            <w:tcBorders/>
            <w:shd w:fill="CCEEFF" w:val="cle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Contract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181,525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156,744</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Capitalized project development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17,734</w:t>
            </w:r>
          </w:p>
        </w:tc>
        <w:tc>
          <w:tcPr>
            <w:tcW w:w="172" w:type="dxa"/>
            <w:tcBorders/>
            <w:shd w:fill="CCEEFF" w:val="cle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110,231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60,887</w:t>
            </w:r>
          </w:p>
        </w:tc>
        <w:tc>
          <w:tcPr>
            <w:tcW w:w="172"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1,051,839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899,285</w:t>
            </w:r>
          </w:p>
        </w:tc>
        <w:tc>
          <w:tcPr>
            <w:tcW w:w="172" w:type="dxa"/>
            <w:tcBorders/>
            <w:shd w:fill="CCEEFF" w:val="cle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lineRule="atLeast" w:line="142" w:before="0" w:after="0"/>
              <w:jc w:val="left"/>
              <w:rPr>
                <w:spacing w:val="0"/>
              </w:rPr>
            </w:pPr>
            <w:r>
              <w:rPr>
                <w:spacing w:val="0"/>
              </w:rPr>
              <w:t> </w:t>
            </w:r>
          </w:p>
        </w:tc>
        <w:tc>
          <w:tcPr>
            <w:tcW w:w="120" w:type="dxa"/>
            <w:tcBorders/>
            <w:vAlign w:val="center"/>
          </w:tcPr>
          <w:p>
            <w:pPr>
              <w:pStyle w:val="TableContents"/>
              <w:bidi w:val="0"/>
              <w:spacing w:lineRule="atLeast" w:line="142" w:before="0" w:after="0"/>
              <w:jc w:val="left"/>
              <w:rPr>
                <w:spacing w:val="0"/>
              </w:rPr>
            </w:pPr>
            <w:r>
              <w:rPr>
                <w:spacing w:val="0"/>
              </w:rPr>
              <w:t> </w:t>
            </w:r>
          </w:p>
        </w:tc>
        <w:tc>
          <w:tcPr>
            <w:tcW w:w="140" w:type="dxa"/>
            <w:tcBorders/>
            <w:vAlign w:val="center"/>
          </w:tcPr>
          <w:p>
            <w:pPr>
              <w:pStyle w:val="TableContents"/>
              <w:bidi w:val="0"/>
              <w:spacing w:lineRule="atLeast" w:line="142" w:before="0" w:after="0"/>
              <w:jc w:val="left"/>
              <w:rPr>
                <w:spacing w:val="0"/>
              </w:rPr>
            </w:pPr>
            <w:r>
              <w:rPr>
                <w:spacing w:val="0"/>
              </w:rPr>
              <w:t> </w:t>
            </w:r>
          </w:p>
        </w:tc>
        <w:tc>
          <w:tcPr>
            <w:tcW w:w="980" w:type="dxa"/>
            <w:tcBorders/>
            <w:vAlign w:val="center"/>
          </w:tcPr>
          <w:p>
            <w:pPr>
              <w:pStyle w:val="TableContents"/>
              <w:bidi w:val="0"/>
              <w:spacing w:lineRule="atLeast" w:line="142" w:before="0" w:after="0"/>
              <w:jc w:val="right"/>
              <w:rPr>
                <w:spacing w:val="0"/>
              </w:rPr>
            </w:pPr>
            <w:r>
              <w:rPr>
                <w:spacing w:val="0"/>
              </w:rPr>
              <w:t> </w:t>
            </w:r>
          </w:p>
        </w:tc>
        <w:tc>
          <w:tcPr>
            <w:tcW w:w="60" w:type="dxa"/>
            <w:tcBorders/>
            <w:vAlign w:val="center"/>
          </w:tcPr>
          <w:p>
            <w:pPr>
              <w:pStyle w:val="TableContents"/>
              <w:bidi w:val="0"/>
              <w:spacing w:lineRule="atLeast" w:line="142" w:before="0" w:after="0"/>
              <w:jc w:val="left"/>
              <w:rPr>
                <w:spacing w:val="0"/>
              </w:rPr>
            </w:pPr>
            <w:r>
              <w:rPr>
                <w:spacing w:val="0"/>
              </w:rPr>
              <w:t> </w:t>
            </w:r>
          </w:p>
        </w:tc>
        <w:tc>
          <w:tcPr>
            <w:tcW w:w="120" w:type="dxa"/>
            <w:tcBorders/>
            <w:vAlign w:val="center"/>
          </w:tcPr>
          <w:p>
            <w:pPr>
              <w:pStyle w:val="TableContents"/>
              <w:bidi w:val="0"/>
              <w:spacing w:lineRule="atLeast" w:line="142" w:before="0" w:after="0"/>
              <w:jc w:val="left"/>
              <w:rPr>
                <w:spacing w:val="0"/>
              </w:rPr>
            </w:pPr>
            <w:r>
              <w:rPr>
                <w:spacing w:val="0"/>
              </w:rPr>
              <w:t> </w:t>
            </w:r>
          </w:p>
        </w:tc>
        <w:tc>
          <w:tcPr>
            <w:tcW w:w="173" w:type="dxa"/>
            <w:tcBorders/>
            <w:vAlign w:val="center"/>
          </w:tcPr>
          <w:p>
            <w:pPr>
              <w:pStyle w:val="TableContents"/>
              <w:bidi w:val="0"/>
              <w:spacing w:lineRule="atLeast" w:line="142" w:before="0" w:after="0"/>
              <w:jc w:val="left"/>
              <w:rPr>
                <w:spacing w:val="0"/>
              </w:rPr>
            </w:pPr>
            <w:r>
              <w:rPr>
                <w:spacing w:val="0"/>
              </w:rPr>
              <w:t> </w:t>
            </w:r>
          </w:p>
        </w:tc>
        <w:tc>
          <w:tcPr>
            <w:tcW w:w="1221" w:type="dxa"/>
            <w:tcBorders/>
            <w:vAlign w:val="center"/>
          </w:tcPr>
          <w:p>
            <w:pPr>
              <w:pStyle w:val="TableContents"/>
              <w:bidi w:val="0"/>
              <w:spacing w:lineRule="atLeast" w:line="142" w:before="0" w:after="0"/>
              <w:jc w:val="right"/>
              <w:rPr>
                <w:spacing w:val="0"/>
              </w:rPr>
            </w:pPr>
            <w:r>
              <w:rPr>
                <w:spacing w:val="0"/>
              </w:rPr>
              <w:t> </w:t>
            </w:r>
          </w:p>
        </w:tc>
        <w:tc>
          <w:tcPr>
            <w:tcW w:w="172" w:type="dxa"/>
            <w:tcBorders/>
            <w:vAlign w:val="center"/>
          </w:tcPr>
          <w:p>
            <w:pPr>
              <w:pStyle w:val="TableContents"/>
              <w:bidi w:val="0"/>
              <w:spacing w:lineRule="atLeast" w:line="142" w:before="0" w:after="0"/>
              <w:jc w:val="left"/>
              <w:rPr>
                <w:spacing w:val="0"/>
              </w:rPr>
            </w:pPr>
            <w:r>
              <w:rPr>
                <w:spacing w:val="0"/>
              </w:rPr>
              <w:t> </w:t>
            </w:r>
          </w:p>
        </w:tc>
      </w:tr>
      <w:tr>
        <w:trPr/>
        <w:tc>
          <w:tcPr>
            <w:tcW w:w="7219" w:type="dxa"/>
            <w:tcBorders/>
            <w:vAlign w:val="center"/>
          </w:tcPr>
          <w:p>
            <w:pPr>
              <w:pStyle w:val="TableContents"/>
              <w:bidi w:val="0"/>
              <w:spacing w:before="115" w:after="0"/>
              <w:jc w:val="left"/>
              <w:rPr/>
            </w:pPr>
            <w:r>
              <w:rPr/>
              <w:t> </w:t>
            </w:r>
          </w:p>
        </w:tc>
        <w:tc>
          <w:tcPr>
            <w:tcW w:w="120" w:type="dxa"/>
            <w:tcBorders/>
            <w:vAlign w:val="center"/>
          </w:tcPr>
          <w:p>
            <w:pPr>
              <w:pStyle w:val="TableContents"/>
              <w:bidi w:val="0"/>
              <w:spacing w:before="115" w:after="283"/>
              <w:jc w:val="left"/>
              <w:rPr/>
            </w:pPr>
            <w:r>
              <w:rPr/>
              <w:t> </w:t>
            </w:r>
          </w:p>
        </w:tc>
        <w:tc>
          <w:tcPr>
            <w:tcW w:w="140" w:type="dxa"/>
            <w:tcBorders/>
            <w:vAlign w:val="center"/>
          </w:tcPr>
          <w:p>
            <w:pPr>
              <w:pStyle w:val="TableContents"/>
              <w:bidi w:val="0"/>
              <w:spacing w:before="115" w:after="283"/>
              <w:jc w:val="left"/>
              <w:rPr/>
            </w:pPr>
            <w:r>
              <w:rPr/>
              <w:t> </w:t>
            </w:r>
          </w:p>
        </w:tc>
        <w:tc>
          <w:tcPr>
            <w:tcW w:w="980" w:type="dxa"/>
            <w:tcBorders/>
            <w:vAlign w:val="center"/>
          </w:tcPr>
          <w:p>
            <w:pPr>
              <w:pStyle w:val="TableContents"/>
              <w:bidi w:val="0"/>
              <w:spacing w:before="115" w:after="283"/>
              <w:jc w:val="right"/>
              <w:rPr/>
            </w:pPr>
            <w:r>
              <w:rPr/>
              <w:t> </w:t>
            </w:r>
          </w:p>
        </w:tc>
        <w:tc>
          <w:tcPr>
            <w:tcW w:w="60" w:type="dxa"/>
            <w:tcBorders/>
            <w:vAlign w:val="center"/>
          </w:tcPr>
          <w:p>
            <w:pPr>
              <w:pStyle w:val="TableContents"/>
              <w:bidi w:val="0"/>
              <w:spacing w:before="115" w:after="283"/>
              <w:jc w:val="left"/>
              <w:rPr/>
            </w:pPr>
            <w:r>
              <w:rPr/>
              <w:t> </w:t>
            </w:r>
          </w:p>
        </w:tc>
        <w:tc>
          <w:tcPr>
            <w:tcW w:w="120" w:type="dxa"/>
            <w:tcBorders/>
            <w:vAlign w:val="center"/>
          </w:tcPr>
          <w:p>
            <w:pPr>
              <w:pStyle w:val="TableContents"/>
              <w:bidi w:val="0"/>
              <w:spacing w:before="115" w:after="283"/>
              <w:jc w:val="left"/>
              <w:rPr/>
            </w:pPr>
            <w:r>
              <w:rPr/>
              <w:t> </w:t>
            </w:r>
          </w:p>
        </w:tc>
        <w:tc>
          <w:tcPr>
            <w:tcW w:w="173" w:type="dxa"/>
            <w:tcBorders/>
            <w:vAlign w:val="center"/>
          </w:tcPr>
          <w:p>
            <w:pPr>
              <w:pStyle w:val="TableContents"/>
              <w:bidi w:val="0"/>
              <w:spacing w:before="115" w:after="283"/>
              <w:jc w:val="left"/>
              <w:rPr/>
            </w:pPr>
            <w:r>
              <w:rPr/>
              <w:t> </w:t>
            </w:r>
          </w:p>
        </w:tc>
        <w:tc>
          <w:tcPr>
            <w:tcW w:w="1221" w:type="dxa"/>
            <w:tcBorders/>
            <w:vAlign w:val="center"/>
          </w:tcPr>
          <w:p>
            <w:pPr>
              <w:pStyle w:val="TableContents"/>
              <w:bidi w:val="0"/>
              <w:spacing w:before="115" w:after="283"/>
              <w:jc w:val="right"/>
              <w:rPr/>
            </w:pPr>
            <w:r>
              <w:rPr/>
              <w:t> </w:t>
            </w:r>
          </w:p>
        </w:tc>
        <w:tc>
          <w:tcPr>
            <w:tcW w:w="172" w:type="dxa"/>
            <w:tcBorders/>
            <w:vAlign w:val="center"/>
          </w:tcPr>
          <w:p>
            <w:pPr>
              <w:pStyle w:val="TableContents"/>
              <w:bidi w:val="0"/>
              <w:spacing w:before="115" w:after="283"/>
              <w:jc w:val="left"/>
              <w:rPr/>
            </w:pPr>
            <w:r>
              <w:rPr/>
              <w:t> </w:t>
            </w:r>
          </w:p>
        </w:tc>
      </w:tr>
      <w:tr>
        <w:trPr/>
        <w:tc>
          <w:tcPr>
            <w:tcW w:w="72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122,255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106,383</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8,010</w:t>
            </w:r>
          </w:p>
        </w:tc>
        <w:tc>
          <w:tcPr>
            <w:tcW w:w="172" w:type="dxa"/>
            <w:tcBorders/>
            <w:shd w:fill="CCEEFF" w:val="cle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Goodwill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426,607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429,279</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 assets,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333,909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362,390</w:t>
            </w:r>
          </w:p>
        </w:tc>
        <w:tc>
          <w:tcPr>
            <w:tcW w:w="172" w:type="dxa"/>
            <w:tcBorders/>
            <w:shd w:fill="CCEEFF" w:val="cle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179,834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long-term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10,925</w:t>
            </w:r>
          </w:p>
        </w:tc>
        <w:tc>
          <w:tcPr>
            <w:tcW w:w="172" w:type="dxa"/>
            <w:tcBorders/>
            <w:shd w:fill="CCEEFF" w:val="cle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spacing w:val="0"/>
              </w:rPr>
            </w:pPr>
            <w:r>
              <w:rPr>
                <w:b/>
                <w:spacing w:val="0"/>
              </w:rPr>
              <w:t>$</w:t>
            </w:r>
          </w:p>
        </w:tc>
        <w:tc>
          <w:tcPr>
            <w:tcW w:w="980" w:type="dxa"/>
            <w:tcBorders/>
            <w:vAlign w:val="center"/>
          </w:tcPr>
          <w:p>
            <w:pPr>
              <w:pStyle w:val="TableContents"/>
              <w:bidi w:val="0"/>
              <w:spacing w:before="0" w:after="0"/>
              <w:jc w:val="right"/>
              <w:rPr>
                <w:b/>
                <w:spacing w:val="0"/>
              </w:rPr>
            </w:pPr>
            <w:r>
              <w:rPr>
                <w:b/>
                <w:spacing w:val="0"/>
              </w:rPr>
              <w:t>2,129,676</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
                <w:spacing w:val="0"/>
              </w:rPr>
            </w:pPr>
            <w:r>
              <w:rPr>
                <w:b/>
                <w:spacing w:val="0"/>
              </w:rPr>
              <w:t>$</w:t>
            </w:r>
          </w:p>
        </w:tc>
        <w:tc>
          <w:tcPr>
            <w:tcW w:w="1221" w:type="dxa"/>
            <w:tcBorders/>
            <w:vAlign w:val="center"/>
          </w:tcPr>
          <w:p>
            <w:pPr>
              <w:pStyle w:val="TableContents"/>
              <w:bidi w:val="0"/>
              <w:spacing w:before="0" w:after="0"/>
              <w:jc w:val="right"/>
              <w:rPr>
                <w:b/>
                <w:spacing w:val="0"/>
              </w:rPr>
            </w:pPr>
            <w:r>
              <w:rPr>
                <w:b/>
                <w:spacing w:val="0"/>
              </w:rPr>
              <w:t>1,816,272</w:t>
            </w:r>
          </w:p>
        </w:tc>
        <w:tc>
          <w:tcPr>
            <w:tcW w:w="172" w:type="dxa"/>
            <w:tcBorders/>
            <w:vAlign w:val="center"/>
          </w:tcPr>
          <w:p>
            <w:pPr>
              <w:pStyle w:val="TableContents"/>
              <w:bidi w:val="0"/>
              <w:spacing w:before="0" w:after="0"/>
              <w:jc w:val="left"/>
              <w:rPr>
                <w:spacing w:val="0"/>
              </w:rPr>
            </w:pPr>
            <w:r>
              <w:rPr>
                <w:spacing w:val="0"/>
              </w:rPr>
              <w:t> </w:t>
            </w:r>
          </w:p>
        </w:tc>
      </w:tr>
      <w:tr>
        <w:trPr/>
        <w:tc>
          <w:tcPr>
            <w:tcW w:w="7219"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0"/>
              <w:jc w:val="left"/>
              <w:rPr>
                <w:spacing w:val="0"/>
              </w:rPr>
            </w:pPr>
            <w:r>
              <w:rPr>
                <w:spacing w:val="0"/>
              </w:rPr>
              <w:t> </w:t>
            </w:r>
          </w:p>
        </w:tc>
      </w:tr>
      <w:tr>
        <w:trPr/>
        <w:tc>
          <w:tcPr>
            <w:tcW w:w="7219" w:type="dxa"/>
            <w:tcBorders/>
            <w:shd w:fill="CCEEFF" w:val="clear"/>
            <w:vAlign w:val="center"/>
          </w:tcPr>
          <w:p>
            <w:pPr>
              <w:pStyle w:val="TableContents"/>
              <w:bidi w:val="0"/>
              <w:spacing w:before="2" w:after="0"/>
              <w:jc w:val="left"/>
              <w:rPr>
                <w:rFonts w:ascii="Times New Roman" w:hAnsi="Times New Roman"/>
                <w:b/>
                <w:spacing w:val="0"/>
                <w:sz w:val="20"/>
              </w:rPr>
            </w:pPr>
            <w:r>
              <w:rPr>
                <w:rFonts w:ascii="Times New Roman" w:hAnsi="Times New Roman"/>
                <w:b/>
                <w:spacing w:val="0"/>
                <w:sz w:val="20"/>
              </w:rPr>
              <w:t>LIABILITIES AND STOCKHOLDERS’/MEMBERS’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221"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2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 and accrued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680,475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221" w:type="dxa"/>
            <w:tcBorders/>
            <w:vAlign w:val="center"/>
          </w:tcPr>
          <w:p>
            <w:pPr>
              <w:pStyle w:val="TableContents"/>
              <w:bidi w:val="0"/>
              <w:spacing w:before="0" w:after="283"/>
              <w:jc w:val="right"/>
              <w:rPr/>
            </w:pPr>
            <w:r>
              <w:rPr/>
              <w:t>562,218</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Contract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258,245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308,619</w:t>
            </w:r>
          </w:p>
        </w:tc>
        <w:tc>
          <w:tcPr>
            <w:tcW w:w="172" w:type="dxa"/>
            <w:tcBorders/>
            <w:shd w:fill="CCEEFF" w:val="cle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portion of equipment financing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6,888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6,526</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portion of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12,978</w:t>
            </w:r>
          </w:p>
        </w:tc>
        <w:tc>
          <w:tcPr>
            <w:tcW w:w="172" w:type="dxa"/>
            <w:tcBorders/>
            <w:shd w:fill="CCEEFF" w:val="cle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portion of long-term debt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2,498</w:t>
            </w:r>
          </w:p>
        </w:tc>
        <w:tc>
          <w:tcPr>
            <w:tcW w:w="172"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961,645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892,839</w:t>
            </w:r>
          </w:p>
        </w:tc>
        <w:tc>
          <w:tcPr>
            <w:tcW w:w="172" w:type="dxa"/>
            <w:tcBorders/>
            <w:shd w:fill="CCEEFF" w:val="cle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115" w:after="0"/>
              <w:jc w:val="left"/>
              <w:rPr>
                <w:spacing w:val="0"/>
              </w:rPr>
            </w:pPr>
            <w:r>
              <w:rPr>
                <w:spacing w:val="0"/>
              </w:rPr>
              <w:t> </w:t>
            </w:r>
          </w:p>
        </w:tc>
        <w:tc>
          <w:tcPr>
            <w:tcW w:w="120" w:type="dxa"/>
            <w:tcBorders/>
            <w:vAlign w:val="center"/>
          </w:tcPr>
          <w:p>
            <w:pPr>
              <w:pStyle w:val="TableContents"/>
              <w:bidi w:val="0"/>
              <w:spacing w:before="115" w:after="283"/>
              <w:jc w:val="left"/>
              <w:rPr>
                <w:spacing w:val="0"/>
              </w:rPr>
            </w:pPr>
            <w:r>
              <w:rPr>
                <w:spacing w:val="0"/>
              </w:rPr>
              <w:t> </w:t>
            </w:r>
          </w:p>
        </w:tc>
        <w:tc>
          <w:tcPr>
            <w:tcW w:w="140" w:type="dxa"/>
            <w:tcBorders/>
            <w:vAlign w:val="center"/>
          </w:tcPr>
          <w:p>
            <w:pPr>
              <w:pStyle w:val="TableContents"/>
              <w:bidi w:val="0"/>
              <w:spacing w:before="115" w:after="283"/>
              <w:jc w:val="left"/>
              <w:rPr>
                <w:spacing w:val="0"/>
              </w:rPr>
            </w:pPr>
            <w:r>
              <w:rPr>
                <w:spacing w:val="0"/>
              </w:rPr>
              <w:t> </w:t>
            </w:r>
          </w:p>
        </w:tc>
        <w:tc>
          <w:tcPr>
            <w:tcW w:w="980" w:type="dxa"/>
            <w:tcBorders/>
            <w:vAlign w:val="center"/>
          </w:tcPr>
          <w:p>
            <w:pPr>
              <w:pStyle w:val="TableContents"/>
              <w:bidi w:val="0"/>
              <w:spacing w:before="115" w:after="283"/>
              <w:jc w:val="right"/>
              <w:rPr>
                <w:spacing w:val="0"/>
              </w:rPr>
            </w:pPr>
            <w:r>
              <w:rPr>
                <w:spacing w:val="0"/>
              </w:rPr>
              <w:t> </w:t>
            </w:r>
          </w:p>
        </w:tc>
        <w:tc>
          <w:tcPr>
            <w:tcW w:w="60" w:type="dxa"/>
            <w:tcBorders/>
            <w:vAlign w:val="center"/>
          </w:tcPr>
          <w:p>
            <w:pPr>
              <w:pStyle w:val="TableContents"/>
              <w:bidi w:val="0"/>
              <w:spacing w:before="115" w:after="283"/>
              <w:jc w:val="left"/>
              <w:rPr>
                <w:spacing w:val="0"/>
              </w:rPr>
            </w:pPr>
            <w:r>
              <w:rPr>
                <w:spacing w:val="0"/>
              </w:rPr>
              <w:t> </w:t>
            </w:r>
          </w:p>
        </w:tc>
        <w:tc>
          <w:tcPr>
            <w:tcW w:w="120" w:type="dxa"/>
            <w:tcBorders/>
            <w:vAlign w:val="center"/>
          </w:tcPr>
          <w:p>
            <w:pPr>
              <w:pStyle w:val="TableContents"/>
              <w:bidi w:val="0"/>
              <w:spacing w:before="115" w:after="283"/>
              <w:jc w:val="left"/>
              <w:rPr>
                <w:spacing w:val="0"/>
              </w:rPr>
            </w:pPr>
            <w:r>
              <w:rPr>
                <w:spacing w:val="0"/>
              </w:rPr>
              <w:t> </w:t>
            </w:r>
          </w:p>
        </w:tc>
        <w:tc>
          <w:tcPr>
            <w:tcW w:w="173" w:type="dxa"/>
            <w:tcBorders/>
            <w:vAlign w:val="center"/>
          </w:tcPr>
          <w:p>
            <w:pPr>
              <w:pStyle w:val="TableContents"/>
              <w:bidi w:val="0"/>
              <w:spacing w:before="115" w:after="283"/>
              <w:jc w:val="left"/>
              <w:rPr>
                <w:spacing w:val="0"/>
              </w:rPr>
            </w:pPr>
            <w:r>
              <w:rPr>
                <w:spacing w:val="0"/>
              </w:rPr>
              <w:t> </w:t>
            </w:r>
          </w:p>
        </w:tc>
        <w:tc>
          <w:tcPr>
            <w:tcW w:w="1221" w:type="dxa"/>
            <w:tcBorders/>
            <w:vAlign w:val="center"/>
          </w:tcPr>
          <w:p>
            <w:pPr>
              <w:pStyle w:val="TableContents"/>
              <w:bidi w:val="0"/>
              <w:spacing w:before="115" w:after="283"/>
              <w:jc w:val="right"/>
              <w:rPr>
                <w:spacing w:val="0"/>
              </w:rPr>
            </w:pPr>
            <w:r>
              <w:rPr>
                <w:spacing w:val="0"/>
              </w:rPr>
              <w:t> </w:t>
            </w:r>
          </w:p>
        </w:tc>
        <w:tc>
          <w:tcPr>
            <w:tcW w:w="172" w:type="dxa"/>
            <w:tcBorders/>
            <w:vAlign w:val="center"/>
          </w:tcPr>
          <w:p>
            <w:pPr>
              <w:pStyle w:val="TableContents"/>
              <w:bidi w:val="0"/>
              <w:spacing w:before="115" w:after="283"/>
              <w:jc w:val="left"/>
              <w:rPr>
                <w:spacing w:val="0"/>
              </w:rPr>
            </w:pPr>
            <w:r>
              <w:rPr>
                <w:spacing w:val="0"/>
              </w:rPr>
              <w:t> </w:t>
            </w:r>
          </w:p>
        </w:tc>
      </w:tr>
      <w:tr>
        <w:trPr/>
        <w:tc>
          <w:tcPr>
            <w:tcW w:w="72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Term debt, long term</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391,988</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Equipment financing, long-term</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17,514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21,317</w:t>
            </w:r>
          </w:p>
        </w:tc>
        <w:tc>
          <w:tcPr>
            <w:tcW w:w="172" w:type="dxa"/>
            <w:tcBorders/>
            <w:shd w:fill="CCEEFF" w:val="cle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 liabilities, long-term</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43,181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36,559</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 receivable agreement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240,677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long-term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15,484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18,344</w:t>
            </w:r>
          </w:p>
        </w:tc>
        <w:tc>
          <w:tcPr>
            <w:tcW w:w="172"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1,278,501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1,361,047</w:t>
            </w:r>
          </w:p>
        </w:tc>
        <w:tc>
          <w:tcPr>
            <w:tcW w:w="172" w:type="dxa"/>
            <w:tcBorders/>
            <w:shd w:fill="CCEEFF" w:val="cle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115" w:after="0"/>
              <w:jc w:val="left"/>
              <w:rPr>
                <w:spacing w:val="0"/>
              </w:rPr>
            </w:pPr>
            <w:r>
              <w:rPr>
                <w:spacing w:val="0"/>
              </w:rPr>
              <w:t> </w:t>
            </w:r>
          </w:p>
        </w:tc>
        <w:tc>
          <w:tcPr>
            <w:tcW w:w="120" w:type="dxa"/>
            <w:tcBorders/>
            <w:vAlign w:val="center"/>
          </w:tcPr>
          <w:p>
            <w:pPr>
              <w:pStyle w:val="TableContents"/>
              <w:bidi w:val="0"/>
              <w:spacing w:before="115" w:after="283"/>
              <w:jc w:val="left"/>
              <w:rPr>
                <w:spacing w:val="0"/>
              </w:rPr>
            </w:pPr>
            <w:r>
              <w:rPr>
                <w:spacing w:val="0"/>
              </w:rPr>
              <w:t> </w:t>
            </w:r>
          </w:p>
        </w:tc>
        <w:tc>
          <w:tcPr>
            <w:tcW w:w="140" w:type="dxa"/>
            <w:tcBorders/>
            <w:vAlign w:val="center"/>
          </w:tcPr>
          <w:p>
            <w:pPr>
              <w:pStyle w:val="TableContents"/>
              <w:bidi w:val="0"/>
              <w:spacing w:before="115" w:after="283"/>
              <w:jc w:val="left"/>
              <w:rPr>
                <w:spacing w:val="0"/>
              </w:rPr>
            </w:pPr>
            <w:r>
              <w:rPr>
                <w:spacing w:val="0"/>
              </w:rPr>
              <w:t> </w:t>
            </w:r>
          </w:p>
        </w:tc>
        <w:tc>
          <w:tcPr>
            <w:tcW w:w="980" w:type="dxa"/>
            <w:tcBorders/>
            <w:vAlign w:val="center"/>
          </w:tcPr>
          <w:p>
            <w:pPr>
              <w:pStyle w:val="TableContents"/>
              <w:bidi w:val="0"/>
              <w:spacing w:before="115" w:after="283"/>
              <w:jc w:val="right"/>
              <w:rPr>
                <w:spacing w:val="0"/>
              </w:rPr>
            </w:pPr>
            <w:r>
              <w:rPr>
                <w:spacing w:val="0"/>
              </w:rPr>
              <w:t> </w:t>
            </w:r>
          </w:p>
        </w:tc>
        <w:tc>
          <w:tcPr>
            <w:tcW w:w="60" w:type="dxa"/>
            <w:tcBorders/>
            <w:vAlign w:val="center"/>
          </w:tcPr>
          <w:p>
            <w:pPr>
              <w:pStyle w:val="TableContents"/>
              <w:bidi w:val="0"/>
              <w:spacing w:before="115" w:after="283"/>
              <w:jc w:val="left"/>
              <w:rPr>
                <w:spacing w:val="0"/>
              </w:rPr>
            </w:pPr>
            <w:r>
              <w:rPr>
                <w:spacing w:val="0"/>
              </w:rPr>
              <w:t> </w:t>
            </w:r>
          </w:p>
        </w:tc>
        <w:tc>
          <w:tcPr>
            <w:tcW w:w="120" w:type="dxa"/>
            <w:tcBorders/>
            <w:vAlign w:val="center"/>
          </w:tcPr>
          <w:p>
            <w:pPr>
              <w:pStyle w:val="TableContents"/>
              <w:bidi w:val="0"/>
              <w:spacing w:before="115" w:after="283"/>
              <w:jc w:val="left"/>
              <w:rPr>
                <w:spacing w:val="0"/>
              </w:rPr>
            </w:pPr>
            <w:r>
              <w:rPr>
                <w:spacing w:val="0"/>
              </w:rPr>
              <w:t> </w:t>
            </w:r>
          </w:p>
        </w:tc>
        <w:tc>
          <w:tcPr>
            <w:tcW w:w="173" w:type="dxa"/>
            <w:tcBorders/>
            <w:vAlign w:val="center"/>
          </w:tcPr>
          <w:p>
            <w:pPr>
              <w:pStyle w:val="TableContents"/>
              <w:bidi w:val="0"/>
              <w:spacing w:before="115" w:after="283"/>
              <w:jc w:val="left"/>
              <w:rPr>
                <w:spacing w:val="0"/>
              </w:rPr>
            </w:pPr>
            <w:r>
              <w:rPr>
                <w:spacing w:val="0"/>
              </w:rPr>
              <w:t> </w:t>
            </w:r>
          </w:p>
        </w:tc>
        <w:tc>
          <w:tcPr>
            <w:tcW w:w="1221" w:type="dxa"/>
            <w:tcBorders/>
            <w:vAlign w:val="center"/>
          </w:tcPr>
          <w:p>
            <w:pPr>
              <w:pStyle w:val="TableContents"/>
              <w:bidi w:val="0"/>
              <w:spacing w:before="115" w:after="283"/>
              <w:jc w:val="left"/>
              <w:rPr>
                <w:spacing w:val="0"/>
              </w:rPr>
            </w:pPr>
            <w:r>
              <w:rPr>
                <w:spacing w:val="0"/>
              </w:rPr>
              <w:t> </w:t>
            </w:r>
          </w:p>
        </w:tc>
        <w:tc>
          <w:tcPr>
            <w:tcW w:w="172" w:type="dxa"/>
            <w:tcBorders/>
            <w:vAlign w:val="center"/>
          </w:tcPr>
          <w:p>
            <w:pPr>
              <w:pStyle w:val="TableContents"/>
              <w:bidi w:val="0"/>
              <w:spacing w:before="115" w:after="283"/>
              <w:jc w:val="left"/>
              <w:rPr>
                <w:spacing w:val="0"/>
              </w:rPr>
            </w:pPr>
            <w:r>
              <w:rPr>
                <w:spacing w:val="0"/>
              </w:rPr>
              <w:t> </w:t>
            </w:r>
          </w:p>
        </w:tc>
      </w:tr>
      <w:tr>
        <w:trPr/>
        <w:tc>
          <w:tcPr>
            <w:tcW w:w="72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Contingencies—See Note 12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219" w:type="dxa"/>
            <w:tcBorders/>
            <w:vAlign w:val="center"/>
          </w:tcPr>
          <w:p>
            <w:pPr>
              <w:pStyle w:val="TableContents"/>
              <w:bidi w:val="0"/>
              <w:spacing w:before="115" w:after="0"/>
              <w:jc w:val="left"/>
              <w:rPr>
                <w:spacing w:val="0"/>
              </w:rPr>
            </w:pPr>
            <w:r>
              <w:rPr>
                <w:spacing w:val="0"/>
              </w:rPr>
              <w:t> </w:t>
            </w:r>
          </w:p>
        </w:tc>
        <w:tc>
          <w:tcPr>
            <w:tcW w:w="120" w:type="dxa"/>
            <w:tcBorders/>
            <w:vAlign w:val="center"/>
          </w:tcPr>
          <w:p>
            <w:pPr>
              <w:pStyle w:val="TableContents"/>
              <w:bidi w:val="0"/>
              <w:spacing w:before="115" w:after="283"/>
              <w:jc w:val="left"/>
              <w:rPr>
                <w:spacing w:val="0"/>
              </w:rPr>
            </w:pPr>
            <w:r>
              <w:rPr>
                <w:spacing w:val="0"/>
              </w:rPr>
              <w:t> </w:t>
            </w:r>
          </w:p>
        </w:tc>
        <w:tc>
          <w:tcPr>
            <w:tcW w:w="140" w:type="dxa"/>
            <w:tcBorders/>
            <w:vAlign w:val="center"/>
          </w:tcPr>
          <w:p>
            <w:pPr>
              <w:pStyle w:val="TableContents"/>
              <w:bidi w:val="0"/>
              <w:spacing w:before="115" w:after="283"/>
              <w:jc w:val="left"/>
              <w:rPr>
                <w:spacing w:val="0"/>
              </w:rPr>
            </w:pPr>
            <w:r>
              <w:rPr>
                <w:spacing w:val="0"/>
              </w:rPr>
              <w:t> </w:t>
            </w:r>
          </w:p>
        </w:tc>
        <w:tc>
          <w:tcPr>
            <w:tcW w:w="980" w:type="dxa"/>
            <w:tcBorders/>
            <w:vAlign w:val="center"/>
          </w:tcPr>
          <w:p>
            <w:pPr>
              <w:pStyle w:val="TableContents"/>
              <w:bidi w:val="0"/>
              <w:spacing w:before="115" w:after="283"/>
              <w:jc w:val="right"/>
              <w:rPr>
                <w:spacing w:val="0"/>
              </w:rPr>
            </w:pPr>
            <w:r>
              <w:rPr>
                <w:spacing w:val="0"/>
              </w:rPr>
              <w:t> </w:t>
            </w:r>
          </w:p>
        </w:tc>
        <w:tc>
          <w:tcPr>
            <w:tcW w:w="60" w:type="dxa"/>
            <w:tcBorders/>
            <w:vAlign w:val="center"/>
          </w:tcPr>
          <w:p>
            <w:pPr>
              <w:pStyle w:val="TableContents"/>
              <w:bidi w:val="0"/>
              <w:spacing w:before="115" w:after="283"/>
              <w:jc w:val="left"/>
              <w:rPr>
                <w:spacing w:val="0"/>
              </w:rPr>
            </w:pPr>
            <w:r>
              <w:rPr>
                <w:spacing w:val="0"/>
              </w:rPr>
              <w:t> </w:t>
            </w:r>
          </w:p>
        </w:tc>
        <w:tc>
          <w:tcPr>
            <w:tcW w:w="120" w:type="dxa"/>
            <w:tcBorders/>
            <w:vAlign w:val="center"/>
          </w:tcPr>
          <w:p>
            <w:pPr>
              <w:pStyle w:val="TableContents"/>
              <w:bidi w:val="0"/>
              <w:spacing w:before="115" w:after="283"/>
              <w:jc w:val="left"/>
              <w:rPr>
                <w:spacing w:val="0"/>
              </w:rPr>
            </w:pPr>
            <w:r>
              <w:rPr>
                <w:spacing w:val="0"/>
              </w:rPr>
              <w:t> </w:t>
            </w:r>
          </w:p>
        </w:tc>
        <w:tc>
          <w:tcPr>
            <w:tcW w:w="173" w:type="dxa"/>
            <w:tcBorders/>
            <w:vAlign w:val="center"/>
          </w:tcPr>
          <w:p>
            <w:pPr>
              <w:pStyle w:val="TableContents"/>
              <w:bidi w:val="0"/>
              <w:spacing w:before="115" w:after="283"/>
              <w:jc w:val="left"/>
              <w:rPr>
                <w:spacing w:val="0"/>
              </w:rPr>
            </w:pPr>
            <w:r>
              <w:rPr>
                <w:spacing w:val="0"/>
              </w:rPr>
              <w:t> </w:t>
            </w:r>
          </w:p>
        </w:tc>
        <w:tc>
          <w:tcPr>
            <w:tcW w:w="1221" w:type="dxa"/>
            <w:tcBorders/>
            <w:vAlign w:val="center"/>
          </w:tcPr>
          <w:p>
            <w:pPr>
              <w:pStyle w:val="TableContents"/>
              <w:bidi w:val="0"/>
              <w:spacing w:before="115" w:after="283"/>
              <w:jc w:val="left"/>
              <w:rPr>
                <w:spacing w:val="0"/>
              </w:rPr>
            </w:pPr>
            <w:r>
              <w:rPr>
                <w:spacing w:val="0"/>
              </w:rPr>
              <w:t> </w:t>
            </w:r>
          </w:p>
        </w:tc>
        <w:tc>
          <w:tcPr>
            <w:tcW w:w="172" w:type="dxa"/>
            <w:tcBorders/>
            <w:vAlign w:val="center"/>
          </w:tcPr>
          <w:p>
            <w:pPr>
              <w:pStyle w:val="TableContents"/>
              <w:bidi w:val="0"/>
              <w:spacing w:before="115" w:after="283"/>
              <w:jc w:val="left"/>
              <w:rPr>
                <w:spacing w:val="0"/>
              </w:rPr>
            </w:pPr>
            <w:r>
              <w:rPr>
                <w:spacing w:val="0"/>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Member’s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221"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2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member’s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550,334</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221"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2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Class A common stock, $0.0001 par value; 1,250,000,000 shares authorized, 123,745,401 shares issued and outstanding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Class B common stock, $0.0001 par value; 100,000,000 shares authorized, 78,646,225 shares issued and outstanding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483,148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Retained earnings (accumulated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(98,139</w:t>
            </w:r>
          </w:p>
        </w:tc>
        <w:tc>
          <w:tcPr>
            <w:tcW w:w="172" w:type="dxa"/>
            <w:tcBorders/>
            <w:shd w:fill="CCEEFF" w:val="cle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equity to SOLV Energy, Inc.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496,781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(98,139</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354,394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3,030</w:t>
            </w:r>
          </w:p>
        </w:tc>
        <w:tc>
          <w:tcPr>
            <w:tcW w:w="172" w:type="dxa"/>
            <w:tcBorders/>
            <w:shd w:fill="CCEEFF" w:val="cle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members’/stockholders’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851,175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455,225</w:t>
            </w:r>
          </w:p>
        </w:tc>
        <w:tc>
          <w:tcPr>
            <w:tcW w:w="172"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21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and stockholders’/member’s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2,129,676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0"/>
              <w:jc w:val="left"/>
              <w:rPr>
                <w:b/>
                <w:spacing w:val="0"/>
              </w:rPr>
            </w:pPr>
            <w:r>
              <w:rPr>
                <w:b/>
                <w:spacing w:val="0"/>
              </w:rPr>
              <w:t>$</w:t>
            </w:r>
          </w:p>
        </w:tc>
        <w:tc>
          <w:tcPr>
            <w:tcW w:w="1221" w:type="dxa"/>
            <w:tcBorders/>
            <w:shd w:fill="CCEEFF" w:val="clear"/>
            <w:vAlign w:val="center"/>
          </w:tcPr>
          <w:p>
            <w:pPr>
              <w:pStyle w:val="TableContents"/>
              <w:bidi w:val="0"/>
              <w:spacing w:before="0" w:after="0"/>
              <w:jc w:val="right"/>
              <w:rPr>
                <w:b/>
                <w:spacing w:val="0"/>
              </w:rPr>
            </w:pPr>
            <w:r>
              <w:rPr>
                <w:b/>
                <w:spacing w:val="0"/>
              </w:rPr>
              <w:t>1,816,272</w:t>
            </w:r>
          </w:p>
        </w:tc>
        <w:tc>
          <w:tcPr>
            <w:tcW w:w="172" w:type="dxa"/>
            <w:tcBorders/>
            <w:shd w:fill="CCEEFF" w:val="clear"/>
            <w:vAlign w:val="center"/>
          </w:tcPr>
          <w:p>
            <w:pPr>
              <w:pStyle w:val="TableContents"/>
              <w:bidi w:val="0"/>
              <w:spacing w:before="0" w:after="0"/>
              <w:jc w:val="left"/>
              <w:rPr>
                <w:spacing w:val="0"/>
              </w:rPr>
            </w:pPr>
            <w:r>
              <w:rPr>
                <w:spacing w:val="0"/>
              </w:rPr>
              <w:t> </w:t>
            </w:r>
          </w:p>
        </w:tc>
      </w:tr>
      <w:tr>
        <w:trPr/>
        <w:tc>
          <w:tcPr>
            <w:tcW w:w="72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unaudited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Operations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608"/>
        <w:gridCol w:w="120"/>
        <w:gridCol w:w="175"/>
        <w:gridCol w:w="1539"/>
        <w:gridCol w:w="119"/>
        <w:gridCol w:w="74"/>
        <w:gridCol w:w="175"/>
        <w:gridCol w:w="1012"/>
        <w:gridCol w:w="155"/>
        <w:gridCol w:w="60"/>
        <w:gridCol w:w="227"/>
        <w:gridCol w:w="1985"/>
        <w:gridCol w:w="154"/>
        <w:gridCol w:w="97"/>
        <w:gridCol w:w="227"/>
        <w:gridCol w:w="1305"/>
        <w:gridCol w:w="173"/>
      </w:tblGrid>
      <w:tr>
        <w:trPr/>
        <w:tc>
          <w:tcPr>
            <w:tcW w:w="2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608"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094" w:type="dxa"/>
            <w:gridSpan w:val="6"/>
            <w:tcBorders/>
            <w:vAlign w:val="center"/>
          </w:tcPr>
          <w:p>
            <w:pPr>
              <w:pStyle w:val="TableContents"/>
              <w:bidi w:val="0"/>
              <w:spacing w:before="0" w:after="0"/>
              <w:jc w:val="center"/>
              <w:rPr>
                <w:b/>
                <w:spacing w:val="0"/>
              </w:rPr>
            </w:pPr>
            <w:r>
              <w:rPr>
                <w:b/>
                <w:spacing w:val="0"/>
              </w:rPr>
              <w:t>Three Months Ended June 30,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995" w:type="dxa"/>
            <w:gridSpan w:val="6"/>
            <w:tcBorders/>
            <w:vAlign w:val="center"/>
          </w:tcPr>
          <w:p>
            <w:pPr>
              <w:pStyle w:val="TableContents"/>
              <w:bidi w:val="0"/>
              <w:spacing w:before="0" w:after="0"/>
              <w:jc w:val="center"/>
              <w:rPr>
                <w:b/>
                <w:spacing w:val="0"/>
              </w:rPr>
            </w:pPr>
            <w:r>
              <w:rPr>
                <w:b/>
                <w:spacing w:val="0"/>
              </w:rPr>
              <w:t>Six Months Ended June 30,</w:t>
            </w:r>
          </w:p>
        </w:tc>
        <w:tc>
          <w:tcPr>
            <w:tcW w:w="173" w:type="dxa"/>
            <w:tcBorders/>
            <w:vAlign w:val="center"/>
          </w:tcPr>
          <w:p>
            <w:pPr>
              <w:pStyle w:val="TableContents"/>
              <w:bidi w:val="0"/>
              <w:spacing w:before="0" w:after="0"/>
              <w:jc w:val="left"/>
              <w:rPr>
                <w:spacing w:val="0"/>
              </w:rPr>
            </w:pPr>
            <w:r>
              <w:rPr>
                <w:spacing w:val="0"/>
              </w:rPr>
              <w:t> </w:t>
            </w:r>
          </w:p>
        </w:tc>
      </w:tr>
      <w:tr>
        <w:trPr/>
        <w:tc>
          <w:tcPr>
            <w:tcW w:w="2608"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714" w:type="dxa"/>
            <w:gridSpan w:val="2"/>
            <w:tcBorders/>
            <w:vAlign w:val="center"/>
          </w:tcPr>
          <w:p>
            <w:pPr>
              <w:pStyle w:val="TableContents"/>
              <w:bidi w:val="0"/>
              <w:spacing w:before="0" w:after="0"/>
              <w:jc w:val="center"/>
              <w:rPr>
                <w:b/>
                <w:spacing w:val="0"/>
              </w:rPr>
            </w:pPr>
            <w:r>
              <w:rPr>
                <w:b/>
                <w:spacing w:val="0"/>
              </w:rPr>
              <w:t>2026</w:t>
            </w:r>
          </w:p>
        </w:tc>
        <w:tc>
          <w:tcPr>
            <w:tcW w:w="119" w:type="dxa"/>
            <w:tcBorders/>
            <w:vAlign w:val="center"/>
          </w:tcPr>
          <w:p>
            <w:pPr>
              <w:pStyle w:val="TableContents"/>
              <w:bidi w:val="0"/>
              <w:spacing w:before="0" w:after="0"/>
              <w:jc w:val="left"/>
              <w:rPr>
                <w:spacing w:val="0"/>
              </w:rPr>
            </w:pPr>
            <w:r>
              <w:rPr>
                <w:spacing w:val="0"/>
              </w:rPr>
              <w:t> </w:t>
            </w:r>
          </w:p>
        </w:tc>
        <w:tc>
          <w:tcPr>
            <w:tcW w:w="74" w:type="dxa"/>
            <w:tcBorders/>
            <w:vAlign w:val="center"/>
          </w:tcPr>
          <w:p>
            <w:pPr>
              <w:pStyle w:val="TableContents"/>
              <w:bidi w:val="0"/>
              <w:spacing w:before="0" w:after="0"/>
              <w:jc w:val="left"/>
              <w:rPr>
                <w:spacing w:val="0"/>
              </w:rPr>
            </w:pPr>
            <w:r>
              <w:rPr>
                <w:spacing w:val="0"/>
              </w:rPr>
              <w:t> </w:t>
            </w:r>
          </w:p>
        </w:tc>
        <w:tc>
          <w:tcPr>
            <w:tcW w:w="1187"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12" w:type="dxa"/>
            <w:gridSpan w:val="2"/>
            <w:tcBorders/>
            <w:vAlign w:val="center"/>
          </w:tcPr>
          <w:p>
            <w:pPr>
              <w:pStyle w:val="TableContents"/>
              <w:bidi w:val="0"/>
              <w:spacing w:before="0" w:after="0"/>
              <w:jc w:val="center"/>
              <w:rPr>
                <w:b/>
                <w:spacing w:val="0"/>
              </w:rPr>
            </w:pPr>
            <w:r>
              <w:rPr>
                <w:b/>
                <w:spacing w:val="0"/>
              </w:rPr>
              <w:t>2026</w:t>
            </w:r>
          </w:p>
        </w:tc>
        <w:tc>
          <w:tcPr>
            <w:tcW w:w="154" w:type="dxa"/>
            <w:tcBorders/>
            <w:vAlign w:val="center"/>
          </w:tcPr>
          <w:p>
            <w:pPr>
              <w:pStyle w:val="TableContents"/>
              <w:bidi w:val="0"/>
              <w:spacing w:before="0" w:after="0"/>
              <w:jc w:val="left"/>
              <w:rPr>
                <w:spacing w:val="0"/>
              </w:rPr>
            </w:pPr>
            <w:r>
              <w:rPr>
                <w:spacing w:val="0"/>
              </w:rPr>
              <w:t> </w:t>
            </w:r>
          </w:p>
        </w:tc>
        <w:tc>
          <w:tcPr>
            <w:tcW w:w="97" w:type="dxa"/>
            <w:tcBorders/>
            <w:vAlign w:val="center"/>
          </w:tcPr>
          <w:p>
            <w:pPr>
              <w:pStyle w:val="TableContents"/>
              <w:bidi w:val="0"/>
              <w:spacing w:before="0" w:after="0"/>
              <w:jc w:val="left"/>
              <w:rPr>
                <w:spacing w:val="0"/>
              </w:rPr>
            </w:pPr>
            <w:r>
              <w:rPr>
                <w:spacing w:val="0"/>
              </w:rPr>
              <w:t> </w:t>
            </w:r>
          </w:p>
        </w:tc>
        <w:tc>
          <w:tcPr>
            <w:tcW w:w="1532" w:type="dxa"/>
            <w:gridSpan w:val="2"/>
            <w:tcBorders/>
            <w:vAlign w:val="center"/>
          </w:tcPr>
          <w:p>
            <w:pPr>
              <w:pStyle w:val="TableContents"/>
              <w:bidi w:val="0"/>
              <w:spacing w:before="0" w:after="0"/>
              <w:jc w:val="center"/>
              <w:rPr>
                <w:b/>
                <w:spacing w:val="0"/>
              </w:rPr>
            </w:pPr>
            <w:r>
              <w:rPr>
                <w:b/>
                <w:spacing w:val="0"/>
              </w:rPr>
              <w:t>2025</w:t>
            </w:r>
          </w:p>
        </w:tc>
        <w:tc>
          <w:tcPr>
            <w:tcW w:w="173" w:type="dxa"/>
            <w:tcBorders/>
            <w:vAlign w:val="center"/>
          </w:tcPr>
          <w:p>
            <w:pPr>
              <w:pStyle w:val="TableContents"/>
              <w:bidi w:val="0"/>
              <w:spacing w:before="0" w:after="0"/>
              <w:jc w:val="left"/>
              <w:rPr>
                <w:spacing w:val="0"/>
              </w:rPr>
            </w:pPr>
            <w:r>
              <w:rPr>
                <w:spacing w:val="0"/>
              </w:rPr>
              <w:t> </w:t>
            </w:r>
          </w:p>
        </w:tc>
      </w:tr>
      <w:tr>
        <w:trPr/>
        <w:tc>
          <w:tcPr>
            <w:tcW w:w="260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539" w:type="dxa"/>
            <w:tcBorders/>
            <w:shd w:fill="CCEEFF" w:val="clear"/>
            <w:vAlign w:val="center"/>
          </w:tcPr>
          <w:p>
            <w:pPr>
              <w:pStyle w:val="TableContents"/>
              <w:bidi w:val="0"/>
              <w:spacing w:before="0" w:after="283"/>
              <w:jc w:val="right"/>
              <w:rPr/>
            </w:pPr>
            <w:r>
              <w:rPr/>
              <w:t>951,243</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0"/>
              <w:jc w:val="left"/>
              <w:rPr/>
            </w:pPr>
            <w:r>
              <w:rPr/>
              <w:t>$</w:t>
            </w:r>
          </w:p>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jc w:val="right"/>
              <w:rPr/>
            </w:pPr>
            <w:r>
              <w:rPr/>
              <w:t>535,952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1,628,048</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305" w:type="dxa"/>
            <w:tcBorders/>
            <w:shd w:fill="CCEEFF" w:val="clear"/>
            <w:vAlign w:val="center"/>
          </w:tcPr>
          <w:p>
            <w:pPr>
              <w:pStyle w:val="TableContents"/>
              <w:bidi w:val="0"/>
              <w:spacing w:before="0" w:after="283"/>
              <w:jc w:val="right"/>
              <w:rPr/>
            </w:pPr>
            <w:r>
              <w:rPr/>
              <w:t>943,799</w:t>
            </w:r>
          </w:p>
        </w:tc>
        <w:tc>
          <w:tcPr>
            <w:tcW w:w="173" w:type="dxa"/>
            <w:tcBorders/>
            <w:shd w:fill="CCEEFF" w:val="clear"/>
            <w:vAlign w:val="center"/>
          </w:tcPr>
          <w:p>
            <w:pPr>
              <w:pStyle w:val="TableContents"/>
              <w:bidi w:val="0"/>
              <w:spacing w:before="0" w:after="283"/>
              <w:jc w:val="left"/>
              <w:rPr/>
            </w:pPr>
            <w:r>
              <w:rPr/>
              <w:t> </w:t>
            </w:r>
          </w:p>
        </w:tc>
      </w:tr>
      <w:tr>
        <w:trPr/>
        <w:tc>
          <w:tcPr>
            <w:tcW w:w="260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revenue</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811,630</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422,891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1,369,362</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right"/>
              <w:rPr/>
            </w:pPr>
            <w:r>
              <w:rPr/>
              <w:t>771,639</w:t>
            </w:r>
          </w:p>
        </w:tc>
        <w:tc>
          <w:tcPr>
            <w:tcW w:w="173" w:type="dxa"/>
            <w:tcBorders/>
            <w:vAlign w:val="center"/>
          </w:tcPr>
          <w:p>
            <w:pPr>
              <w:pStyle w:val="TableContents"/>
              <w:bidi w:val="0"/>
              <w:spacing w:before="0" w:after="283"/>
              <w:jc w:val="left"/>
              <w:rPr/>
            </w:pPr>
            <w:r>
              <w:rPr/>
              <w:t> </w:t>
            </w:r>
          </w:p>
        </w:tc>
      </w:tr>
      <w:tr>
        <w:trPr/>
        <w:tc>
          <w:tcPr>
            <w:tcW w:w="2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260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profit</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139,613</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113,061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258,686</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172,160</w:t>
            </w:r>
          </w:p>
        </w:tc>
        <w:tc>
          <w:tcPr>
            <w:tcW w:w="173" w:type="dxa"/>
            <w:tcBorders/>
            <w:shd w:fill="CCEEFF" w:val="clear"/>
            <w:vAlign w:val="center"/>
          </w:tcPr>
          <w:p>
            <w:pPr>
              <w:pStyle w:val="TableContents"/>
              <w:bidi w:val="0"/>
              <w:spacing w:before="0" w:after="283"/>
              <w:jc w:val="left"/>
              <w:rPr/>
            </w:pPr>
            <w:r>
              <w:rPr/>
              <w:t> </w:t>
            </w:r>
          </w:p>
        </w:tc>
      </w:tr>
      <w:tr>
        <w:trPr/>
        <w:tc>
          <w:tcPr>
            <w:tcW w:w="2608" w:type="dxa"/>
            <w:tcBorders/>
            <w:vAlign w:val="center"/>
          </w:tcPr>
          <w:p>
            <w:pPr>
              <w:pStyle w:val="TableContents"/>
              <w:bidi w:val="0"/>
              <w:spacing w:before="115" w:after="0"/>
              <w:jc w:val="left"/>
              <w:rPr>
                <w:spacing w:val="0"/>
              </w:rPr>
            </w:pPr>
            <w:r>
              <w:rPr>
                <w:spacing w:val="0"/>
              </w:rPr>
              <w:t> </w:t>
            </w:r>
          </w:p>
        </w:tc>
        <w:tc>
          <w:tcPr>
            <w:tcW w:w="120" w:type="dxa"/>
            <w:tcBorders/>
            <w:vAlign w:val="center"/>
          </w:tcPr>
          <w:p>
            <w:pPr>
              <w:pStyle w:val="TableContents"/>
              <w:bidi w:val="0"/>
              <w:spacing w:before="115" w:after="283"/>
              <w:jc w:val="left"/>
              <w:rPr>
                <w:spacing w:val="0"/>
              </w:rPr>
            </w:pPr>
            <w:r>
              <w:rPr>
                <w:spacing w:val="0"/>
              </w:rPr>
              <w:t> </w:t>
            </w:r>
          </w:p>
        </w:tc>
        <w:tc>
          <w:tcPr>
            <w:tcW w:w="175" w:type="dxa"/>
            <w:tcBorders/>
            <w:vAlign w:val="center"/>
          </w:tcPr>
          <w:p>
            <w:pPr>
              <w:pStyle w:val="TableContents"/>
              <w:bidi w:val="0"/>
              <w:spacing w:before="115" w:after="283"/>
              <w:jc w:val="left"/>
              <w:rPr>
                <w:spacing w:val="0"/>
              </w:rPr>
            </w:pPr>
            <w:r>
              <w:rPr>
                <w:spacing w:val="0"/>
              </w:rPr>
              <w:t> </w:t>
            </w:r>
          </w:p>
        </w:tc>
        <w:tc>
          <w:tcPr>
            <w:tcW w:w="1539" w:type="dxa"/>
            <w:tcBorders/>
            <w:vAlign w:val="center"/>
          </w:tcPr>
          <w:p>
            <w:pPr>
              <w:pStyle w:val="TableContents"/>
              <w:bidi w:val="0"/>
              <w:spacing w:before="115" w:after="283"/>
              <w:jc w:val="right"/>
              <w:rPr>
                <w:spacing w:val="0"/>
              </w:rPr>
            </w:pPr>
            <w:r>
              <w:rPr>
                <w:spacing w:val="0"/>
              </w:rPr>
              <w:t> </w:t>
            </w:r>
          </w:p>
        </w:tc>
        <w:tc>
          <w:tcPr>
            <w:tcW w:w="119" w:type="dxa"/>
            <w:tcBorders/>
            <w:vAlign w:val="center"/>
          </w:tcPr>
          <w:p>
            <w:pPr>
              <w:pStyle w:val="TableContents"/>
              <w:bidi w:val="0"/>
              <w:spacing w:before="115" w:after="283"/>
              <w:jc w:val="left"/>
              <w:rPr>
                <w:spacing w:val="0"/>
              </w:rPr>
            </w:pPr>
            <w:r>
              <w:rPr>
                <w:spacing w:val="0"/>
              </w:rPr>
              <w:t> </w:t>
            </w:r>
          </w:p>
        </w:tc>
        <w:tc>
          <w:tcPr>
            <w:tcW w:w="74" w:type="dxa"/>
            <w:tcBorders/>
            <w:vAlign w:val="center"/>
          </w:tcPr>
          <w:p>
            <w:pPr>
              <w:pStyle w:val="TableContents"/>
              <w:bidi w:val="0"/>
              <w:spacing w:before="115" w:after="283"/>
              <w:jc w:val="left"/>
              <w:rPr>
                <w:spacing w:val="0"/>
              </w:rPr>
            </w:pPr>
            <w:r>
              <w:rPr>
                <w:spacing w:val="0"/>
              </w:rPr>
              <w:t> </w:t>
            </w:r>
          </w:p>
        </w:tc>
        <w:tc>
          <w:tcPr>
            <w:tcW w:w="175" w:type="dxa"/>
            <w:tcBorders/>
            <w:vAlign w:val="center"/>
          </w:tcPr>
          <w:p>
            <w:pPr>
              <w:pStyle w:val="TableContents"/>
              <w:bidi w:val="0"/>
              <w:spacing w:before="115" w:after="283"/>
              <w:jc w:val="left"/>
              <w:rPr>
                <w:spacing w:val="0"/>
              </w:rPr>
            </w:pPr>
            <w:r>
              <w:rPr>
                <w:spacing w:val="0"/>
              </w:rPr>
              <w:t> </w:t>
            </w:r>
          </w:p>
        </w:tc>
        <w:tc>
          <w:tcPr>
            <w:tcW w:w="1012" w:type="dxa"/>
            <w:tcBorders/>
            <w:vAlign w:val="center"/>
          </w:tcPr>
          <w:p>
            <w:pPr>
              <w:pStyle w:val="TableContents"/>
              <w:bidi w:val="0"/>
              <w:spacing w:before="115" w:after="283"/>
              <w:jc w:val="right"/>
              <w:rPr>
                <w:spacing w:val="0"/>
              </w:rPr>
            </w:pPr>
            <w:r>
              <w:rPr>
                <w:spacing w:val="0"/>
              </w:rPr>
              <w:t> </w:t>
            </w:r>
          </w:p>
        </w:tc>
        <w:tc>
          <w:tcPr>
            <w:tcW w:w="155" w:type="dxa"/>
            <w:tcBorders/>
            <w:vAlign w:val="center"/>
          </w:tcPr>
          <w:p>
            <w:pPr>
              <w:pStyle w:val="TableContents"/>
              <w:bidi w:val="0"/>
              <w:spacing w:before="115" w:after="283"/>
              <w:jc w:val="left"/>
              <w:rPr>
                <w:spacing w:val="0"/>
              </w:rPr>
            </w:pPr>
            <w:r>
              <w:rPr>
                <w:spacing w:val="0"/>
              </w:rPr>
              <w:t> </w:t>
            </w:r>
          </w:p>
        </w:tc>
        <w:tc>
          <w:tcPr>
            <w:tcW w:w="60" w:type="dxa"/>
            <w:tcBorders/>
            <w:vAlign w:val="center"/>
          </w:tcPr>
          <w:p>
            <w:pPr>
              <w:pStyle w:val="TableContents"/>
              <w:bidi w:val="0"/>
              <w:spacing w:before="115" w:after="283"/>
              <w:jc w:val="left"/>
              <w:rPr>
                <w:spacing w:val="0"/>
              </w:rPr>
            </w:pPr>
            <w:r>
              <w:rPr>
                <w:spacing w:val="0"/>
              </w:rPr>
              <w:t> </w:t>
            </w:r>
          </w:p>
        </w:tc>
        <w:tc>
          <w:tcPr>
            <w:tcW w:w="227" w:type="dxa"/>
            <w:tcBorders/>
            <w:vAlign w:val="center"/>
          </w:tcPr>
          <w:p>
            <w:pPr>
              <w:pStyle w:val="TableContents"/>
              <w:bidi w:val="0"/>
              <w:spacing w:before="115" w:after="283"/>
              <w:jc w:val="left"/>
              <w:rPr>
                <w:spacing w:val="0"/>
              </w:rPr>
            </w:pPr>
            <w:r>
              <w:rPr>
                <w:spacing w:val="0"/>
              </w:rPr>
              <w:t> </w:t>
            </w:r>
          </w:p>
        </w:tc>
        <w:tc>
          <w:tcPr>
            <w:tcW w:w="1985" w:type="dxa"/>
            <w:tcBorders/>
            <w:vAlign w:val="center"/>
          </w:tcPr>
          <w:p>
            <w:pPr>
              <w:pStyle w:val="TableContents"/>
              <w:bidi w:val="0"/>
              <w:spacing w:before="115" w:after="283"/>
              <w:jc w:val="right"/>
              <w:rPr>
                <w:spacing w:val="0"/>
              </w:rPr>
            </w:pPr>
            <w:r>
              <w:rPr>
                <w:spacing w:val="0"/>
              </w:rPr>
              <w:t> </w:t>
            </w:r>
          </w:p>
        </w:tc>
        <w:tc>
          <w:tcPr>
            <w:tcW w:w="154" w:type="dxa"/>
            <w:tcBorders/>
            <w:vAlign w:val="center"/>
          </w:tcPr>
          <w:p>
            <w:pPr>
              <w:pStyle w:val="TableContents"/>
              <w:bidi w:val="0"/>
              <w:spacing w:before="115" w:after="283"/>
              <w:jc w:val="left"/>
              <w:rPr>
                <w:spacing w:val="0"/>
              </w:rPr>
            </w:pPr>
            <w:r>
              <w:rPr>
                <w:spacing w:val="0"/>
              </w:rPr>
              <w:t> </w:t>
            </w:r>
          </w:p>
        </w:tc>
        <w:tc>
          <w:tcPr>
            <w:tcW w:w="97" w:type="dxa"/>
            <w:tcBorders/>
            <w:vAlign w:val="center"/>
          </w:tcPr>
          <w:p>
            <w:pPr>
              <w:pStyle w:val="TableContents"/>
              <w:bidi w:val="0"/>
              <w:spacing w:before="115" w:after="283"/>
              <w:jc w:val="left"/>
              <w:rPr>
                <w:spacing w:val="0"/>
              </w:rPr>
            </w:pPr>
            <w:r>
              <w:rPr>
                <w:spacing w:val="0"/>
              </w:rPr>
              <w:t> </w:t>
            </w:r>
          </w:p>
        </w:tc>
        <w:tc>
          <w:tcPr>
            <w:tcW w:w="227" w:type="dxa"/>
            <w:tcBorders/>
            <w:vAlign w:val="center"/>
          </w:tcPr>
          <w:p>
            <w:pPr>
              <w:pStyle w:val="TableContents"/>
              <w:bidi w:val="0"/>
              <w:spacing w:before="115" w:after="283"/>
              <w:jc w:val="left"/>
              <w:rPr>
                <w:spacing w:val="0"/>
              </w:rPr>
            </w:pPr>
            <w:r>
              <w:rPr>
                <w:spacing w:val="0"/>
              </w:rPr>
              <w:t> </w:t>
            </w:r>
          </w:p>
        </w:tc>
        <w:tc>
          <w:tcPr>
            <w:tcW w:w="1305" w:type="dxa"/>
            <w:tcBorders/>
            <w:vAlign w:val="center"/>
          </w:tcPr>
          <w:p>
            <w:pPr>
              <w:pStyle w:val="TableContents"/>
              <w:bidi w:val="0"/>
              <w:spacing w:before="115" w:after="283"/>
              <w:jc w:val="right"/>
              <w:rPr>
                <w:spacing w:val="0"/>
              </w:rPr>
            </w:pPr>
            <w:r>
              <w:rPr>
                <w:spacing w:val="0"/>
              </w:rPr>
              <w:t> </w:t>
            </w:r>
          </w:p>
        </w:tc>
        <w:tc>
          <w:tcPr>
            <w:tcW w:w="173" w:type="dxa"/>
            <w:tcBorders/>
            <w:vAlign w:val="center"/>
          </w:tcPr>
          <w:p>
            <w:pPr>
              <w:pStyle w:val="TableContents"/>
              <w:bidi w:val="0"/>
              <w:spacing w:before="115" w:after="283"/>
              <w:jc w:val="left"/>
              <w:rPr>
                <w:spacing w:val="0"/>
              </w:rPr>
            </w:pPr>
            <w:r>
              <w:rPr>
                <w:spacing w:val="0"/>
              </w:rPr>
              <w:t> </w:t>
            </w:r>
          </w:p>
        </w:tc>
      </w:tr>
      <w:tr>
        <w:trPr/>
        <w:tc>
          <w:tcPr>
            <w:tcW w:w="260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52,649</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41,157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164,024</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right"/>
              <w:rPr/>
            </w:pPr>
            <w:r>
              <w:rPr/>
              <w:t>77,227</w:t>
            </w:r>
          </w:p>
        </w:tc>
        <w:tc>
          <w:tcPr>
            <w:tcW w:w="173" w:type="dxa"/>
            <w:tcBorders/>
            <w:vAlign w:val="center"/>
          </w:tcPr>
          <w:p>
            <w:pPr>
              <w:pStyle w:val="TableContents"/>
              <w:bidi w:val="0"/>
              <w:spacing w:before="0" w:after="283"/>
              <w:jc w:val="left"/>
              <w:rPr/>
            </w:pPr>
            <w:r>
              <w:rPr/>
              <w:t> </w:t>
            </w:r>
          </w:p>
        </w:tc>
      </w:tr>
      <w:tr>
        <w:trPr/>
        <w:tc>
          <w:tcPr>
            <w:tcW w:w="260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Amortization expense</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17,281</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13,768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32,160</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27,536</w:t>
            </w:r>
          </w:p>
        </w:tc>
        <w:tc>
          <w:tcPr>
            <w:tcW w:w="173" w:type="dxa"/>
            <w:tcBorders/>
            <w:shd w:fill="CCEEFF" w:val="clear"/>
            <w:vAlign w:val="center"/>
          </w:tcPr>
          <w:p>
            <w:pPr>
              <w:pStyle w:val="TableContents"/>
              <w:bidi w:val="0"/>
              <w:spacing w:before="0" w:after="283"/>
              <w:jc w:val="left"/>
              <w:rPr/>
            </w:pPr>
            <w:r>
              <w:rPr/>
              <w:t> </w:t>
            </w:r>
          </w:p>
        </w:tc>
      </w:tr>
      <w:tr>
        <w:trPr/>
        <w:tc>
          <w:tcPr>
            <w:tcW w:w="2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260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expenses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69,930</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54,925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196,184</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right"/>
              <w:rPr/>
            </w:pPr>
            <w:r>
              <w:rPr/>
              <w:t>104,763</w:t>
            </w:r>
          </w:p>
        </w:tc>
        <w:tc>
          <w:tcPr>
            <w:tcW w:w="173" w:type="dxa"/>
            <w:tcBorders/>
            <w:vAlign w:val="center"/>
          </w:tcPr>
          <w:p>
            <w:pPr>
              <w:pStyle w:val="TableContents"/>
              <w:bidi w:val="0"/>
              <w:spacing w:before="0" w:after="283"/>
              <w:jc w:val="left"/>
              <w:rPr/>
            </w:pPr>
            <w:r>
              <w:rPr/>
              <w:t> </w:t>
            </w:r>
          </w:p>
        </w:tc>
      </w:tr>
      <w:tr>
        <w:trPr/>
        <w:tc>
          <w:tcPr>
            <w:tcW w:w="2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260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income</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69,683</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58,136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62,502</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67,397</w:t>
            </w:r>
          </w:p>
        </w:tc>
        <w:tc>
          <w:tcPr>
            <w:tcW w:w="173" w:type="dxa"/>
            <w:tcBorders/>
            <w:shd w:fill="CCEEFF" w:val="clear"/>
            <w:vAlign w:val="center"/>
          </w:tcPr>
          <w:p>
            <w:pPr>
              <w:pStyle w:val="TableContents"/>
              <w:bidi w:val="0"/>
              <w:spacing w:before="0" w:after="283"/>
              <w:jc w:val="left"/>
              <w:rPr/>
            </w:pPr>
            <w:r>
              <w:rPr/>
              <w:t> </w:t>
            </w:r>
          </w:p>
        </w:tc>
      </w:tr>
      <w:tr>
        <w:trPr/>
        <w:tc>
          <w:tcPr>
            <w:tcW w:w="2608" w:type="dxa"/>
            <w:tcBorders/>
            <w:vAlign w:val="center"/>
          </w:tcPr>
          <w:p>
            <w:pPr>
              <w:pStyle w:val="TableContents"/>
              <w:bidi w:val="0"/>
              <w:spacing w:before="115" w:after="0"/>
              <w:jc w:val="left"/>
              <w:rPr>
                <w:spacing w:val="0"/>
              </w:rPr>
            </w:pPr>
            <w:r>
              <w:rPr>
                <w:spacing w:val="0"/>
              </w:rPr>
              <w:t> </w:t>
            </w:r>
          </w:p>
        </w:tc>
        <w:tc>
          <w:tcPr>
            <w:tcW w:w="120" w:type="dxa"/>
            <w:tcBorders/>
            <w:vAlign w:val="center"/>
          </w:tcPr>
          <w:p>
            <w:pPr>
              <w:pStyle w:val="TableContents"/>
              <w:bidi w:val="0"/>
              <w:spacing w:before="115" w:after="283"/>
              <w:jc w:val="left"/>
              <w:rPr>
                <w:spacing w:val="0"/>
              </w:rPr>
            </w:pPr>
            <w:r>
              <w:rPr>
                <w:spacing w:val="0"/>
              </w:rPr>
              <w:t> </w:t>
            </w:r>
          </w:p>
        </w:tc>
        <w:tc>
          <w:tcPr>
            <w:tcW w:w="175" w:type="dxa"/>
            <w:tcBorders/>
            <w:vAlign w:val="center"/>
          </w:tcPr>
          <w:p>
            <w:pPr>
              <w:pStyle w:val="TableContents"/>
              <w:bidi w:val="0"/>
              <w:spacing w:before="115" w:after="283"/>
              <w:jc w:val="left"/>
              <w:rPr>
                <w:spacing w:val="0"/>
              </w:rPr>
            </w:pPr>
            <w:r>
              <w:rPr>
                <w:spacing w:val="0"/>
              </w:rPr>
              <w:t> </w:t>
            </w:r>
          </w:p>
        </w:tc>
        <w:tc>
          <w:tcPr>
            <w:tcW w:w="1539" w:type="dxa"/>
            <w:tcBorders/>
            <w:vAlign w:val="center"/>
          </w:tcPr>
          <w:p>
            <w:pPr>
              <w:pStyle w:val="TableContents"/>
              <w:bidi w:val="0"/>
              <w:spacing w:before="115" w:after="283"/>
              <w:jc w:val="right"/>
              <w:rPr>
                <w:spacing w:val="0"/>
              </w:rPr>
            </w:pPr>
            <w:r>
              <w:rPr>
                <w:spacing w:val="0"/>
              </w:rPr>
              <w:t> </w:t>
            </w:r>
          </w:p>
        </w:tc>
        <w:tc>
          <w:tcPr>
            <w:tcW w:w="119" w:type="dxa"/>
            <w:tcBorders/>
            <w:vAlign w:val="center"/>
          </w:tcPr>
          <w:p>
            <w:pPr>
              <w:pStyle w:val="TableContents"/>
              <w:bidi w:val="0"/>
              <w:spacing w:before="115" w:after="283"/>
              <w:jc w:val="left"/>
              <w:rPr>
                <w:spacing w:val="0"/>
              </w:rPr>
            </w:pPr>
            <w:r>
              <w:rPr>
                <w:spacing w:val="0"/>
              </w:rPr>
              <w:t> </w:t>
            </w:r>
          </w:p>
        </w:tc>
        <w:tc>
          <w:tcPr>
            <w:tcW w:w="74" w:type="dxa"/>
            <w:tcBorders/>
            <w:vAlign w:val="center"/>
          </w:tcPr>
          <w:p>
            <w:pPr>
              <w:pStyle w:val="TableContents"/>
              <w:bidi w:val="0"/>
              <w:spacing w:before="115" w:after="283"/>
              <w:jc w:val="left"/>
              <w:rPr>
                <w:spacing w:val="0"/>
              </w:rPr>
            </w:pPr>
            <w:r>
              <w:rPr>
                <w:spacing w:val="0"/>
              </w:rPr>
              <w:t> </w:t>
            </w:r>
          </w:p>
        </w:tc>
        <w:tc>
          <w:tcPr>
            <w:tcW w:w="175" w:type="dxa"/>
            <w:tcBorders/>
            <w:vAlign w:val="center"/>
          </w:tcPr>
          <w:p>
            <w:pPr>
              <w:pStyle w:val="TableContents"/>
              <w:bidi w:val="0"/>
              <w:spacing w:before="115" w:after="283"/>
              <w:jc w:val="left"/>
              <w:rPr>
                <w:spacing w:val="0"/>
              </w:rPr>
            </w:pPr>
            <w:r>
              <w:rPr>
                <w:spacing w:val="0"/>
              </w:rPr>
              <w:t> </w:t>
            </w:r>
          </w:p>
        </w:tc>
        <w:tc>
          <w:tcPr>
            <w:tcW w:w="1012" w:type="dxa"/>
            <w:tcBorders/>
            <w:vAlign w:val="center"/>
          </w:tcPr>
          <w:p>
            <w:pPr>
              <w:pStyle w:val="TableContents"/>
              <w:bidi w:val="0"/>
              <w:spacing w:before="115" w:after="283"/>
              <w:jc w:val="right"/>
              <w:rPr>
                <w:spacing w:val="0"/>
              </w:rPr>
            </w:pPr>
            <w:r>
              <w:rPr>
                <w:spacing w:val="0"/>
              </w:rPr>
              <w:t> </w:t>
            </w:r>
          </w:p>
        </w:tc>
        <w:tc>
          <w:tcPr>
            <w:tcW w:w="155" w:type="dxa"/>
            <w:tcBorders/>
            <w:vAlign w:val="center"/>
          </w:tcPr>
          <w:p>
            <w:pPr>
              <w:pStyle w:val="TableContents"/>
              <w:bidi w:val="0"/>
              <w:spacing w:before="115" w:after="283"/>
              <w:jc w:val="left"/>
              <w:rPr>
                <w:spacing w:val="0"/>
              </w:rPr>
            </w:pPr>
            <w:r>
              <w:rPr>
                <w:spacing w:val="0"/>
              </w:rPr>
              <w:t> </w:t>
            </w:r>
          </w:p>
        </w:tc>
        <w:tc>
          <w:tcPr>
            <w:tcW w:w="60" w:type="dxa"/>
            <w:tcBorders/>
            <w:vAlign w:val="center"/>
          </w:tcPr>
          <w:p>
            <w:pPr>
              <w:pStyle w:val="TableContents"/>
              <w:bidi w:val="0"/>
              <w:spacing w:before="115" w:after="283"/>
              <w:jc w:val="left"/>
              <w:rPr>
                <w:spacing w:val="0"/>
              </w:rPr>
            </w:pPr>
            <w:r>
              <w:rPr>
                <w:spacing w:val="0"/>
              </w:rPr>
              <w:t> </w:t>
            </w:r>
          </w:p>
        </w:tc>
        <w:tc>
          <w:tcPr>
            <w:tcW w:w="227" w:type="dxa"/>
            <w:tcBorders/>
            <w:vAlign w:val="center"/>
          </w:tcPr>
          <w:p>
            <w:pPr>
              <w:pStyle w:val="TableContents"/>
              <w:bidi w:val="0"/>
              <w:spacing w:before="115" w:after="283"/>
              <w:jc w:val="left"/>
              <w:rPr>
                <w:spacing w:val="0"/>
              </w:rPr>
            </w:pPr>
            <w:r>
              <w:rPr>
                <w:spacing w:val="0"/>
              </w:rPr>
              <w:t> </w:t>
            </w:r>
          </w:p>
        </w:tc>
        <w:tc>
          <w:tcPr>
            <w:tcW w:w="1985" w:type="dxa"/>
            <w:tcBorders/>
            <w:vAlign w:val="center"/>
          </w:tcPr>
          <w:p>
            <w:pPr>
              <w:pStyle w:val="TableContents"/>
              <w:bidi w:val="0"/>
              <w:spacing w:before="115" w:after="283"/>
              <w:jc w:val="right"/>
              <w:rPr>
                <w:spacing w:val="0"/>
              </w:rPr>
            </w:pPr>
            <w:r>
              <w:rPr>
                <w:spacing w:val="0"/>
              </w:rPr>
              <w:t> </w:t>
            </w:r>
          </w:p>
        </w:tc>
        <w:tc>
          <w:tcPr>
            <w:tcW w:w="154" w:type="dxa"/>
            <w:tcBorders/>
            <w:vAlign w:val="center"/>
          </w:tcPr>
          <w:p>
            <w:pPr>
              <w:pStyle w:val="TableContents"/>
              <w:bidi w:val="0"/>
              <w:spacing w:before="115" w:after="283"/>
              <w:jc w:val="left"/>
              <w:rPr>
                <w:spacing w:val="0"/>
              </w:rPr>
            </w:pPr>
            <w:r>
              <w:rPr>
                <w:spacing w:val="0"/>
              </w:rPr>
              <w:t> </w:t>
            </w:r>
          </w:p>
        </w:tc>
        <w:tc>
          <w:tcPr>
            <w:tcW w:w="97" w:type="dxa"/>
            <w:tcBorders/>
            <w:vAlign w:val="center"/>
          </w:tcPr>
          <w:p>
            <w:pPr>
              <w:pStyle w:val="TableContents"/>
              <w:bidi w:val="0"/>
              <w:spacing w:before="115" w:after="283"/>
              <w:jc w:val="left"/>
              <w:rPr>
                <w:spacing w:val="0"/>
              </w:rPr>
            </w:pPr>
            <w:r>
              <w:rPr>
                <w:spacing w:val="0"/>
              </w:rPr>
              <w:t> </w:t>
            </w:r>
          </w:p>
        </w:tc>
        <w:tc>
          <w:tcPr>
            <w:tcW w:w="227" w:type="dxa"/>
            <w:tcBorders/>
            <w:vAlign w:val="center"/>
          </w:tcPr>
          <w:p>
            <w:pPr>
              <w:pStyle w:val="TableContents"/>
              <w:bidi w:val="0"/>
              <w:spacing w:before="115" w:after="283"/>
              <w:jc w:val="left"/>
              <w:rPr>
                <w:spacing w:val="0"/>
              </w:rPr>
            </w:pPr>
            <w:r>
              <w:rPr>
                <w:spacing w:val="0"/>
              </w:rPr>
              <w:t> </w:t>
            </w:r>
          </w:p>
        </w:tc>
        <w:tc>
          <w:tcPr>
            <w:tcW w:w="1305" w:type="dxa"/>
            <w:tcBorders/>
            <w:vAlign w:val="center"/>
          </w:tcPr>
          <w:p>
            <w:pPr>
              <w:pStyle w:val="TableContents"/>
              <w:bidi w:val="0"/>
              <w:spacing w:before="115" w:after="283"/>
              <w:jc w:val="right"/>
              <w:rPr>
                <w:spacing w:val="0"/>
              </w:rPr>
            </w:pPr>
            <w:r>
              <w:rPr>
                <w:spacing w:val="0"/>
              </w:rPr>
              <w:t> </w:t>
            </w:r>
          </w:p>
        </w:tc>
        <w:tc>
          <w:tcPr>
            <w:tcW w:w="173" w:type="dxa"/>
            <w:tcBorders/>
            <w:vAlign w:val="center"/>
          </w:tcPr>
          <w:p>
            <w:pPr>
              <w:pStyle w:val="TableContents"/>
              <w:bidi w:val="0"/>
              <w:spacing w:before="115" w:after="283"/>
              <w:jc w:val="left"/>
              <w:rPr>
                <w:spacing w:val="0"/>
              </w:rPr>
            </w:pPr>
            <w:r>
              <w:rPr>
                <w:spacing w:val="0"/>
              </w:rPr>
              <w:t> </w:t>
            </w:r>
          </w:p>
        </w:tc>
      </w:tr>
      <w:tr>
        <w:trPr/>
        <w:tc>
          <w:tcPr>
            <w:tcW w:w="260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on debt extinguishment</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— </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10,688</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60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1,402</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14,062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8,299</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26,753</w:t>
            </w:r>
          </w:p>
        </w:tc>
        <w:tc>
          <w:tcPr>
            <w:tcW w:w="173" w:type="dxa"/>
            <w:tcBorders/>
            <w:shd w:fill="CCEEFF" w:val="clear"/>
            <w:vAlign w:val="center"/>
          </w:tcPr>
          <w:p>
            <w:pPr>
              <w:pStyle w:val="TableContents"/>
              <w:bidi w:val="0"/>
              <w:spacing w:before="0" w:after="283"/>
              <w:jc w:val="left"/>
              <w:rPr/>
            </w:pPr>
            <w:r>
              <w:rPr/>
              <w:t> </w:t>
            </w:r>
          </w:p>
        </w:tc>
      </w:tr>
      <w:tr>
        <w:trPr/>
        <w:tc>
          <w:tcPr>
            <w:tcW w:w="260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(1,843</w:t>
            </w:r>
          </w:p>
        </w:tc>
        <w:tc>
          <w:tcPr>
            <w:tcW w:w="119" w:type="dxa"/>
            <w:tcBorders/>
            <w:vAlign w:val="center"/>
          </w:tcPr>
          <w:p>
            <w:pPr>
              <w:pStyle w:val="TableContents"/>
              <w:bidi w:val="0"/>
              <w:spacing w:before="0" w:after="283"/>
              <w:jc w:val="left"/>
              <w:rPr/>
            </w:pPr>
            <w:r>
              <w:rPr/>
              <w:t>)</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(1,583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(3,293</w:t>
            </w:r>
          </w:p>
        </w:tc>
        <w:tc>
          <w:tcPr>
            <w:tcW w:w="154" w:type="dxa"/>
            <w:tcBorders/>
            <w:vAlign w:val="center"/>
          </w:tcPr>
          <w:p>
            <w:pPr>
              <w:pStyle w:val="TableContents"/>
              <w:bidi w:val="0"/>
              <w:spacing w:before="0" w:after="0"/>
              <w:jc w:val="left"/>
              <w:rPr/>
            </w:pPr>
            <w:r>
              <w:rPr/>
              <w:t>)</w:t>
            </w:r>
          </w:p>
          <w:p>
            <w:pPr>
              <w:pStyle w:val="TableContents"/>
              <w:bidi w:val="0"/>
              <w:spacing w:before="0" w:after="0"/>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right"/>
              <w:rPr/>
            </w:pPr>
            <w:r>
              <w:rPr/>
              <w:t>(4,855</w:t>
            </w:r>
          </w:p>
        </w:tc>
        <w:tc>
          <w:tcPr>
            <w:tcW w:w="173" w:type="dxa"/>
            <w:tcBorders/>
            <w:vAlign w:val="center"/>
          </w:tcPr>
          <w:p>
            <w:pPr>
              <w:pStyle w:val="TableContents"/>
              <w:bidi w:val="0"/>
              <w:spacing w:before="0" w:after="283"/>
              <w:jc w:val="left"/>
              <w:rPr/>
            </w:pPr>
            <w:r>
              <w:rPr/>
              <w:t>) </w:t>
            </w:r>
          </w:p>
        </w:tc>
      </w:tr>
      <w:tr>
        <w:trPr/>
        <w:tc>
          <w:tcPr>
            <w:tcW w:w="260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loss, net</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(2,532</w:t>
            </w:r>
          </w:p>
        </w:tc>
        <w:tc>
          <w:tcPr>
            <w:tcW w:w="119" w:type="dxa"/>
            <w:tcBorders/>
            <w:shd w:fill="CCEEFF" w:val="clear"/>
            <w:vAlign w:val="center"/>
          </w:tcPr>
          <w:p>
            <w:pPr>
              <w:pStyle w:val="TableContents"/>
              <w:bidi w:val="0"/>
              <w:spacing w:before="0" w:after="0"/>
              <w:jc w:val="left"/>
              <w:rPr/>
            </w:pPr>
            <w:r>
              <w:rPr/>
              <w:t>)</w:t>
            </w:r>
          </w:p>
          <w:p>
            <w:pPr>
              <w:pStyle w:val="TableContents"/>
              <w:bidi w:val="0"/>
              <w:spacing w:before="0" w:after="0"/>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(2,600</w:t>
            </w:r>
          </w:p>
        </w:tc>
        <w:tc>
          <w:tcPr>
            <w:tcW w:w="15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60</w:t>
            </w:r>
          </w:p>
        </w:tc>
        <w:tc>
          <w:tcPr>
            <w:tcW w:w="173" w:type="dxa"/>
            <w:tcBorders/>
            <w:shd w:fill="CCEEFF" w:val="clear"/>
            <w:vAlign w:val="center"/>
          </w:tcPr>
          <w:p>
            <w:pPr>
              <w:pStyle w:val="TableContents"/>
              <w:bidi w:val="0"/>
              <w:spacing w:before="0" w:after="283"/>
              <w:jc w:val="left"/>
              <w:rPr/>
            </w:pPr>
            <w:r>
              <w:rPr/>
              <w:t> </w:t>
            </w:r>
          </w:p>
        </w:tc>
      </w:tr>
      <w:tr>
        <w:trPr/>
        <w:tc>
          <w:tcPr>
            <w:tcW w:w="2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260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before income taxes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72,656</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45,679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49,408</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right"/>
              <w:rPr/>
            </w:pPr>
            <w:r>
              <w:rPr/>
              <w:t>45,439</w:t>
            </w:r>
          </w:p>
        </w:tc>
        <w:tc>
          <w:tcPr>
            <w:tcW w:w="173" w:type="dxa"/>
            <w:tcBorders/>
            <w:vAlign w:val="center"/>
          </w:tcPr>
          <w:p>
            <w:pPr>
              <w:pStyle w:val="TableContents"/>
              <w:bidi w:val="0"/>
              <w:spacing w:before="0" w:after="283"/>
              <w:jc w:val="left"/>
              <w:rPr/>
            </w:pPr>
            <w:r>
              <w:rPr/>
              <w:t> </w:t>
            </w:r>
          </w:p>
        </w:tc>
      </w:tr>
      <w:tr>
        <w:trPr/>
        <w:tc>
          <w:tcPr>
            <w:tcW w:w="260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5,823</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1,047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9,989</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1,309</w:t>
            </w:r>
          </w:p>
        </w:tc>
        <w:tc>
          <w:tcPr>
            <w:tcW w:w="173" w:type="dxa"/>
            <w:tcBorders/>
            <w:shd w:fill="CCEEFF" w:val="clear"/>
            <w:vAlign w:val="center"/>
          </w:tcPr>
          <w:p>
            <w:pPr>
              <w:pStyle w:val="TableContents"/>
              <w:bidi w:val="0"/>
              <w:spacing w:before="0" w:after="283"/>
              <w:jc w:val="left"/>
              <w:rPr/>
            </w:pPr>
            <w:r>
              <w:rPr/>
              <w:t> </w:t>
            </w:r>
          </w:p>
        </w:tc>
      </w:tr>
      <w:tr>
        <w:trPr/>
        <w:tc>
          <w:tcPr>
            <w:tcW w:w="2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260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539" w:type="dxa"/>
            <w:tcBorders/>
            <w:vAlign w:val="center"/>
          </w:tcPr>
          <w:p>
            <w:pPr>
              <w:pStyle w:val="TableContents"/>
              <w:bidi w:val="0"/>
              <w:spacing w:before="0" w:after="283"/>
              <w:jc w:val="right"/>
              <w:rPr/>
            </w:pPr>
            <w:r>
              <w:rPr/>
              <w:t>66,833</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012" w:type="dxa"/>
            <w:tcBorders/>
            <w:vAlign w:val="center"/>
          </w:tcPr>
          <w:p>
            <w:pPr>
              <w:pStyle w:val="TableContents"/>
              <w:bidi w:val="0"/>
              <w:spacing w:before="0" w:after="283"/>
              <w:jc w:val="right"/>
              <w:rPr/>
            </w:pPr>
            <w:r>
              <w:rPr/>
              <w:t>44,632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right"/>
              <w:rPr/>
            </w:pPr>
            <w:r>
              <w:rPr/>
              <w:t>39,419</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305" w:type="dxa"/>
            <w:tcBorders/>
            <w:vAlign w:val="center"/>
          </w:tcPr>
          <w:p>
            <w:pPr>
              <w:pStyle w:val="TableContents"/>
              <w:bidi w:val="0"/>
              <w:spacing w:before="0" w:after="283"/>
              <w:jc w:val="right"/>
              <w:rPr/>
            </w:pPr>
            <w:r>
              <w:rPr/>
              <w:t>44,130</w:t>
            </w:r>
          </w:p>
        </w:tc>
        <w:tc>
          <w:tcPr>
            <w:tcW w:w="173" w:type="dxa"/>
            <w:tcBorders/>
            <w:vAlign w:val="center"/>
          </w:tcPr>
          <w:p>
            <w:pPr>
              <w:pStyle w:val="TableContents"/>
              <w:bidi w:val="0"/>
              <w:spacing w:before="0" w:after="283"/>
              <w:jc w:val="left"/>
              <w:rPr/>
            </w:pPr>
            <w:r>
              <w:rPr/>
              <w:t> </w:t>
            </w:r>
          </w:p>
        </w:tc>
      </w:tr>
      <w:tr>
        <w:trPr/>
        <w:tc>
          <w:tcPr>
            <w:tcW w:w="26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net income attributable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and LLC members prior to IPO</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29,863</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377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25,807</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589</w:t>
            </w:r>
          </w:p>
        </w:tc>
        <w:tc>
          <w:tcPr>
            <w:tcW w:w="173" w:type="dxa"/>
            <w:tcBorders/>
            <w:shd w:fill="CCEEFF" w:val="clear"/>
            <w:vAlign w:val="center"/>
          </w:tcPr>
          <w:p>
            <w:pPr>
              <w:pStyle w:val="TableContents"/>
              <w:bidi w:val="0"/>
              <w:spacing w:before="0" w:after="283"/>
              <w:jc w:val="left"/>
              <w:rPr/>
            </w:pPr>
            <w:r>
              <w:rPr/>
              <w:t> </w:t>
            </w:r>
          </w:p>
        </w:tc>
      </w:tr>
      <w:tr>
        <w:trPr/>
        <w:tc>
          <w:tcPr>
            <w:tcW w:w="2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260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 attributable to SOLV Energy, Inc.</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
                <w:spacing w:val="0"/>
              </w:rPr>
            </w:pPr>
            <w:r>
              <w:rPr>
                <w:b/>
                <w:spacing w:val="0"/>
              </w:rPr>
              <w:t>$</w:t>
            </w:r>
          </w:p>
          <w:p>
            <w:pPr>
              <w:pStyle w:val="TableContents"/>
              <w:bidi w:val="0"/>
              <w:spacing w:before="0" w:after="0"/>
              <w:jc w:val="left"/>
              <w:rPr>
                <w:spacing w:val="0"/>
              </w:rPr>
            </w:pPr>
            <w:r>
              <w:rPr>
                <w:spacing w:val="0"/>
              </w:rPr>
              <w:t> </w:t>
            </w:r>
          </w:p>
        </w:tc>
        <w:tc>
          <w:tcPr>
            <w:tcW w:w="1539" w:type="dxa"/>
            <w:tcBorders/>
            <w:vAlign w:val="center"/>
          </w:tcPr>
          <w:p>
            <w:pPr>
              <w:pStyle w:val="TableContents"/>
              <w:bidi w:val="0"/>
              <w:spacing w:before="0" w:after="0"/>
              <w:jc w:val="right"/>
              <w:rPr>
                <w:b/>
                <w:spacing w:val="0"/>
              </w:rPr>
            </w:pPr>
            <w:r>
              <w:rPr>
                <w:b/>
                <w:spacing w:val="0"/>
              </w:rPr>
              <w:t>36,970</w:t>
            </w:r>
          </w:p>
        </w:tc>
        <w:tc>
          <w:tcPr>
            <w:tcW w:w="119" w:type="dxa"/>
            <w:tcBorders/>
            <w:vAlign w:val="center"/>
          </w:tcPr>
          <w:p>
            <w:pPr>
              <w:pStyle w:val="TableContents"/>
              <w:bidi w:val="0"/>
              <w:spacing w:before="0" w:after="0"/>
              <w:jc w:val="left"/>
              <w:rPr>
                <w:spacing w:val="0"/>
              </w:rPr>
            </w:pPr>
            <w:r>
              <w:rPr>
                <w:spacing w:val="0"/>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
                <w:spacing w:val="0"/>
              </w:rPr>
            </w:pPr>
            <w:r>
              <w:rPr>
                <w:b/>
                <w:spacing w:val="0"/>
              </w:rPr>
              <w:t>$</w:t>
            </w:r>
          </w:p>
          <w:p>
            <w:pPr>
              <w:pStyle w:val="TableContents"/>
              <w:bidi w:val="0"/>
              <w:spacing w:before="0" w:after="0"/>
              <w:jc w:val="left"/>
              <w:rPr>
                <w:spacing w:val="0"/>
              </w:rPr>
            </w:pPr>
            <w:r>
              <w:rPr>
                <w:spacing w:val="0"/>
              </w:rPr>
              <w:t> </w:t>
            </w:r>
          </w:p>
        </w:tc>
        <w:tc>
          <w:tcPr>
            <w:tcW w:w="1012" w:type="dxa"/>
            <w:tcBorders/>
            <w:vAlign w:val="center"/>
          </w:tcPr>
          <w:p>
            <w:pPr>
              <w:pStyle w:val="TableContents"/>
              <w:bidi w:val="0"/>
              <w:spacing w:before="0" w:after="0"/>
              <w:jc w:val="right"/>
              <w:rPr>
                <w:b/>
                <w:spacing w:val="0"/>
              </w:rPr>
            </w:pPr>
            <w:r>
              <w:rPr>
                <w:b/>
                <w:spacing w:val="0"/>
              </w:rPr>
              <w:t>44,255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b/>
                <w:spacing w:val="0"/>
              </w:rPr>
            </w:pPr>
            <w:r>
              <w:rPr>
                <w:b/>
                <w:spacing w:val="0"/>
              </w:rPr>
              <w:t>$</w:t>
            </w:r>
          </w:p>
          <w:p>
            <w:pPr>
              <w:pStyle w:val="TableContents"/>
              <w:bidi w:val="0"/>
              <w:spacing w:before="0" w:after="0"/>
              <w:jc w:val="left"/>
              <w:rPr>
                <w:spacing w:val="0"/>
              </w:rPr>
            </w:pPr>
            <w:r>
              <w:rPr>
                <w:spacing w:val="0"/>
              </w:rPr>
              <w:t> </w:t>
            </w:r>
          </w:p>
        </w:tc>
        <w:tc>
          <w:tcPr>
            <w:tcW w:w="1985" w:type="dxa"/>
            <w:tcBorders/>
            <w:vAlign w:val="center"/>
          </w:tcPr>
          <w:p>
            <w:pPr>
              <w:pStyle w:val="TableContents"/>
              <w:bidi w:val="0"/>
              <w:spacing w:before="0" w:after="0"/>
              <w:jc w:val="right"/>
              <w:rPr>
                <w:b/>
                <w:spacing w:val="0"/>
              </w:rPr>
            </w:pPr>
            <w:r>
              <w:rPr>
                <w:b/>
                <w:spacing w:val="0"/>
              </w:rPr>
              <w:t>13,612</w:t>
            </w:r>
          </w:p>
        </w:tc>
        <w:tc>
          <w:tcPr>
            <w:tcW w:w="154" w:type="dxa"/>
            <w:tcBorders/>
            <w:vAlign w:val="center"/>
          </w:tcPr>
          <w:p>
            <w:pPr>
              <w:pStyle w:val="TableContents"/>
              <w:bidi w:val="0"/>
              <w:spacing w:before="0" w:after="0"/>
              <w:jc w:val="left"/>
              <w:rPr>
                <w:spacing w:val="0"/>
              </w:rPr>
            </w:pPr>
            <w:r>
              <w:rPr>
                <w:spacing w:val="0"/>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b/>
                <w:spacing w:val="0"/>
              </w:rPr>
            </w:pPr>
            <w:r>
              <w:rPr>
                <w:b/>
                <w:spacing w:val="0"/>
              </w:rPr>
              <w:t>$</w:t>
            </w:r>
          </w:p>
          <w:p>
            <w:pPr>
              <w:pStyle w:val="TableContents"/>
              <w:bidi w:val="0"/>
              <w:spacing w:before="0" w:after="0"/>
              <w:jc w:val="left"/>
              <w:rPr>
                <w:spacing w:val="0"/>
              </w:rPr>
            </w:pPr>
            <w:r>
              <w:rPr>
                <w:spacing w:val="0"/>
              </w:rPr>
              <w:t> </w:t>
            </w:r>
          </w:p>
        </w:tc>
        <w:tc>
          <w:tcPr>
            <w:tcW w:w="1305" w:type="dxa"/>
            <w:tcBorders/>
            <w:vAlign w:val="center"/>
          </w:tcPr>
          <w:p>
            <w:pPr>
              <w:pStyle w:val="TableContents"/>
              <w:bidi w:val="0"/>
              <w:spacing w:before="0" w:after="0"/>
              <w:jc w:val="right"/>
              <w:rPr>
                <w:b/>
                <w:spacing w:val="0"/>
              </w:rPr>
            </w:pPr>
            <w:r>
              <w:rPr>
                <w:b/>
                <w:spacing w:val="0"/>
              </w:rPr>
              <w:t>43,541</w:t>
            </w:r>
          </w:p>
        </w:tc>
        <w:tc>
          <w:tcPr>
            <w:tcW w:w="173" w:type="dxa"/>
            <w:tcBorders/>
            <w:vAlign w:val="center"/>
          </w:tcPr>
          <w:p>
            <w:pPr>
              <w:pStyle w:val="TableContents"/>
              <w:bidi w:val="0"/>
              <w:spacing w:before="0" w:after="0"/>
              <w:jc w:val="left"/>
              <w:rPr>
                <w:spacing w:val="0"/>
              </w:rPr>
            </w:pPr>
            <w:r>
              <w:rPr>
                <w:spacing w:val="0"/>
              </w:rPr>
              <w:t> </w:t>
            </w:r>
          </w:p>
        </w:tc>
      </w:tr>
      <w:tr>
        <w:trPr/>
        <w:tc>
          <w:tcPr>
            <w:tcW w:w="2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3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2608" w:type="dxa"/>
            <w:tcBorders/>
            <w:vAlign w:val="center"/>
          </w:tcPr>
          <w:p>
            <w:pPr>
              <w:pStyle w:val="TableContents"/>
              <w:bidi w:val="0"/>
              <w:spacing w:before="0" w:after="283"/>
              <w:jc w:val="left"/>
              <w:rPr>
                <w:sz w:val="4"/>
                <w:szCs w:val="4"/>
              </w:rPr>
            </w:pPr>
            <w:r>
              <w:rPr>
                <w:sz w:val="4"/>
                <w:szCs w:val="4"/>
              </w:rPr>
            </w:r>
          </w:p>
        </w:tc>
        <w:tc>
          <w:tcPr>
            <w:tcW w:w="3369" w:type="dxa"/>
            <w:gridSpan w:val="8"/>
            <w:tcBorders/>
            <w:vAlign w:val="center"/>
          </w:tcPr>
          <w:p>
            <w:pPr>
              <w:pStyle w:val="TableContents"/>
              <w:bidi w:val="0"/>
              <w:spacing w:before="0" w:after="283"/>
              <w:jc w:val="left"/>
              <w:rPr>
                <w:sz w:val="4"/>
                <w:szCs w:val="4"/>
              </w:rPr>
            </w:pPr>
            <w:r>
              <w:rPr>
                <w:sz w:val="4"/>
                <w:szCs w:val="4"/>
              </w:rPr>
            </w:r>
          </w:p>
        </w:tc>
        <w:tc>
          <w:tcPr>
            <w:tcW w:w="4228" w:type="dxa"/>
            <w:gridSpan w:val="8"/>
            <w:tcBorders/>
            <w:vAlign w:val="center"/>
          </w:tcPr>
          <w:p>
            <w:pPr>
              <w:pStyle w:val="TableContents"/>
              <w:bidi w:val="0"/>
              <w:spacing w:before="0" w:after="283"/>
              <w:jc w:val="left"/>
              <w:rPr>
                <w:sz w:val="4"/>
                <w:szCs w:val="4"/>
              </w:rPr>
            </w:pPr>
            <w:r>
              <w:rPr>
                <w:sz w:val="4"/>
                <w:szCs w:val="4"/>
              </w:rPr>
            </w:r>
          </w:p>
        </w:tc>
      </w:tr>
      <w:tr>
        <w:trPr/>
        <w:tc>
          <w:tcPr>
            <w:tcW w:w="260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94"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Period from February 12, 2026 to June</w:t>
            </w:r>
          </w:p>
          <w:p>
            <w:pPr>
              <w:pStyle w:val="TableContents"/>
              <w:bidi w:val="0"/>
              <w:spacing w:before="0" w:after="0"/>
              <w:jc w:val="center"/>
              <w:rPr>
                <w:spacing w:val="0"/>
              </w:rPr>
            </w:pPr>
            <w:r>
              <w:rPr>
                <w:spacing w:val="0"/>
              </w:rPr>
              <w:t> </w:t>
            </w:r>
          </w:p>
          <w:p>
            <w:pPr>
              <w:pStyle w:val="TableContents"/>
              <w:bidi w:val="0"/>
              <w:spacing w:before="0" w:after="0"/>
              <w:jc w:val="center"/>
              <w:rPr>
                <w:b/>
                <w:spacing w:val="0"/>
              </w:rPr>
            </w:pPr>
            <w:r>
              <w:rPr>
                <w:b/>
                <w:spacing w:val="0"/>
              </w:rPr>
              <w:t xml:space="preserve">30, </w:t>
              <w:br/>
              <w:t>2026</w:t>
            </w:r>
          </w:p>
        </w:tc>
        <w:tc>
          <w:tcPr>
            <w:tcW w:w="173" w:type="dxa"/>
            <w:tcBorders/>
            <w:vAlign w:val="center"/>
          </w:tcPr>
          <w:p>
            <w:pPr>
              <w:pStyle w:val="TableContents"/>
              <w:bidi w:val="0"/>
              <w:spacing w:before="0" w:after="283"/>
              <w:jc w:val="left"/>
              <w:rPr/>
            </w:pPr>
            <w:r>
              <w:rPr/>
              <w:t> </w:t>
            </w:r>
          </w:p>
        </w:tc>
      </w:tr>
      <w:tr>
        <w:trPr/>
        <w:tc>
          <w:tcPr>
            <w:tcW w:w="260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 per share:</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539" w:type="dxa"/>
            <w:tcBorders/>
            <w:shd w:fill="CCEEFF" w:val="clear"/>
            <w:vAlign w:val="center"/>
          </w:tcPr>
          <w:p>
            <w:pPr>
              <w:pStyle w:val="TableContents"/>
              <w:bidi w:val="0"/>
              <w:spacing w:before="0" w:after="283"/>
              <w:jc w:val="left"/>
              <w:rPr>
                <w:sz w:val="4"/>
                <w:szCs w:val="4"/>
              </w:rPr>
            </w:pPr>
            <w:r>
              <w:rPr>
                <w:sz w:val="4"/>
                <w:szCs w:val="4"/>
              </w:rPr>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1985" w:type="dxa"/>
            <w:tcBorders/>
            <w:shd w:fill="CCEEFF" w:val="clear"/>
            <w:vAlign w:val="center"/>
          </w:tcPr>
          <w:p>
            <w:pPr>
              <w:pStyle w:val="TableContents"/>
              <w:bidi w:val="0"/>
              <w:spacing w:before="0" w:after="283"/>
              <w:jc w:val="left"/>
              <w:rPr>
                <w:sz w:val="4"/>
                <w:szCs w:val="4"/>
              </w:rPr>
            </w:pPr>
            <w:r>
              <w:rPr>
                <w:sz w:val="4"/>
                <w:szCs w:val="4"/>
              </w:rPr>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1305"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260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539" w:type="dxa"/>
            <w:tcBorders/>
            <w:vAlign w:val="center"/>
          </w:tcPr>
          <w:p>
            <w:pPr>
              <w:pStyle w:val="TableContents"/>
              <w:bidi w:val="0"/>
              <w:spacing w:before="0" w:after="283"/>
              <w:jc w:val="right"/>
              <w:rPr/>
            </w:pPr>
            <w:r>
              <w:rPr/>
              <w:t>0.31</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right"/>
              <w:rPr/>
            </w:pPr>
            <w:r>
              <w:rPr/>
              <w:t>0.12</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60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Diluted</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539" w:type="dxa"/>
            <w:tcBorders/>
            <w:shd w:fill="CCEEFF" w:val="clear"/>
            <w:vAlign w:val="center"/>
          </w:tcPr>
          <w:p>
            <w:pPr>
              <w:pStyle w:val="TableContents"/>
              <w:bidi w:val="0"/>
              <w:spacing w:before="0" w:after="283"/>
              <w:jc w:val="right"/>
              <w:rPr/>
            </w:pPr>
            <w:r>
              <w:rPr/>
              <w:t>0.30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0.11</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1305"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260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shares outstanding:</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60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118,080,650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117,137,198</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1305"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260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Diluted</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201,682,563</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122,247,396</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unaudited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Changes of Stockholders’/Member’s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tbl>
      <w:tblPr>
        <w:tblW w:w="18450" w:type="dxa"/>
        <w:jc w:val="left"/>
        <w:tblInd w:w="0" w:type="dxa"/>
        <w:tblLayout w:type="fixed"/>
        <w:tblCellMar>
          <w:top w:w="0" w:type="dxa"/>
          <w:left w:w="0" w:type="dxa"/>
          <w:bottom w:w="0" w:type="dxa"/>
          <w:right w:w="0" w:type="dxa"/>
        </w:tblCellMar>
      </w:tblPr>
      <w:tblGrid>
        <w:gridCol w:w="1160"/>
        <w:gridCol w:w="60"/>
        <w:gridCol w:w="307"/>
        <w:gridCol w:w="1393"/>
        <w:gridCol w:w="155"/>
        <w:gridCol w:w="60"/>
        <w:gridCol w:w="214"/>
        <w:gridCol w:w="1156"/>
        <w:gridCol w:w="155"/>
        <w:gridCol w:w="60"/>
        <w:gridCol w:w="180"/>
        <w:gridCol w:w="875"/>
        <w:gridCol w:w="155"/>
        <w:gridCol w:w="60"/>
        <w:gridCol w:w="60"/>
        <w:gridCol w:w="1220"/>
        <w:gridCol w:w="60"/>
        <w:gridCol w:w="60"/>
        <w:gridCol w:w="301"/>
        <w:gridCol w:w="559"/>
        <w:gridCol w:w="60"/>
        <w:gridCol w:w="60"/>
        <w:gridCol w:w="60"/>
        <w:gridCol w:w="1100"/>
        <w:gridCol w:w="155"/>
        <w:gridCol w:w="60"/>
        <w:gridCol w:w="301"/>
        <w:gridCol w:w="559"/>
        <w:gridCol w:w="155"/>
        <w:gridCol w:w="60"/>
        <w:gridCol w:w="151"/>
        <w:gridCol w:w="949"/>
        <w:gridCol w:w="155"/>
        <w:gridCol w:w="60"/>
        <w:gridCol w:w="226"/>
        <w:gridCol w:w="1219"/>
        <w:gridCol w:w="155"/>
        <w:gridCol w:w="60"/>
        <w:gridCol w:w="195"/>
        <w:gridCol w:w="1220"/>
        <w:gridCol w:w="155"/>
        <w:gridCol w:w="60"/>
        <w:gridCol w:w="242"/>
        <w:gridCol w:w="1383"/>
        <w:gridCol w:w="155"/>
        <w:gridCol w:w="60"/>
        <w:gridCol w:w="140"/>
        <w:gridCol w:w="875"/>
        <w:gridCol w:w="170"/>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555" w:type="dxa"/>
            <w:gridSpan w:val="10"/>
            <w:tcBorders/>
            <w:vAlign w:val="center"/>
          </w:tcPr>
          <w:p>
            <w:pPr>
              <w:pStyle w:val="TableContents"/>
              <w:bidi w:val="0"/>
              <w:spacing w:before="0" w:after="0"/>
              <w:jc w:val="center"/>
              <w:rPr>
                <w:b/>
                <w:spacing w:val="0"/>
              </w:rPr>
            </w:pPr>
            <w:r>
              <w:rPr>
                <w:b/>
                <w:spacing w:val="0"/>
              </w:rPr>
              <w:t>SOLV Energy Holdings LLC Member’s</w:t>
              <w:br/>
              <w:t>Equity (Prior to the Transactions)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60" w:type="dxa"/>
            <w:gridSpan w:val="30"/>
            <w:tcBorders/>
            <w:vAlign w:val="center"/>
          </w:tcPr>
          <w:p>
            <w:pPr>
              <w:pStyle w:val="TableContents"/>
              <w:bidi w:val="0"/>
              <w:spacing w:before="0" w:after="0"/>
              <w:jc w:val="center"/>
              <w:rPr>
                <w:b/>
                <w:spacing w:val="0"/>
              </w:rPr>
            </w:pPr>
            <w:r>
              <w:rPr>
                <w:b/>
                <w:spacing w:val="0"/>
              </w:rPr>
              <w:t>SOLV Energy, Inc. Stockholders’ Equity</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15" w:type="dxa"/>
            <w:gridSpan w:val="2"/>
            <w:tcBorders/>
            <w:vAlign w:val="center"/>
          </w:tcPr>
          <w:p>
            <w:pPr>
              <w:pStyle w:val="TableContents"/>
              <w:bidi w:val="0"/>
              <w:spacing w:before="0" w:after="0"/>
              <w:jc w:val="lef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160" w:type="dxa"/>
            <w:vMerge w:val="restart"/>
            <w:tcBorders/>
            <w:vAlign w:val="center"/>
          </w:tcPr>
          <w:p>
            <w:pPr>
              <w:pStyle w:val="TableContents"/>
              <w:bidi w:val="0"/>
              <w:spacing w:before="0" w:after="283"/>
              <w:jc w:val="left"/>
              <w:rPr/>
            </w:pPr>
            <w:r>
              <w:rPr/>
            </w:r>
          </w:p>
        </w:tc>
        <w:tc>
          <w:tcPr>
            <w:tcW w:w="60" w:type="dxa"/>
            <w:vMerge w:val="restart"/>
            <w:tcBorders/>
            <w:vAlign w:val="center"/>
          </w:tcPr>
          <w:p>
            <w:pPr>
              <w:pStyle w:val="TableContents"/>
              <w:bidi w:val="0"/>
              <w:spacing w:before="0" w:after="0"/>
              <w:jc w:val="left"/>
              <w:rPr>
                <w:spacing w:val="0"/>
              </w:rPr>
            </w:pPr>
            <w:r>
              <w:rPr>
                <w:spacing w:val="0"/>
              </w:rPr>
              <w:t> </w:t>
            </w:r>
          </w:p>
        </w:tc>
        <w:tc>
          <w:tcPr>
            <w:tcW w:w="1700" w:type="dxa"/>
            <w:gridSpan w:val="2"/>
            <w:vMerge w:val="restart"/>
            <w:tcBorders/>
            <w:vAlign w:val="center"/>
          </w:tcPr>
          <w:p>
            <w:pPr>
              <w:pStyle w:val="TableContents"/>
              <w:bidi w:val="0"/>
              <w:spacing w:before="0" w:after="0"/>
              <w:jc w:val="center"/>
              <w:rPr>
                <w:b/>
                <w:spacing w:val="0"/>
              </w:rPr>
            </w:pPr>
            <w:r>
              <w:rPr>
                <w:b/>
                <w:spacing w:val="0"/>
              </w:rPr>
              <w:t>Non-Controlling</w:t>
            </w:r>
          </w:p>
          <w:p>
            <w:pPr>
              <w:pStyle w:val="TableContents"/>
              <w:bidi w:val="0"/>
              <w:spacing w:before="0" w:after="0"/>
              <w:jc w:val="center"/>
              <w:rPr>
                <w:b/>
                <w:spacing w:val="0"/>
              </w:rPr>
            </w:pPr>
            <w:r>
              <w:rPr>
                <w:b/>
                <w:spacing w:val="0"/>
              </w:rPr>
              <w:br/>
              <w:t>Interests</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br/>
              <w:t>Deficit</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055" w:type="dxa"/>
            <w:gridSpan w:val="2"/>
            <w:vMerge w:val="restart"/>
            <w:tcBorders/>
            <w:vAlign w:val="center"/>
          </w:tcPr>
          <w:p>
            <w:pPr>
              <w:pStyle w:val="TableContents"/>
              <w:bidi w:val="0"/>
              <w:spacing w:before="0" w:after="0"/>
              <w:jc w:val="center"/>
              <w:rPr>
                <w:b/>
                <w:spacing w:val="0"/>
              </w:rPr>
            </w:pPr>
            <w:r>
              <w:rPr>
                <w:b/>
                <w:spacing w:val="0"/>
              </w:rPr>
              <w:t>Member’s</w:t>
              <w:br/>
              <w:t>Equity</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60" w:type="dxa"/>
            <w:gridSpan w:val="6"/>
            <w:tcBorders/>
            <w:vAlign w:val="center"/>
          </w:tcPr>
          <w:p>
            <w:pPr>
              <w:pStyle w:val="TableContents"/>
              <w:bidi w:val="0"/>
              <w:spacing w:before="0" w:after="0"/>
              <w:jc w:val="center"/>
              <w:rPr>
                <w:b/>
                <w:spacing w:val="0"/>
              </w:rPr>
            </w:pPr>
            <w:r>
              <w:rPr>
                <w:b/>
                <w:spacing w:val="0"/>
              </w:rPr>
              <w:t>Class A Common</w:t>
              <w:br/>
              <w:t>Stock</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35" w:type="dxa"/>
            <w:gridSpan w:val="6"/>
            <w:tcBorders/>
            <w:vAlign w:val="center"/>
          </w:tcPr>
          <w:p>
            <w:pPr>
              <w:pStyle w:val="TableContents"/>
              <w:bidi w:val="0"/>
              <w:spacing w:before="0" w:after="0"/>
              <w:jc w:val="center"/>
              <w:rPr>
                <w:b/>
                <w:spacing w:val="0"/>
              </w:rPr>
            </w:pPr>
            <w:r>
              <w:rPr>
                <w:b/>
                <w:spacing w:val="0"/>
              </w:rPr>
              <w:t>Class B Common</w:t>
              <w:br/>
              <w:t>Stock</w:t>
            </w:r>
          </w:p>
        </w:tc>
        <w:tc>
          <w:tcPr>
            <w:tcW w:w="155" w:type="dxa"/>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100"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b/>
                <w:spacing w:val="0"/>
              </w:rPr>
            </w:pPr>
            <w:r>
              <w:rPr>
                <w:b/>
                <w:spacing w:val="0"/>
              </w:rPr>
              <w:br/>
              <w:t>Capital</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445" w:type="dxa"/>
            <w:gridSpan w:val="2"/>
            <w:vMerge w:val="restart"/>
            <w:tcBorders/>
            <w:vAlign w:val="center"/>
          </w:tcPr>
          <w:p>
            <w:pPr>
              <w:pStyle w:val="TableContents"/>
              <w:bidi w:val="0"/>
              <w:spacing w:before="0" w:after="0"/>
              <w:jc w:val="center"/>
              <w:rPr>
                <w:b/>
                <w:spacing w:val="0"/>
              </w:rPr>
            </w:pPr>
            <w:r>
              <w:rPr>
                <w:b/>
                <w:spacing w:val="0"/>
              </w:rPr>
              <w:t>Retained</w:t>
              <w:br/>
              <w:t>Earnings</w:t>
              <w:br/>
              <w:t>(Accumulated</w:t>
              <w:br/>
              <w:t>Deficit)</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415" w:type="dxa"/>
            <w:gridSpan w:val="2"/>
            <w:vMerge w:val="restart"/>
            <w:tcBorders/>
            <w:vAlign w:val="center"/>
          </w:tcPr>
          <w:p>
            <w:pPr>
              <w:pStyle w:val="TableContents"/>
              <w:bidi w:val="0"/>
              <w:spacing w:before="0" w:after="0"/>
              <w:jc w:val="center"/>
              <w:rPr>
                <w:b/>
                <w:spacing w:val="0"/>
              </w:rPr>
            </w:pPr>
            <w:r>
              <w:rPr>
                <w:b/>
                <w:spacing w:val="0"/>
              </w:rPr>
              <w:t>Stockholders’</w:t>
              <w:br/>
              <w:t>Equity</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625" w:type="dxa"/>
            <w:gridSpan w:val="2"/>
            <w:vMerge w:val="restart"/>
            <w:tcBorders/>
            <w:vAlign w:val="center"/>
          </w:tcPr>
          <w:p>
            <w:pPr>
              <w:pStyle w:val="TableContents"/>
              <w:bidi w:val="0"/>
              <w:spacing w:before="0" w:after="0"/>
              <w:jc w:val="center"/>
              <w:rPr>
                <w:b/>
                <w:spacing w:val="0"/>
              </w:rPr>
            </w:pPr>
            <w:r>
              <w:rPr>
                <w:b/>
                <w:spacing w:val="0"/>
              </w:rPr>
              <w:t>Non-controlling</w:t>
            </w:r>
          </w:p>
          <w:p>
            <w:pPr>
              <w:pStyle w:val="TableContents"/>
              <w:bidi w:val="0"/>
              <w:spacing w:before="0" w:after="0"/>
              <w:jc w:val="center"/>
              <w:rPr>
                <w:b/>
                <w:spacing w:val="0"/>
              </w:rPr>
            </w:pPr>
            <w:r>
              <w:rPr>
                <w:b/>
                <w:spacing w:val="0"/>
              </w:rPr>
              <w:br/>
              <w:t>Interests</w:t>
            </w:r>
          </w:p>
          <w:p>
            <w:pPr>
              <w:pStyle w:val="TableContents"/>
              <w:bidi w:val="0"/>
              <w:spacing w:before="0" w:after="0"/>
              <w:jc w:val="center"/>
              <w:rPr>
                <w:b/>
                <w:spacing w:val="0"/>
              </w:rPr>
            </w:pPr>
            <w:r>
              <w:rPr>
                <w:b/>
                <w:spacing w:val="0"/>
              </w:rPr>
              <w:t>(Post-IPO)</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015" w:type="dxa"/>
            <w:gridSpan w:val="2"/>
            <w:vMerge w:val="restart"/>
            <w:tcBorders/>
            <w:vAlign w:val="center"/>
          </w:tcPr>
          <w:p>
            <w:pPr>
              <w:pStyle w:val="TableContents"/>
              <w:bidi w:val="0"/>
              <w:spacing w:before="0" w:after="0"/>
              <w:jc w:val="center"/>
              <w:rPr>
                <w:b/>
                <w:spacing w:val="0"/>
              </w:rPr>
            </w:pPr>
            <w:r>
              <w:rPr>
                <w:b/>
                <w:spacing w:val="0"/>
              </w:rPr>
              <w:t>Total</w:t>
              <w:br/>
              <w:t>Equity</w:t>
            </w:r>
          </w:p>
        </w:tc>
        <w:tc>
          <w:tcPr>
            <w:tcW w:w="170" w:type="dxa"/>
            <w:vMerge w:val="restart"/>
            <w:tcBorders/>
            <w:vAlign w:val="center"/>
          </w:tcPr>
          <w:p>
            <w:pPr>
              <w:pStyle w:val="TableContents"/>
              <w:bidi w:val="0"/>
              <w:spacing w:before="0" w:after="0"/>
              <w:jc w:val="left"/>
              <w:rPr>
                <w:spacing w:val="0"/>
              </w:rPr>
            </w:pPr>
            <w:r>
              <w:rPr>
                <w:spacing w:val="0"/>
              </w:rPr>
              <w:t> </w:t>
            </w:r>
          </w:p>
        </w:tc>
      </w:tr>
      <w:tr>
        <w:trPr/>
        <w:tc>
          <w:tcPr>
            <w:tcW w:w="11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0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5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0"/>
              <w:jc w:val="left"/>
              <w:rPr>
                <w:spacing w:val="0"/>
              </w:rPr>
            </w:pPr>
            <w:r>
              <w:rPr>
                <w:spacing w:val="0"/>
              </w:rPr>
              <w:t> </w:t>
            </w:r>
          </w:p>
        </w:tc>
        <w:tc>
          <w:tcPr>
            <w:tcW w:w="128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0"/>
              <w:jc w:val="left"/>
              <w:rPr>
                <w:spacing w:val="0"/>
              </w:rPr>
            </w:pPr>
            <w:r>
              <w:rPr>
                <w:spacing w:val="0"/>
              </w:rPr>
              <w:t> </w:t>
            </w:r>
          </w:p>
        </w:tc>
        <w:tc>
          <w:tcPr>
            <w:tcW w:w="6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4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2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15" w:type="dxa"/>
            <w:gridSpan w:val="2"/>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160"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Balance, December 31, 2025</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0"/>
              <w:jc w:val="left"/>
              <w:rPr>
                <w:b/>
                <w:spacing w:val="0"/>
              </w:rPr>
            </w:pPr>
            <w:r>
              <w:rPr>
                <w:b/>
                <w:spacing w:val="0"/>
              </w:rPr>
              <w:t>$</w:t>
            </w:r>
          </w:p>
        </w:tc>
        <w:tc>
          <w:tcPr>
            <w:tcW w:w="1393" w:type="dxa"/>
            <w:tcBorders/>
            <w:shd w:fill="CCEEFF" w:val="clear"/>
            <w:vAlign w:val="center"/>
          </w:tcPr>
          <w:p>
            <w:pPr>
              <w:pStyle w:val="TableContents"/>
              <w:bidi w:val="0"/>
              <w:spacing w:before="0" w:after="0"/>
              <w:jc w:val="right"/>
              <w:rPr>
                <w:b/>
                <w:spacing w:val="0"/>
              </w:rPr>
            </w:pPr>
            <w:r>
              <w:rPr>
                <w:b/>
                <w:spacing w:val="0"/>
              </w:rPr>
              <w:t>3,030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0"/>
              <w:jc w:val="left"/>
              <w:rPr>
                <w:b/>
                <w:spacing w:val="0"/>
              </w:rPr>
            </w:pPr>
            <w:r>
              <w:rPr>
                <w:b/>
                <w:spacing w:val="0"/>
              </w:rPr>
              <w:t>$</w:t>
            </w:r>
          </w:p>
        </w:tc>
        <w:tc>
          <w:tcPr>
            <w:tcW w:w="1156" w:type="dxa"/>
            <w:tcBorders/>
            <w:shd w:fill="CCEEFF" w:val="clear"/>
            <w:vAlign w:val="center"/>
          </w:tcPr>
          <w:p>
            <w:pPr>
              <w:pStyle w:val="TableContents"/>
              <w:bidi w:val="0"/>
              <w:spacing w:before="0" w:after="0"/>
              <w:jc w:val="right"/>
              <w:rPr>
                <w:b/>
                <w:spacing w:val="0"/>
              </w:rPr>
            </w:pPr>
            <w:r>
              <w:rPr>
                <w:b/>
                <w:spacing w:val="0"/>
              </w:rPr>
              <w:t>(98,139</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0"/>
              <w:jc w:val="left"/>
              <w:rPr>
                <w:b/>
                <w:spacing w:val="0"/>
              </w:rPr>
            </w:pPr>
            <w:r>
              <w:rPr>
                <w:b/>
                <w:spacing w:val="0"/>
              </w:rPr>
              <w:t>$</w:t>
            </w:r>
          </w:p>
        </w:tc>
        <w:tc>
          <w:tcPr>
            <w:tcW w:w="875" w:type="dxa"/>
            <w:tcBorders/>
            <w:shd w:fill="CCEEFF" w:val="clear"/>
            <w:vAlign w:val="center"/>
          </w:tcPr>
          <w:p>
            <w:pPr>
              <w:pStyle w:val="TableContents"/>
              <w:bidi w:val="0"/>
              <w:spacing w:before="0" w:after="0"/>
              <w:jc w:val="right"/>
              <w:rPr>
                <w:b/>
                <w:spacing w:val="0"/>
              </w:rPr>
            </w:pPr>
            <w:r>
              <w:rPr>
                <w:b/>
                <w:spacing w:val="0"/>
              </w:rPr>
              <w:t>550,334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0"/>
              <w:jc w:val="left"/>
              <w:rPr>
                <w:b/>
                <w:spacing w:val="0"/>
              </w:rPr>
            </w:pPr>
            <w:r>
              <w:rPr>
                <w:b/>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0"/>
              <w:jc w:val="left"/>
              <w:rPr>
                <w:b/>
                <w:spacing w:val="0"/>
              </w:rPr>
            </w:pPr>
            <w:r>
              <w:rPr>
                <w:b/>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b/>
                <w:spacing w:val="0"/>
              </w:rPr>
            </w:pPr>
            <w:r>
              <w:rPr>
                <w:b/>
                <w:spacing w:val="0"/>
              </w:rPr>
              <w:t>$</w:t>
            </w:r>
          </w:p>
        </w:tc>
        <w:tc>
          <w:tcPr>
            <w:tcW w:w="949"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0"/>
              <w:jc w:val="left"/>
              <w:rPr>
                <w:b/>
                <w:spacing w:val="0"/>
              </w:rPr>
            </w:pPr>
            <w:r>
              <w:rPr>
                <w:b/>
                <w:spacing w:val="0"/>
              </w:rPr>
              <w:t>$</w:t>
            </w:r>
          </w:p>
        </w:tc>
        <w:tc>
          <w:tcPr>
            <w:tcW w:w="1219"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b/>
                <w:spacing w:val="0"/>
              </w:rPr>
            </w:pPr>
            <w:r>
              <w:rPr>
                <w:b/>
                <w:spacing w:val="0"/>
              </w:rPr>
              <w:t>$</w:t>
            </w:r>
          </w:p>
        </w:tc>
        <w:tc>
          <w:tcPr>
            <w:tcW w:w="122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0"/>
              <w:jc w:val="left"/>
              <w:rPr>
                <w:b/>
                <w:spacing w:val="0"/>
              </w:rPr>
            </w:pPr>
            <w:r>
              <w:rPr>
                <w:b/>
                <w:spacing w:val="0"/>
              </w:rPr>
              <w:t>$</w:t>
            </w:r>
          </w:p>
        </w:tc>
        <w:tc>
          <w:tcPr>
            <w:tcW w:w="1383"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875" w:type="dxa"/>
            <w:tcBorders/>
            <w:shd w:fill="CCEEFF" w:val="clear"/>
            <w:vAlign w:val="center"/>
          </w:tcPr>
          <w:p>
            <w:pPr>
              <w:pStyle w:val="TableContents"/>
              <w:bidi w:val="0"/>
              <w:spacing w:before="0" w:after="0"/>
              <w:jc w:val="right"/>
              <w:rPr>
                <w:b/>
                <w:spacing w:val="0"/>
              </w:rPr>
            </w:pPr>
            <w:r>
              <w:rPr>
                <w:b/>
                <w:spacing w:val="0"/>
              </w:rPr>
              <w:t>455,225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16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Non-cash</w:t>
            </w:r>
          </w:p>
          <w:p>
            <w:pPr>
              <w:pStyle w:val="TableContents"/>
              <w:bidi w:val="0"/>
              <w:spacing w:before="0" w:after="0"/>
              <w:jc w:val="left"/>
              <w:rPr>
                <w:rFonts w:ascii="Times New Roman" w:hAnsi="Times New Roman"/>
                <w:sz w:val="16"/>
              </w:rPr>
            </w:pPr>
            <w:r>
              <w:rPr>
                <w:rFonts w:ascii="Times New Roman" w:hAnsi="Times New Roman"/>
                <w:sz w:val="16"/>
              </w:rPr>
              <w:t>compensation expense prior to the Transactions and IPO</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606</w:t>
            </w:r>
          </w:p>
        </w:tc>
        <w:tc>
          <w:tcPr>
            <w:tcW w:w="170"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Distributions prior to the Transactions and IPO</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(2,145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(140,175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(142,320</w:t>
            </w:r>
          </w:p>
        </w:tc>
        <w:tc>
          <w:tcPr>
            <w:tcW w:w="170"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Net income prior to the Transactions and IPO</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13,588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13,588</w:t>
            </w:r>
          </w:p>
        </w:tc>
        <w:tc>
          <w:tcPr>
            <w:tcW w:w="170"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Impacts of the Transactions and IPO</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sz w:val="4"/>
                <w:szCs w:val="4"/>
              </w:rPr>
            </w:pPr>
            <w:r>
              <w:rPr>
                <w:sz w:val="4"/>
                <w:szCs w:val="4"/>
              </w:rPr>
            </w:r>
          </w:p>
        </w:tc>
        <w:tc>
          <w:tcPr>
            <w:tcW w:w="139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94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1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Impact of the Transactions</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(885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84,551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(410,765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91,773,571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87,141,865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185,826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185,844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141,255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Issuance of Class A Common Stock in IPO, net of issuance costs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23,575,000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308,226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308,229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232,807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541,036</w:t>
            </w:r>
          </w:p>
        </w:tc>
        <w:tc>
          <w:tcPr>
            <w:tcW w:w="170"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Establishment of deferred tax asset from IPO and Transactions</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(71,042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(71,042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(71,042</w:t>
            </w:r>
          </w:p>
        </w:tc>
        <w:tc>
          <w:tcPr>
            <w:tcW w:w="170"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Non-cash</w:t>
            </w:r>
          </w:p>
          <w:p>
            <w:pPr>
              <w:pStyle w:val="TableContents"/>
              <w:bidi w:val="0"/>
              <w:spacing w:before="0" w:after="0"/>
              <w:jc w:val="left"/>
              <w:rPr>
                <w:rFonts w:ascii="Times New Roman" w:hAnsi="Times New Roman"/>
                <w:sz w:val="16"/>
              </w:rPr>
            </w:pPr>
            <w:r>
              <w:rPr>
                <w:rFonts w:ascii="Times New Roman" w:hAnsi="Times New Roman"/>
                <w:sz w:val="16"/>
              </w:rPr>
              <w:t>compensation expense subsequent to the Transactions and IPO</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32,847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32,847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24,811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57,658</w:t>
            </w:r>
          </w:p>
        </w:tc>
        <w:tc>
          <w:tcPr>
            <w:tcW w:w="170"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Net loss subsequent to the Transactions and IPO</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(23,358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(23,358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(17,644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(41,002</w:t>
            </w:r>
          </w:p>
        </w:tc>
        <w:tc>
          <w:tcPr>
            <w:tcW w:w="170"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Distributions subsequent to the Transactions and IPO</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(2,525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(2,525</w:t>
            </w:r>
          </w:p>
        </w:tc>
        <w:tc>
          <w:tcPr>
            <w:tcW w:w="170"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Forfeiture of Class B common stock and LLC Units</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(13,728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Balance, March 31, 2026</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0"/>
              <w:jc w:val="left"/>
              <w:rPr>
                <w:b/>
                <w:spacing w:val="0"/>
              </w:rPr>
            </w:pPr>
            <w:r>
              <w:rPr>
                <w:b/>
                <w:spacing w:val="0"/>
              </w:rPr>
              <w:t>$</w:t>
            </w:r>
          </w:p>
        </w:tc>
        <w:tc>
          <w:tcPr>
            <w:tcW w:w="1393"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0"/>
              <w:jc w:val="left"/>
              <w:rPr>
                <w:b/>
                <w:spacing w:val="0"/>
              </w:rPr>
            </w:pPr>
            <w:r>
              <w:rPr>
                <w:b/>
                <w:spacing w:val="0"/>
              </w:rPr>
              <w:t>$</w:t>
            </w:r>
          </w:p>
        </w:tc>
        <w:tc>
          <w:tcPr>
            <w:tcW w:w="1156"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0"/>
              <w:jc w:val="left"/>
              <w:rPr>
                <w:b/>
                <w:spacing w:val="0"/>
              </w:rPr>
            </w:pPr>
            <w:r>
              <w:rPr>
                <w:b/>
                <w:spacing w:val="0"/>
              </w:rPr>
              <w:t>$</w:t>
            </w:r>
          </w:p>
        </w:tc>
        <w:tc>
          <w:tcPr>
            <w:tcW w:w="87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115,348,571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0"/>
              <w:jc w:val="left"/>
              <w:rPr>
                <w:b/>
                <w:spacing w:val="0"/>
              </w:rPr>
            </w:pPr>
            <w:r>
              <w:rPr>
                <w:b/>
                <w:spacing w:val="0"/>
              </w:rPr>
              <w:t>$</w:t>
            </w:r>
          </w:p>
        </w:tc>
        <w:tc>
          <w:tcPr>
            <w:tcW w:w="559" w:type="dxa"/>
            <w:tcBorders/>
            <w:shd w:fill="CCEEFF" w:val="clear"/>
            <w:vAlign w:val="center"/>
          </w:tcPr>
          <w:p>
            <w:pPr>
              <w:pStyle w:val="TableContents"/>
              <w:bidi w:val="0"/>
              <w:spacing w:before="0" w:after="0"/>
              <w:jc w:val="right"/>
              <w:rPr>
                <w:b/>
                <w:spacing w:val="0"/>
              </w:rPr>
            </w:pPr>
            <w:r>
              <w:rPr>
                <w:b/>
                <w:spacing w:val="0"/>
              </w:rPr>
              <w:t>12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87,128,137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0"/>
              <w:jc w:val="left"/>
              <w:rPr>
                <w:b/>
                <w:spacing w:val="0"/>
              </w:rPr>
            </w:pPr>
            <w:r>
              <w:rPr>
                <w:b/>
                <w:spacing w:val="0"/>
              </w:rPr>
              <w:t>$</w:t>
            </w:r>
          </w:p>
        </w:tc>
        <w:tc>
          <w:tcPr>
            <w:tcW w:w="559" w:type="dxa"/>
            <w:tcBorders/>
            <w:shd w:fill="CCEEFF" w:val="clear"/>
            <w:vAlign w:val="center"/>
          </w:tcPr>
          <w:p>
            <w:pPr>
              <w:pStyle w:val="TableContents"/>
              <w:bidi w:val="0"/>
              <w:spacing w:before="0" w:after="0"/>
              <w:jc w:val="right"/>
              <w:rPr>
                <w:b/>
                <w:spacing w:val="0"/>
              </w:rPr>
            </w:pPr>
            <w:r>
              <w:rPr>
                <w:b/>
                <w:spacing w:val="0"/>
              </w:rPr>
              <w:t>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b/>
                <w:spacing w:val="0"/>
              </w:rPr>
            </w:pPr>
            <w:r>
              <w:rPr>
                <w:b/>
                <w:spacing w:val="0"/>
              </w:rPr>
              <w:t>$</w:t>
            </w:r>
          </w:p>
        </w:tc>
        <w:tc>
          <w:tcPr>
            <w:tcW w:w="949" w:type="dxa"/>
            <w:tcBorders/>
            <w:shd w:fill="CCEEFF" w:val="clear"/>
            <w:vAlign w:val="center"/>
          </w:tcPr>
          <w:p>
            <w:pPr>
              <w:pStyle w:val="TableContents"/>
              <w:bidi w:val="0"/>
              <w:spacing w:before="0" w:after="0"/>
              <w:jc w:val="right"/>
              <w:rPr>
                <w:b/>
                <w:spacing w:val="0"/>
              </w:rPr>
            </w:pPr>
            <w:r>
              <w:rPr>
                <w:b/>
                <w:spacing w:val="0"/>
              </w:rPr>
              <w:t>455,857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0"/>
              <w:jc w:val="left"/>
              <w:rPr>
                <w:b/>
                <w:spacing w:val="0"/>
              </w:rPr>
            </w:pPr>
            <w:r>
              <w:rPr>
                <w:b/>
                <w:spacing w:val="0"/>
              </w:rPr>
              <w:t>$</w:t>
            </w:r>
          </w:p>
        </w:tc>
        <w:tc>
          <w:tcPr>
            <w:tcW w:w="1219" w:type="dxa"/>
            <w:tcBorders/>
            <w:shd w:fill="CCEEFF" w:val="clear"/>
            <w:vAlign w:val="center"/>
          </w:tcPr>
          <w:p>
            <w:pPr>
              <w:pStyle w:val="TableContents"/>
              <w:bidi w:val="0"/>
              <w:spacing w:before="0" w:after="0"/>
              <w:jc w:val="right"/>
              <w:rPr>
                <w:b/>
                <w:spacing w:val="0"/>
              </w:rPr>
            </w:pPr>
            <w:r>
              <w:rPr>
                <w:b/>
                <w:spacing w:val="0"/>
              </w:rPr>
              <w:t>(23,358</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b/>
                <w:spacing w:val="0"/>
              </w:rPr>
            </w:pPr>
            <w:r>
              <w:rPr>
                <w:b/>
                <w:spacing w:val="0"/>
              </w:rPr>
              <w:t>$</w:t>
            </w:r>
          </w:p>
        </w:tc>
        <w:tc>
          <w:tcPr>
            <w:tcW w:w="1220" w:type="dxa"/>
            <w:tcBorders/>
            <w:shd w:fill="CCEEFF" w:val="clear"/>
            <w:vAlign w:val="center"/>
          </w:tcPr>
          <w:p>
            <w:pPr>
              <w:pStyle w:val="TableContents"/>
              <w:bidi w:val="0"/>
              <w:spacing w:before="0" w:after="0"/>
              <w:jc w:val="right"/>
              <w:rPr>
                <w:b/>
                <w:spacing w:val="0"/>
              </w:rPr>
            </w:pPr>
            <w:r>
              <w:rPr>
                <w:b/>
                <w:spacing w:val="0"/>
              </w:rPr>
              <w:t>432,520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0"/>
              <w:jc w:val="left"/>
              <w:rPr>
                <w:b/>
                <w:spacing w:val="0"/>
              </w:rPr>
            </w:pPr>
            <w:r>
              <w:rPr>
                <w:b/>
                <w:spacing w:val="0"/>
              </w:rPr>
              <w:t>$</w:t>
            </w:r>
          </w:p>
        </w:tc>
        <w:tc>
          <w:tcPr>
            <w:tcW w:w="1383" w:type="dxa"/>
            <w:tcBorders/>
            <w:shd w:fill="CCEEFF" w:val="clear"/>
            <w:vAlign w:val="center"/>
          </w:tcPr>
          <w:p>
            <w:pPr>
              <w:pStyle w:val="TableContents"/>
              <w:bidi w:val="0"/>
              <w:spacing w:before="0" w:after="0"/>
              <w:jc w:val="right"/>
              <w:rPr>
                <w:b/>
                <w:spacing w:val="0"/>
              </w:rPr>
            </w:pPr>
            <w:r>
              <w:rPr>
                <w:b/>
                <w:spacing w:val="0"/>
              </w:rPr>
              <w:t>378,704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875" w:type="dxa"/>
            <w:tcBorders/>
            <w:shd w:fill="CCEEFF" w:val="clear"/>
            <w:vAlign w:val="center"/>
          </w:tcPr>
          <w:p>
            <w:pPr>
              <w:pStyle w:val="TableContents"/>
              <w:bidi w:val="0"/>
              <w:spacing w:before="0" w:after="0"/>
              <w:jc w:val="right"/>
              <w:rPr>
                <w:b/>
                <w:spacing w:val="0"/>
              </w:rPr>
            </w:pPr>
            <w:r>
              <w:rPr>
                <w:b/>
                <w:spacing w:val="0"/>
              </w:rPr>
              <w:t>811,224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16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Non-cash</w:t>
            </w:r>
          </w:p>
          <w:p>
            <w:pPr>
              <w:pStyle w:val="TableContents"/>
              <w:bidi w:val="0"/>
              <w:spacing w:before="0" w:after="0"/>
              <w:jc w:val="left"/>
              <w:rPr>
                <w:rFonts w:ascii="Times New Roman" w:hAnsi="Times New Roman"/>
                <w:sz w:val="16"/>
              </w:rPr>
            </w:pPr>
            <w:r>
              <w:rPr>
                <w:rFonts w:ascii="Times New Roman" w:hAnsi="Times New Roman"/>
                <w:sz w:val="16"/>
              </w:rPr>
              <w:t>compensation expense</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5,480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5,480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3,910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9,390</w:t>
            </w:r>
          </w:p>
        </w:tc>
        <w:tc>
          <w:tcPr>
            <w:tcW w:w="170"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Net income</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36,970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36,970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29,863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66,833</w:t>
            </w:r>
          </w:p>
        </w:tc>
        <w:tc>
          <w:tcPr>
            <w:tcW w:w="170"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Distributions</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(39,563</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(39,563</w:t>
            </w:r>
          </w:p>
        </w:tc>
        <w:tc>
          <w:tcPr>
            <w:tcW w:w="170" w:type="dxa"/>
            <w:tcBorders/>
            <w:vAlign w:val="center"/>
          </w:tcPr>
          <w:p>
            <w:pPr>
              <w:pStyle w:val="TableContents"/>
              <w:bidi w:val="0"/>
              <w:spacing w:before="0" w:after="283"/>
              <w:jc w:val="left"/>
              <w:rPr/>
            </w:pPr>
            <w:r>
              <w:rPr/>
              <w:t>)</w:t>
            </w:r>
          </w:p>
        </w:tc>
      </w:tr>
      <w:tr>
        <w:trPr/>
        <w:tc>
          <w:tcPr>
            <w:tcW w:w="116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Forfeiture of Class B common stock and LLC Units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(85,082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Issuance of Class A common stock in secondary offering, net of issuance costs</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8,396,830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290,497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290,498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290,498</w:t>
            </w:r>
          </w:p>
        </w:tc>
        <w:tc>
          <w:tcPr>
            <w:tcW w:w="170"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Redemption of LLC Interests and cancellation of Class B common stock</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(8,396,830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(291,705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(291,706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(291,706</w:t>
            </w:r>
          </w:p>
        </w:tc>
        <w:tc>
          <w:tcPr>
            <w:tcW w:w="170"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Non-controlling</w:t>
            </w:r>
          </w:p>
          <w:p>
            <w:pPr>
              <w:pStyle w:val="TableContents"/>
              <w:bidi w:val="0"/>
              <w:spacing w:before="0" w:after="0"/>
              <w:jc w:val="left"/>
              <w:rPr>
                <w:rFonts w:ascii="Times New Roman" w:hAnsi="Times New Roman"/>
                <w:sz w:val="16"/>
              </w:rPr>
            </w:pPr>
            <w:r>
              <w:rPr>
                <w:rFonts w:ascii="Times New Roman" w:hAnsi="Times New Roman"/>
                <w:sz w:val="16"/>
              </w:rPr>
              <w:t>interest adjustment</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18,520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18,520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(18,520</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Establishment of liabilities under tax receivable agreement and related changes to deferred tax assets associated with increases in tax basis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4,499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4,499</w:t>
            </w:r>
          </w:p>
        </w:tc>
        <w:tc>
          <w:tcPr>
            <w:tcW w:w="170"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Balance, June 30, 2026</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0"/>
              <w:jc w:val="left"/>
              <w:rPr>
                <w:b/>
                <w:spacing w:val="0"/>
              </w:rPr>
            </w:pPr>
            <w:r>
              <w:rPr>
                <w:b/>
                <w:spacing w:val="0"/>
              </w:rPr>
              <w:t>$</w:t>
            </w:r>
          </w:p>
        </w:tc>
        <w:tc>
          <w:tcPr>
            <w:tcW w:w="1393"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
                <w:spacing w:val="0"/>
              </w:rPr>
            </w:pPr>
            <w:r>
              <w:rPr>
                <w:b/>
                <w:spacing w:val="0"/>
              </w:rPr>
              <w:t>$</w:t>
            </w:r>
          </w:p>
        </w:tc>
        <w:tc>
          <w:tcPr>
            <w:tcW w:w="1156"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
                <w:spacing w:val="0"/>
              </w:rPr>
            </w:pPr>
            <w:r>
              <w:rPr>
                <w:b/>
                <w:spacing w:val="0"/>
              </w:rPr>
              <w:t>$</w:t>
            </w:r>
          </w:p>
        </w:tc>
        <w:tc>
          <w:tcPr>
            <w:tcW w:w="87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123,745,401</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
                <w:spacing w:val="0"/>
              </w:rPr>
            </w:pPr>
            <w:r>
              <w:rPr>
                <w:b/>
                <w:spacing w:val="0"/>
              </w:rPr>
              <w:t>$</w:t>
            </w:r>
          </w:p>
        </w:tc>
        <w:tc>
          <w:tcPr>
            <w:tcW w:w="559" w:type="dxa"/>
            <w:tcBorders/>
            <w:vAlign w:val="center"/>
          </w:tcPr>
          <w:p>
            <w:pPr>
              <w:pStyle w:val="TableContents"/>
              <w:bidi w:val="0"/>
              <w:spacing w:before="0" w:after="0"/>
              <w:jc w:val="right"/>
              <w:rPr>
                <w:b/>
                <w:spacing w:val="0"/>
              </w:rPr>
            </w:pPr>
            <w:r>
              <w:rPr>
                <w:b/>
                <w:spacing w:val="0"/>
              </w:rPr>
              <w:t>13</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78,646,225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
                <w:spacing w:val="0"/>
              </w:rPr>
            </w:pPr>
            <w:r>
              <w:rPr>
                <w:b/>
                <w:spacing w:val="0"/>
              </w:rPr>
              <w:t>$</w:t>
            </w:r>
          </w:p>
        </w:tc>
        <w:tc>
          <w:tcPr>
            <w:tcW w:w="559" w:type="dxa"/>
            <w:tcBorders/>
            <w:vAlign w:val="center"/>
          </w:tcPr>
          <w:p>
            <w:pPr>
              <w:pStyle w:val="TableContents"/>
              <w:bidi w:val="0"/>
              <w:spacing w:before="0" w:after="0"/>
              <w:jc w:val="right"/>
              <w:rPr>
                <w:b/>
                <w:spacing w:val="0"/>
              </w:rPr>
            </w:pPr>
            <w:r>
              <w:rPr>
                <w:b/>
                <w:spacing w:val="0"/>
              </w:rPr>
              <w:t>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spacing w:val="0"/>
              </w:rPr>
            </w:pPr>
            <w:r>
              <w:rPr>
                <w:b/>
                <w:spacing w:val="0"/>
              </w:rPr>
              <w:t>$</w:t>
            </w:r>
          </w:p>
        </w:tc>
        <w:tc>
          <w:tcPr>
            <w:tcW w:w="949" w:type="dxa"/>
            <w:tcBorders/>
            <w:vAlign w:val="center"/>
          </w:tcPr>
          <w:p>
            <w:pPr>
              <w:pStyle w:val="TableContents"/>
              <w:bidi w:val="0"/>
              <w:spacing w:before="0" w:after="0"/>
              <w:jc w:val="right"/>
              <w:rPr>
                <w:b/>
                <w:spacing w:val="0"/>
              </w:rPr>
            </w:pPr>
            <w:r>
              <w:rPr>
                <w:b/>
                <w:spacing w:val="0"/>
              </w:rPr>
              <w:t>483,148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
                <w:spacing w:val="0"/>
              </w:rPr>
            </w:pPr>
            <w:r>
              <w:rPr>
                <w:b/>
                <w:spacing w:val="0"/>
              </w:rPr>
              <w:t>$</w:t>
            </w:r>
          </w:p>
        </w:tc>
        <w:tc>
          <w:tcPr>
            <w:tcW w:w="1219" w:type="dxa"/>
            <w:tcBorders/>
            <w:vAlign w:val="center"/>
          </w:tcPr>
          <w:p>
            <w:pPr>
              <w:pStyle w:val="TableContents"/>
              <w:bidi w:val="0"/>
              <w:spacing w:before="0" w:after="0"/>
              <w:jc w:val="right"/>
              <w:rPr>
                <w:b/>
                <w:spacing w:val="0"/>
              </w:rPr>
            </w:pPr>
            <w:r>
              <w:rPr>
                <w:b/>
                <w:spacing w:val="0"/>
              </w:rPr>
              <w:t>13,612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
                <w:spacing w:val="0"/>
              </w:rPr>
            </w:pPr>
            <w:r>
              <w:rPr>
                <w:b/>
                <w:spacing w:val="0"/>
              </w:rPr>
              <w:t>$</w:t>
            </w:r>
          </w:p>
        </w:tc>
        <w:tc>
          <w:tcPr>
            <w:tcW w:w="1220" w:type="dxa"/>
            <w:tcBorders/>
            <w:vAlign w:val="center"/>
          </w:tcPr>
          <w:p>
            <w:pPr>
              <w:pStyle w:val="TableContents"/>
              <w:bidi w:val="0"/>
              <w:spacing w:before="0" w:after="0"/>
              <w:jc w:val="right"/>
              <w:rPr>
                <w:b/>
                <w:spacing w:val="0"/>
              </w:rPr>
            </w:pPr>
            <w:r>
              <w:rPr>
                <w:b/>
                <w:spacing w:val="0"/>
              </w:rPr>
              <w:t>496,781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b/>
                <w:spacing w:val="0"/>
              </w:rPr>
            </w:pPr>
            <w:r>
              <w:rPr>
                <w:b/>
                <w:spacing w:val="0"/>
              </w:rPr>
              <w:t>$</w:t>
            </w:r>
          </w:p>
        </w:tc>
        <w:tc>
          <w:tcPr>
            <w:tcW w:w="1383" w:type="dxa"/>
            <w:tcBorders/>
            <w:vAlign w:val="center"/>
          </w:tcPr>
          <w:p>
            <w:pPr>
              <w:pStyle w:val="TableContents"/>
              <w:bidi w:val="0"/>
              <w:spacing w:before="0" w:after="0"/>
              <w:jc w:val="right"/>
              <w:rPr>
                <w:b/>
                <w:spacing w:val="0"/>
              </w:rPr>
            </w:pPr>
            <w:r>
              <w:rPr>
                <w:b/>
                <w:spacing w:val="0"/>
              </w:rPr>
              <w:t>354,394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spacing w:val="0"/>
              </w:rPr>
            </w:pPr>
            <w:r>
              <w:rPr>
                <w:b/>
                <w:spacing w:val="0"/>
              </w:rPr>
              <w:t>$</w:t>
            </w:r>
          </w:p>
        </w:tc>
        <w:tc>
          <w:tcPr>
            <w:tcW w:w="875" w:type="dxa"/>
            <w:tcBorders/>
            <w:vAlign w:val="center"/>
          </w:tcPr>
          <w:p>
            <w:pPr>
              <w:pStyle w:val="TableContents"/>
              <w:bidi w:val="0"/>
              <w:spacing w:before="0" w:after="0"/>
              <w:jc w:val="right"/>
              <w:rPr>
                <w:b/>
                <w:spacing w:val="0"/>
              </w:rPr>
            </w:pPr>
            <w:r>
              <w:rPr>
                <w:b/>
                <w:spacing w:val="0"/>
              </w:rPr>
              <w:t>851,175</w:t>
            </w:r>
          </w:p>
        </w:tc>
        <w:tc>
          <w:tcPr>
            <w:tcW w:w="170" w:type="dxa"/>
            <w:tcBorders/>
            <w:vAlign w:val="center"/>
          </w:tcPr>
          <w:p>
            <w:pPr>
              <w:pStyle w:val="TableContents"/>
              <w:bidi w:val="0"/>
              <w:spacing w:before="0" w:after="0"/>
              <w:jc w:val="left"/>
              <w:rPr>
                <w:spacing w:val="0"/>
              </w:rPr>
            </w:pPr>
            <w:r>
              <w:rPr>
                <w:spacing w:val="0"/>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1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pacing w:val="0"/>
          <w:sz w:val="20"/>
        </w:rPr>
      </w:pPr>
      <w:r>
        <w:rPr>
          <w:rFonts w:ascii="Times New Roman" w:hAnsi="Times New Roman"/>
          <w:spacing w:val="0"/>
          <w:sz w:val="20"/>
        </w:rPr>
        <w:t xml:space="preserve">The accompanying notes are an integral part of these unaudited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Changes of Stockholders’/Member’s Equity - Continued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unaudited) </w:t>
      </w:r>
    </w:p>
    <w:p>
      <w:pPr>
        <w:pStyle w:val="TextBody"/>
        <w:bidi w:val="0"/>
        <w:spacing w:before="0" w:after="0"/>
        <w:jc w:val="left"/>
        <w:rPr>
          <w:spacing w:val="0"/>
        </w:rPr>
      </w:pPr>
      <w:r>
        <w:rPr>
          <w:spacing w:val="0"/>
        </w:rPr>
        <w:t> </w:t>
      </w:r>
    </w:p>
    <w:tbl>
      <w:tblPr>
        <w:tblW w:w="9613" w:type="dxa"/>
        <w:jc w:val="left"/>
        <w:tblInd w:w="0" w:type="dxa"/>
        <w:tblLayout w:type="fixed"/>
        <w:tblCellMar>
          <w:top w:w="0" w:type="dxa"/>
          <w:left w:w="0" w:type="dxa"/>
          <w:bottom w:w="0" w:type="dxa"/>
          <w:right w:w="0" w:type="dxa"/>
        </w:tblCellMar>
      </w:tblPr>
      <w:tblGrid>
        <w:gridCol w:w="2435"/>
        <w:gridCol w:w="120"/>
        <w:gridCol w:w="340"/>
        <w:gridCol w:w="1360"/>
        <w:gridCol w:w="69"/>
        <w:gridCol w:w="138"/>
        <w:gridCol w:w="188"/>
        <w:gridCol w:w="1182"/>
        <w:gridCol w:w="179"/>
        <w:gridCol w:w="69"/>
        <w:gridCol w:w="268"/>
        <w:gridCol w:w="1537"/>
        <w:gridCol w:w="179"/>
        <w:gridCol w:w="69"/>
        <w:gridCol w:w="195"/>
        <w:gridCol w:w="1115"/>
        <w:gridCol w:w="170"/>
      </w:tblGrid>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88" w:type="dxa"/>
            <w:gridSpan w:val="14"/>
            <w:tcBorders/>
            <w:vAlign w:val="center"/>
          </w:tcPr>
          <w:p>
            <w:pPr>
              <w:pStyle w:val="TableContents"/>
              <w:bidi w:val="0"/>
              <w:spacing w:before="0" w:after="0"/>
              <w:jc w:val="center"/>
              <w:rPr>
                <w:b/>
                <w:spacing w:val="0"/>
              </w:rPr>
            </w:pPr>
            <w:r>
              <w:rPr>
                <w:b/>
                <w:spacing w:val="0"/>
              </w:rPr>
              <w:t>SOLV Energy Holdings LLC Member’s Equity</w:t>
            </w:r>
          </w:p>
        </w:tc>
        <w:tc>
          <w:tcPr>
            <w:tcW w:w="17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jc w:val="center"/>
              <w:rPr>
                <w:b/>
                <w:spacing w:val="0"/>
              </w:rPr>
            </w:pPr>
            <w:r>
              <w:rPr>
                <w:b/>
                <w:spacing w:val="0"/>
              </w:rPr>
              <w:t>Non-Controlling</w:t>
            </w:r>
          </w:p>
          <w:p>
            <w:pPr>
              <w:pStyle w:val="TableContents"/>
              <w:bidi w:val="0"/>
              <w:spacing w:before="0" w:after="0"/>
              <w:jc w:val="center"/>
              <w:rPr>
                <w:b/>
                <w:spacing w:val="0"/>
              </w:rPr>
            </w:pPr>
            <w:r>
              <w:rPr>
                <w:b/>
                <w:spacing w:val="0"/>
              </w:rPr>
              <w:br/>
              <w:t>Interest</w:t>
            </w:r>
          </w:p>
        </w:tc>
        <w:tc>
          <w:tcPr>
            <w:tcW w:w="6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br/>
              <w:t>Deficit</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805" w:type="dxa"/>
            <w:gridSpan w:val="2"/>
            <w:tcBorders/>
            <w:vAlign w:val="center"/>
          </w:tcPr>
          <w:p>
            <w:pPr>
              <w:pStyle w:val="TableContents"/>
              <w:bidi w:val="0"/>
              <w:spacing w:before="0" w:after="0"/>
              <w:jc w:val="center"/>
              <w:rPr>
                <w:b/>
                <w:spacing w:val="0"/>
              </w:rPr>
            </w:pPr>
            <w:r>
              <w:rPr>
                <w:b/>
                <w:spacing w:val="0"/>
              </w:rPr>
              <w:t>Member’s Equity</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0"/>
              <w:jc w:val="center"/>
              <w:rPr>
                <w:b/>
                <w:spacing w:val="0"/>
              </w:rPr>
            </w:pPr>
            <w:r>
              <w:rPr>
                <w:b/>
                <w:spacing w:val="0"/>
              </w:rPr>
              <w:t>Total Equity</w:t>
            </w:r>
          </w:p>
        </w:tc>
        <w:tc>
          <w:tcPr>
            <w:tcW w:w="17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December 31, 2024</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0"/>
              <w:jc w:val="left"/>
              <w:rPr>
                <w:b/>
                <w:spacing w:val="0"/>
              </w:rPr>
            </w:pPr>
            <w:r>
              <w:rPr>
                <w:b/>
                <w:spacing w:val="0"/>
              </w:rPr>
              <w:t>$</w:t>
            </w:r>
          </w:p>
        </w:tc>
        <w:tc>
          <w:tcPr>
            <w:tcW w:w="1360" w:type="dxa"/>
            <w:tcBorders/>
            <w:shd w:fill="CCEEFF" w:val="clear"/>
            <w:vAlign w:val="center"/>
          </w:tcPr>
          <w:p>
            <w:pPr>
              <w:pStyle w:val="TableContents"/>
              <w:bidi w:val="0"/>
              <w:spacing w:before="0" w:after="0"/>
              <w:jc w:val="right"/>
              <w:rPr>
                <w:b/>
                <w:spacing w:val="0"/>
              </w:rPr>
            </w:pPr>
            <w:r>
              <w:rPr>
                <w:b/>
                <w:spacing w:val="0"/>
              </w:rPr>
              <w:t>2,510</w:t>
            </w:r>
          </w:p>
        </w:tc>
        <w:tc>
          <w:tcPr>
            <w:tcW w:w="69" w:type="dxa"/>
            <w:tcBorders/>
            <w:shd w:fill="CCEEFF" w:val="clear"/>
            <w:vAlign w:val="center"/>
          </w:tcPr>
          <w:p>
            <w:pPr>
              <w:pStyle w:val="TableContents"/>
              <w:bidi w:val="0"/>
              <w:spacing w:before="0" w:after="0"/>
              <w:jc w:val="left"/>
              <w:rPr>
                <w:spacing w:val="0"/>
              </w:rPr>
            </w:pPr>
            <w:r>
              <w:rPr>
                <w:spacing w:val="0"/>
              </w:rPr>
              <w:t> </w:t>
            </w:r>
          </w:p>
        </w:tc>
        <w:tc>
          <w:tcPr>
            <w:tcW w:w="138"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0"/>
              <w:jc w:val="left"/>
              <w:rPr>
                <w:b/>
                <w:spacing w:val="0"/>
              </w:rPr>
            </w:pPr>
            <w:r>
              <w:rPr>
                <w:b/>
                <w:spacing w:val="0"/>
              </w:rPr>
              <w:t>$</w:t>
            </w:r>
          </w:p>
        </w:tc>
        <w:tc>
          <w:tcPr>
            <w:tcW w:w="1182" w:type="dxa"/>
            <w:tcBorders/>
            <w:shd w:fill="CCEEFF" w:val="clear"/>
            <w:vAlign w:val="center"/>
          </w:tcPr>
          <w:p>
            <w:pPr>
              <w:pStyle w:val="TableContents"/>
              <w:bidi w:val="0"/>
              <w:spacing w:before="0" w:after="0"/>
              <w:jc w:val="right"/>
              <w:rPr>
                <w:b/>
                <w:spacing w:val="0"/>
              </w:rPr>
            </w:pPr>
            <w:r>
              <w:rPr>
                <w:b/>
                <w:spacing w:val="0"/>
              </w:rPr>
              <w:t>(247,322</w:t>
            </w:r>
          </w:p>
        </w:tc>
        <w:tc>
          <w:tcPr>
            <w:tcW w:w="179" w:type="dxa"/>
            <w:tcBorders/>
            <w:shd w:fill="CCEEFF" w:val="clear"/>
            <w:vAlign w:val="center"/>
          </w:tcPr>
          <w:p>
            <w:pPr>
              <w:pStyle w:val="TableContents"/>
              <w:bidi w:val="0"/>
              <w:spacing w:before="0" w:after="0"/>
              <w:jc w:val="left"/>
              <w:rPr>
                <w:b/>
                <w:spacing w:val="0"/>
              </w:rPr>
            </w:pPr>
            <w:r>
              <w:rPr>
                <w:b/>
                <w:spacing w:val="0"/>
              </w:rPr>
              <w:t>) </w:t>
            </w:r>
          </w:p>
        </w:tc>
        <w:tc>
          <w:tcPr>
            <w:tcW w:w="69"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0"/>
              <w:jc w:val="left"/>
              <w:rPr>
                <w:b/>
                <w:spacing w:val="0"/>
              </w:rPr>
            </w:pPr>
            <w:r>
              <w:rPr>
                <w:b/>
                <w:spacing w:val="0"/>
              </w:rPr>
              <w:t>$</w:t>
            </w:r>
          </w:p>
        </w:tc>
        <w:tc>
          <w:tcPr>
            <w:tcW w:w="1537" w:type="dxa"/>
            <w:tcBorders/>
            <w:shd w:fill="CCEEFF" w:val="clear"/>
            <w:vAlign w:val="center"/>
          </w:tcPr>
          <w:p>
            <w:pPr>
              <w:pStyle w:val="TableContents"/>
              <w:bidi w:val="0"/>
              <w:spacing w:before="0" w:after="0"/>
              <w:jc w:val="right"/>
              <w:rPr>
                <w:b/>
                <w:spacing w:val="0"/>
              </w:rPr>
            </w:pPr>
            <w:r>
              <w:rPr>
                <w:b/>
                <w:spacing w:val="0"/>
              </w:rPr>
              <w:t>638,259</w:t>
            </w:r>
          </w:p>
        </w:tc>
        <w:tc>
          <w:tcPr>
            <w:tcW w:w="179" w:type="dxa"/>
            <w:tcBorders/>
            <w:shd w:fill="CCEEFF" w:val="clear"/>
            <w:vAlign w:val="center"/>
          </w:tcPr>
          <w:p>
            <w:pPr>
              <w:pStyle w:val="TableContents"/>
              <w:bidi w:val="0"/>
              <w:spacing w:before="0" w:after="0"/>
              <w:jc w:val="left"/>
              <w:rPr>
                <w:spacing w:val="0"/>
              </w:rPr>
            </w:pPr>
            <w:r>
              <w:rPr>
                <w:spacing w:val="0"/>
              </w:rPr>
              <w:t> </w:t>
            </w:r>
          </w:p>
        </w:tc>
        <w:tc>
          <w:tcPr>
            <w:tcW w:w="69"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b/>
                <w:spacing w:val="0"/>
              </w:rPr>
            </w:pPr>
            <w:r>
              <w:rPr>
                <w:b/>
                <w:spacing w:val="0"/>
              </w:rPr>
              <w:t>$</w:t>
            </w:r>
          </w:p>
        </w:tc>
        <w:tc>
          <w:tcPr>
            <w:tcW w:w="1115" w:type="dxa"/>
            <w:tcBorders/>
            <w:shd w:fill="CCEEFF" w:val="clear"/>
            <w:vAlign w:val="center"/>
          </w:tcPr>
          <w:p>
            <w:pPr>
              <w:pStyle w:val="TableContents"/>
              <w:bidi w:val="0"/>
              <w:spacing w:before="0" w:after="0"/>
              <w:jc w:val="right"/>
              <w:rPr>
                <w:b/>
                <w:spacing w:val="0"/>
              </w:rPr>
            </w:pPr>
            <w:r>
              <w:rPr>
                <w:b/>
                <w:spacing w:val="0"/>
              </w:rPr>
              <w:t>393,447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24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compensation expense</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w:t>
            </w:r>
          </w:p>
        </w:tc>
        <w:tc>
          <w:tcPr>
            <w:tcW w:w="1537" w:type="dxa"/>
            <w:tcBorders/>
            <w:vAlign w:val="center"/>
          </w:tcPr>
          <w:p>
            <w:pPr>
              <w:pStyle w:val="TableContents"/>
              <w:bidi w:val="0"/>
              <w:spacing w:before="0" w:after="283"/>
              <w:jc w:val="right"/>
              <w:rPr/>
            </w:pPr>
            <w:r>
              <w:rPr/>
              <w:t>770</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right"/>
              <w:rPr/>
            </w:pPr>
            <w:r>
              <w:rPr/>
              <w:t>770</w:t>
            </w:r>
          </w:p>
        </w:tc>
        <w:tc>
          <w:tcPr>
            <w:tcW w:w="17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Distributions</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(47,844</w:t>
            </w:r>
          </w:p>
        </w:tc>
        <w:tc>
          <w:tcPr>
            <w:tcW w:w="17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(47,844</w:t>
            </w:r>
          </w:p>
        </w:tc>
        <w:tc>
          <w:tcPr>
            <w:tcW w:w="17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 (loss)</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212</w:t>
            </w:r>
          </w:p>
        </w:tc>
        <w:tc>
          <w:tcPr>
            <w:tcW w:w="6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(714</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(502</w:t>
            </w:r>
          </w:p>
        </w:tc>
        <w:tc>
          <w:tcPr>
            <w:tcW w:w="17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March 31, 2025</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0"/>
              <w:jc w:val="left"/>
              <w:rPr>
                <w:spacing w:val="0"/>
              </w:rPr>
            </w:pPr>
            <w:r>
              <w:rPr>
                <w:spacing w:val="0"/>
              </w:rPr>
              <w:t> </w:t>
            </w:r>
          </w:p>
        </w:tc>
        <w:tc>
          <w:tcPr>
            <w:tcW w:w="1360" w:type="dxa"/>
            <w:tcBorders/>
            <w:shd w:fill="CCEEFF" w:val="clear"/>
            <w:vAlign w:val="center"/>
          </w:tcPr>
          <w:p>
            <w:pPr>
              <w:pStyle w:val="TableContents"/>
              <w:bidi w:val="0"/>
              <w:spacing w:before="0" w:after="0"/>
              <w:jc w:val="right"/>
              <w:rPr>
                <w:b/>
                <w:spacing w:val="0"/>
              </w:rPr>
            </w:pPr>
            <w:r>
              <w:rPr>
                <w:b/>
                <w:spacing w:val="0"/>
              </w:rPr>
              <w:t>2,722</w:t>
            </w:r>
          </w:p>
        </w:tc>
        <w:tc>
          <w:tcPr>
            <w:tcW w:w="69" w:type="dxa"/>
            <w:tcBorders/>
            <w:shd w:fill="CCEEFF" w:val="clear"/>
            <w:vAlign w:val="center"/>
          </w:tcPr>
          <w:p>
            <w:pPr>
              <w:pStyle w:val="TableContents"/>
              <w:bidi w:val="0"/>
              <w:spacing w:before="0" w:after="0"/>
              <w:jc w:val="left"/>
              <w:rPr>
                <w:spacing w:val="0"/>
              </w:rPr>
            </w:pPr>
            <w:r>
              <w:rPr>
                <w:spacing w:val="0"/>
              </w:rPr>
              <w:t> </w:t>
            </w:r>
          </w:p>
        </w:tc>
        <w:tc>
          <w:tcPr>
            <w:tcW w:w="138"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b/>
                <w:spacing w:val="0"/>
              </w:rPr>
            </w:pPr>
            <w:r>
              <w:rPr>
                <w:b/>
                <w:spacing w:val="0"/>
              </w:rPr>
              <w:t>(248,036</w:t>
            </w:r>
          </w:p>
        </w:tc>
        <w:tc>
          <w:tcPr>
            <w:tcW w:w="179" w:type="dxa"/>
            <w:tcBorders/>
            <w:shd w:fill="CCEEFF" w:val="clear"/>
            <w:vAlign w:val="center"/>
          </w:tcPr>
          <w:p>
            <w:pPr>
              <w:pStyle w:val="TableContents"/>
              <w:bidi w:val="0"/>
              <w:spacing w:before="0" w:after="0"/>
              <w:jc w:val="left"/>
              <w:rPr>
                <w:b/>
                <w:spacing w:val="0"/>
              </w:rPr>
            </w:pPr>
            <w:r>
              <w:rPr>
                <w:b/>
                <w:spacing w:val="0"/>
              </w:rPr>
              <w:t>) </w:t>
            </w:r>
          </w:p>
        </w:tc>
        <w:tc>
          <w:tcPr>
            <w:tcW w:w="69"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0"/>
              <w:jc w:val="left"/>
              <w:rPr>
                <w:spacing w:val="0"/>
              </w:rPr>
            </w:pPr>
            <w:r>
              <w:rPr>
                <w:spacing w:val="0"/>
              </w:rPr>
              <w:t> </w:t>
            </w:r>
          </w:p>
        </w:tc>
        <w:tc>
          <w:tcPr>
            <w:tcW w:w="1537" w:type="dxa"/>
            <w:tcBorders/>
            <w:shd w:fill="CCEEFF" w:val="clear"/>
            <w:vAlign w:val="center"/>
          </w:tcPr>
          <w:p>
            <w:pPr>
              <w:pStyle w:val="TableContents"/>
              <w:bidi w:val="0"/>
              <w:spacing w:before="0" w:after="0"/>
              <w:jc w:val="right"/>
              <w:rPr>
                <w:b/>
                <w:spacing w:val="0"/>
              </w:rPr>
            </w:pPr>
            <w:r>
              <w:rPr>
                <w:b/>
                <w:spacing w:val="0"/>
              </w:rPr>
              <w:t>591,185</w:t>
            </w:r>
          </w:p>
        </w:tc>
        <w:tc>
          <w:tcPr>
            <w:tcW w:w="179" w:type="dxa"/>
            <w:tcBorders/>
            <w:shd w:fill="CCEEFF" w:val="clear"/>
            <w:vAlign w:val="center"/>
          </w:tcPr>
          <w:p>
            <w:pPr>
              <w:pStyle w:val="TableContents"/>
              <w:bidi w:val="0"/>
              <w:spacing w:before="0" w:after="0"/>
              <w:jc w:val="left"/>
              <w:rPr>
                <w:spacing w:val="0"/>
              </w:rPr>
            </w:pPr>
            <w:r>
              <w:rPr>
                <w:spacing w:val="0"/>
              </w:rPr>
              <w:t> </w:t>
            </w:r>
          </w:p>
        </w:tc>
        <w:tc>
          <w:tcPr>
            <w:tcW w:w="69"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115" w:type="dxa"/>
            <w:tcBorders/>
            <w:shd w:fill="CCEEFF" w:val="clear"/>
            <w:vAlign w:val="center"/>
          </w:tcPr>
          <w:p>
            <w:pPr>
              <w:pStyle w:val="TableContents"/>
              <w:bidi w:val="0"/>
              <w:spacing w:before="0" w:after="0"/>
              <w:jc w:val="right"/>
              <w:rPr>
                <w:b/>
                <w:spacing w:val="0"/>
              </w:rPr>
            </w:pPr>
            <w:r>
              <w:rPr>
                <w:b/>
                <w:spacing w:val="0"/>
              </w:rPr>
              <w:t>345,871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24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compensation expense</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0"/>
              <w:jc w:val="left"/>
              <w:rPr>
                <w:spacing w:val="0"/>
              </w:rPr>
            </w:pPr>
            <w:r>
              <w:rPr>
                <w:spacing w:val="0"/>
              </w:rPr>
              <w:t> </w:t>
            </w:r>
          </w:p>
        </w:tc>
        <w:tc>
          <w:tcPr>
            <w:tcW w:w="1360" w:type="dxa"/>
            <w:tcBorders/>
            <w:vAlign w:val="center"/>
          </w:tcPr>
          <w:p>
            <w:pPr>
              <w:pStyle w:val="TableContents"/>
              <w:bidi w:val="0"/>
              <w:spacing w:before="0" w:after="0"/>
              <w:jc w:val="right"/>
              <w:rPr>
                <w:spacing w:val="0"/>
              </w:rPr>
            </w:pPr>
            <w:r>
              <w:rPr>
                <w:spacing w:val="0"/>
              </w:rPr>
              <w:t>— </w:t>
            </w:r>
          </w:p>
        </w:tc>
        <w:tc>
          <w:tcPr>
            <w:tcW w:w="69" w:type="dxa"/>
            <w:tcBorders/>
            <w:vAlign w:val="center"/>
          </w:tcPr>
          <w:p>
            <w:pPr>
              <w:pStyle w:val="TableContents"/>
              <w:bidi w:val="0"/>
              <w:spacing w:before="0" w:after="0"/>
              <w:jc w:val="left"/>
              <w:rPr>
                <w:spacing w:val="0"/>
              </w:rPr>
            </w:pPr>
            <w:r>
              <w:rPr>
                <w:spacing w:val="0"/>
              </w:rPr>
              <w:t> </w:t>
            </w:r>
          </w:p>
        </w:tc>
        <w:tc>
          <w:tcPr>
            <w:tcW w:w="138"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right"/>
              <w:rPr/>
            </w:pPr>
            <w:r>
              <w:rPr/>
              <w:t>763</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763</w:t>
            </w:r>
          </w:p>
        </w:tc>
        <w:tc>
          <w:tcPr>
            <w:tcW w:w="17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Distributions</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(22,712</w:t>
            </w:r>
          </w:p>
        </w:tc>
        <w:tc>
          <w:tcPr>
            <w:tcW w:w="17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(22,712</w:t>
            </w:r>
          </w:p>
        </w:tc>
        <w:tc>
          <w:tcPr>
            <w:tcW w:w="17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377</w:t>
            </w:r>
          </w:p>
        </w:tc>
        <w:tc>
          <w:tcPr>
            <w:tcW w:w="6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44,255</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44,632</w:t>
            </w:r>
          </w:p>
        </w:tc>
        <w:tc>
          <w:tcPr>
            <w:tcW w:w="17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June 30, 2025</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0"/>
              <w:jc w:val="left"/>
              <w:rPr>
                <w:b/>
                <w:spacing w:val="0"/>
              </w:rPr>
            </w:pPr>
            <w:r>
              <w:rPr>
                <w:b/>
                <w:spacing w:val="0"/>
              </w:rPr>
              <w:t>$</w:t>
            </w:r>
          </w:p>
        </w:tc>
        <w:tc>
          <w:tcPr>
            <w:tcW w:w="1360" w:type="dxa"/>
            <w:tcBorders/>
            <w:shd w:fill="CCEEFF" w:val="clear"/>
            <w:vAlign w:val="center"/>
          </w:tcPr>
          <w:p>
            <w:pPr>
              <w:pStyle w:val="TableContents"/>
              <w:bidi w:val="0"/>
              <w:spacing w:before="0" w:after="0"/>
              <w:jc w:val="right"/>
              <w:rPr>
                <w:b/>
                <w:spacing w:val="0"/>
              </w:rPr>
            </w:pPr>
            <w:r>
              <w:rPr>
                <w:b/>
                <w:spacing w:val="0"/>
              </w:rPr>
              <w:t>3,099</w:t>
            </w:r>
          </w:p>
        </w:tc>
        <w:tc>
          <w:tcPr>
            <w:tcW w:w="69" w:type="dxa"/>
            <w:tcBorders/>
            <w:shd w:fill="CCEEFF" w:val="clear"/>
            <w:vAlign w:val="center"/>
          </w:tcPr>
          <w:p>
            <w:pPr>
              <w:pStyle w:val="TableContents"/>
              <w:bidi w:val="0"/>
              <w:spacing w:before="0" w:after="0"/>
              <w:jc w:val="left"/>
              <w:rPr>
                <w:spacing w:val="0"/>
              </w:rPr>
            </w:pPr>
            <w:r>
              <w:rPr>
                <w:spacing w:val="0"/>
              </w:rPr>
              <w:t> </w:t>
            </w:r>
          </w:p>
        </w:tc>
        <w:tc>
          <w:tcPr>
            <w:tcW w:w="138"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0"/>
              <w:jc w:val="left"/>
              <w:rPr>
                <w:b/>
                <w:spacing w:val="0"/>
              </w:rPr>
            </w:pPr>
            <w:r>
              <w:rPr>
                <w:b/>
                <w:spacing w:val="0"/>
              </w:rPr>
              <w:t>$</w:t>
            </w:r>
          </w:p>
        </w:tc>
        <w:tc>
          <w:tcPr>
            <w:tcW w:w="1182" w:type="dxa"/>
            <w:tcBorders/>
            <w:shd w:fill="CCEEFF" w:val="clear"/>
            <w:vAlign w:val="center"/>
          </w:tcPr>
          <w:p>
            <w:pPr>
              <w:pStyle w:val="TableContents"/>
              <w:bidi w:val="0"/>
              <w:spacing w:before="0" w:after="0"/>
              <w:jc w:val="right"/>
              <w:rPr>
                <w:b/>
                <w:spacing w:val="0"/>
              </w:rPr>
            </w:pPr>
            <w:r>
              <w:rPr>
                <w:b/>
                <w:spacing w:val="0"/>
              </w:rPr>
              <w:t>(203,781</w:t>
            </w:r>
          </w:p>
        </w:tc>
        <w:tc>
          <w:tcPr>
            <w:tcW w:w="179" w:type="dxa"/>
            <w:tcBorders/>
            <w:shd w:fill="CCEEFF" w:val="clear"/>
            <w:vAlign w:val="center"/>
          </w:tcPr>
          <w:p>
            <w:pPr>
              <w:pStyle w:val="TableContents"/>
              <w:bidi w:val="0"/>
              <w:spacing w:before="0" w:after="0"/>
              <w:jc w:val="left"/>
              <w:rPr>
                <w:b/>
                <w:spacing w:val="0"/>
              </w:rPr>
            </w:pPr>
            <w:r>
              <w:rPr>
                <w:b/>
                <w:spacing w:val="0"/>
              </w:rPr>
              <w:t>) </w:t>
            </w:r>
          </w:p>
        </w:tc>
        <w:tc>
          <w:tcPr>
            <w:tcW w:w="69"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0"/>
              <w:jc w:val="left"/>
              <w:rPr>
                <w:b/>
                <w:spacing w:val="0"/>
              </w:rPr>
            </w:pPr>
            <w:r>
              <w:rPr>
                <w:b/>
                <w:spacing w:val="0"/>
              </w:rPr>
              <w:t>$</w:t>
            </w:r>
          </w:p>
        </w:tc>
        <w:tc>
          <w:tcPr>
            <w:tcW w:w="1537" w:type="dxa"/>
            <w:tcBorders/>
            <w:shd w:fill="CCEEFF" w:val="clear"/>
            <w:vAlign w:val="center"/>
          </w:tcPr>
          <w:p>
            <w:pPr>
              <w:pStyle w:val="TableContents"/>
              <w:bidi w:val="0"/>
              <w:spacing w:before="0" w:after="0"/>
              <w:jc w:val="right"/>
              <w:rPr>
                <w:b/>
                <w:spacing w:val="0"/>
              </w:rPr>
            </w:pPr>
            <w:r>
              <w:rPr>
                <w:b/>
                <w:spacing w:val="0"/>
              </w:rPr>
              <w:t>569,236</w:t>
            </w:r>
          </w:p>
        </w:tc>
        <w:tc>
          <w:tcPr>
            <w:tcW w:w="179" w:type="dxa"/>
            <w:tcBorders/>
            <w:shd w:fill="CCEEFF" w:val="clear"/>
            <w:vAlign w:val="center"/>
          </w:tcPr>
          <w:p>
            <w:pPr>
              <w:pStyle w:val="TableContents"/>
              <w:bidi w:val="0"/>
              <w:spacing w:before="0" w:after="0"/>
              <w:jc w:val="left"/>
              <w:rPr>
                <w:spacing w:val="0"/>
              </w:rPr>
            </w:pPr>
            <w:r>
              <w:rPr>
                <w:spacing w:val="0"/>
              </w:rPr>
              <w:t> </w:t>
            </w:r>
          </w:p>
        </w:tc>
        <w:tc>
          <w:tcPr>
            <w:tcW w:w="69"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b/>
                <w:spacing w:val="0"/>
              </w:rPr>
            </w:pPr>
            <w:r>
              <w:rPr>
                <w:b/>
                <w:spacing w:val="0"/>
              </w:rPr>
              <w:t>$</w:t>
            </w:r>
          </w:p>
        </w:tc>
        <w:tc>
          <w:tcPr>
            <w:tcW w:w="1115" w:type="dxa"/>
            <w:tcBorders/>
            <w:shd w:fill="CCEEFF" w:val="clear"/>
            <w:vAlign w:val="center"/>
          </w:tcPr>
          <w:p>
            <w:pPr>
              <w:pStyle w:val="TableContents"/>
              <w:bidi w:val="0"/>
              <w:spacing w:before="0" w:after="0"/>
              <w:jc w:val="right"/>
              <w:rPr>
                <w:b/>
                <w:spacing w:val="0"/>
              </w:rPr>
            </w:pPr>
            <w:r>
              <w:rPr>
                <w:b/>
                <w:spacing w:val="0"/>
              </w:rPr>
              <w:t>368,554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unaudited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Cash Flows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unaudited) </w:t>
      </w:r>
    </w:p>
    <w:p>
      <w:pPr>
        <w:pStyle w:val="TextBody"/>
        <w:bidi w:val="0"/>
        <w:spacing w:before="0" w:after="0"/>
        <w:ind w:left="0" w:right="0" w:hanging="0"/>
        <w:jc w:val="left"/>
        <w:rPr>
          <w:spacing w:val="0"/>
        </w:rPr>
      </w:pPr>
      <w:r>
        <w:rPr>
          <w:spacing w:val="0"/>
        </w:rPr>
        <w:t> </w:t>
      </w:r>
    </w:p>
    <w:tbl>
      <w:tblPr>
        <w:tblW w:w="8275" w:type="dxa"/>
        <w:jc w:val="left"/>
        <w:tblInd w:w="0" w:type="dxa"/>
        <w:tblLayout w:type="fixed"/>
        <w:tblCellMar>
          <w:top w:w="0" w:type="dxa"/>
          <w:left w:w="0" w:type="dxa"/>
          <w:bottom w:w="0" w:type="dxa"/>
          <w:right w:w="0" w:type="dxa"/>
        </w:tblCellMar>
      </w:tblPr>
      <w:tblGrid>
        <w:gridCol w:w="5225"/>
        <w:gridCol w:w="120"/>
        <w:gridCol w:w="186"/>
        <w:gridCol w:w="1170"/>
        <w:gridCol w:w="126"/>
        <w:gridCol w:w="79"/>
        <w:gridCol w:w="186"/>
        <w:gridCol w:w="1073"/>
        <w:gridCol w:w="110"/>
      </w:tblGrid>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820" w:type="dxa"/>
            <w:gridSpan w:val="6"/>
            <w:tcBorders/>
            <w:vAlign w:val="center"/>
          </w:tcPr>
          <w:p>
            <w:pPr>
              <w:pStyle w:val="TableContents"/>
              <w:bidi w:val="0"/>
              <w:spacing w:before="0" w:after="0"/>
              <w:jc w:val="center"/>
              <w:rPr>
                <w:b/>
                <w:spacing w:val="0"/>
              </w:rPr>
            </w:pPr>
            <w:r>
              <w:rPr>
                <w:b/>
                <w:spacing w:val="0"/>
              </w:rPr>
              <w:t>Six Months Ended June 30,</w:t>
            </w:r>
          </w:p>
        </w:tc>
        <w:tc>
          <w:tcPr>
            <w:tcW w:w="110" w:type="dxa"/>
            <w:tcBorders/>
            <w:vAlign w:val="center"/>
          </w:tcPr>
          <w:p>
            <w:pPr>
              <w:pStyle w:val="TableContents"/>
              <w:bidi w:val="0"/>
              <w:spacing w:before="0" w:after="0"/>
              <w:jc w:val="left"/>
              <w:rPr>
                <w:spacing w:val="0"/>
              </w:rPr>
            </w:pPr>
            <w:r>
              <w:rPr>
                <w:spacing w:val="0"/>
              </w:rPr>
              <w:t> </w:t>
            </w:r>
          </w:p>
        </w:tc>
      </w:tr>
      <w:tr>
        <w:trPr/>
        <w:tc>
          <w:tcPr>
            <w:tcW w:w="52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56" w:type="dxa"/>
            <w:gridSpan w:val="2"/>
            <w:tcBorders/>
            <w:vAlign w:val="center"/>
          </w:tcPr>
          <w:p>
            <w:pPr>
              <w:pStyle w:val="TableContents"/>
              <w:bidi w:val="0"/>
              <w:spacing w:before="0" w:after="0"/>
              <w:jc w:val="center"/>
              <w:rPr>
                <w:b/>
                <w:spacing w:val="0"/>
              </w:rPr>
            </w:pPr>
            <w:r>
              <w:rPr>
                <w:b/>
                <w:spacing w:val="0"/>
              </w:rPr>
              <w:t>2026</w:t>
            </w:r>
          </w:p>
        </w:tc>
        <w:tc>
          <w:tcPr>
            <w:tcW w:w="126" w:type="dxa"/>
            <w:tcBorders/>
            <w:vAlign w:val="center"/>
          </w:tcPr>
          <w:p>
            <w:pPr>
              <w:pStyle w:val="TableContents"/>
              <w:bidi w:val="0"/>
              <w:spacing w:before="0" w:after="0"/>
              <w:jc w:val="left"/>
              <w:rPr>
                <w:spacing w:val="0"/>
              </w:rPr>
            </w:pPr>
            <w:r>
              <w:rPr>
                <w:spacing w:val="0"/>
              </w:rPr>
              <w:t> </w:t>
            </w:r>
          </w:p>
        </w:tc>
        <w:tc>
          <w:tcPr>
            <w:tcW w:w="79" w:type="dxa"/>
            <w:tcBorders/>
            <w:vAlign w:val="center"/>
          </w:tcPr>
          <w:p>
            <w:pPr>
              <w:pStyle w:val="TableContents"/>
              <w:bidi w:val="0"/>
              <w:spacing w:before="0" w:after="0"/>
              <w:jc w:val="left"/>
              <w:rPr>
                <w:spacing w:val="0"/>
              </w:rPr>
            </w:pPr>
            <w:r>
              <w:rPr>
                <w:spacing w:val="0"/>
              </w:rPr>
              <w:t> </w:t>
            </w:r>
          </w:p>
        </w:tc>
        <w:tc>
          <w:tcPr>
            <w:tcW w:w="1259" w:type="dxa"/>
            <w:gridSpan w:val="2"/>
            <w:tcBorders/>
            <w:vAlign w:val="center"/>
          </w:tcPr>
          <w:p>
            <w:pPr>
              <w:pStyle w:val="TableContents"/>
              <w:bidi w:val="0"/>
              <w:spacing w:before="0" w:after="0"/>
              <w:jc w:val="center"/>
              <w:rPr>
                <w:b/>
                <w:spacing w:val="0"/>
              </w:rPr>
            </w:pPr>
            <w:r>
              <w:rPr>
                <w:b/>
                <w:spacing w:val="0"/>
              </w:rPr>
              <w:t>2025</w:t>
            </w:r>
          </w:p>
        </w:tc>
        <w:tc>
          <w:tcPr>
            <w:tcW w:w="110" w:type="dxa"/>
            <w:tcBorders/>
            <w:vAlign w:val="center"/>
          </w:tcPr>
          <w:p>
            <w:pPr>
              <w:pStyle w:val="TableContents"/>
              <w:bidi w:val="0"/>
              <w:spacing w:before="0" w:after="0"/>
              <w:jc w:val="left"/>
              <w:rPr>
                <w:spacing w:val="0"/>
              </w:rPr>
            </w:pPr>
            <w:r>
              <w:rPr>
                <w:spacing w:val="0"/>
              </w:rPr>
              <w:t> </w:t>
            </w:r>
          </w:p>
        </w:tc>
      </w:tr>
      <w:tr>
        <w:trPr/>
        <w:tc>
          <w:tcPr>
            <w:tcW w:w="522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before="0" w:after="283"/>
              <w:jc w:val="left"/>
              <w:rPr>
                <w:sz w:val="4"/>
                <w:szCs w:val="4"/>
              </w:rPr>
            </w:pPr>
            <w:r>
              <w:rPr>
                <w:sz w:val="4"/>
                <w:szCs w:val="4"/>
              </w:rPr>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0"/>
              <w:jc w:val="left"/>
              <w:rPr>
                <w:spacing w:val="0"/>
              </w:rPr>
            </w:pPr>
            <w:r>
              <w:rPr>
                <w:spacing w:val="0"/>
              </w:rPr>
              <w:t> </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073"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170" w:type="dxa"/>
            <w:tcBorders/>
            <w:vAlign w:val="center"/>
          </w:tcPr>
          <w:p>
            <w:pPr>
              <w:pStyle w:val="TableContents"/>
              <w:bidi w:val="0"/>
              <w:spacing w:before="0" w:after="283"/>
              <w:jc w:val="right"/>
              <w:rPr/>
            </w:pPr>
            <w:r>
              <w:rPr/>
              <w:t>39,419</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073" w:type="dxa"/>
            <w:tcBorders/>
            <w:vAlign w:val="center"/>
          </w:tcPr>
          <w:p>
            <w:pPr>
              <w:pStyle w:val="TableContents"/>
              <w:bidi w:val="0"/>
              <w:spacing w:before="0" w:after="283"/>
              <w:jc w:val="right"/>
              <w:rPr/>
            </w:pPr>
            <w:r>
              <w:rPr/>
              <w:t>44,130</w:t>
            </w:r>
          </w:p>
        </w:tc>
        <w:tc>
          <w:tcPr>
            <w:tcW w:w="11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115" w:after="0"/>
              <w:jc w:val="left"/>
              <w:rPr>
                <w:spacing w:val="0"/>
              </w:rPr>
            </w:pPr>
            <w:r>
              <w:rPr>
                <w:spacing w:val="0"/>
              </w:rPr>
              <w:t> </w:t>
            </w:r>
          </w:p>
        </w:tc>
        <w:tc>
          <w:tcPr>
            <w:tcW w:w="120" w:type="dxa"/>
            <w:tcBorders/>
            <w:vAlign w:val="center"/>
          </w:tcPr>
          <w:p>
            <w:pPr>
              <w:pStyle w:val="TableContents"/>
              <w:bidi w:val="0"/>
              <w:spacing w:before="115" w:after="283"/>
              <w:jc w:val="left"/>
              <w:rPr>
                <w:spacing w:val="0"/>
              </w:rPr>
            </w:pPr>
            <w:r>
              <w:rPr>
                <w:spacing w:val="0"/>
              </w:rPr>
              <w:t> </w:t>
            </w:r>
          </w:p>
        </w:tc>
        <w:tc>
          <w:tcPr>
            <w:tcW w:w="186" w:type="dxa"/>
            <w:tcBorders/>
            <w:vAlign w:val="center"/>
          </w:tcPr>
          <w:p>
            <w:pPr>
              <w:pStyle w:val="TableContents"/>
              <w:bidi w:val="0"/>
              <w:spacing w:before="115" w:after="283"/>
              <w:jc w:val="left"/>
              <w:rPr>
                <w:spacing w:val="0"/>
              </w:rPr>
            </w:pPr>
            <w:r>
              <w:rPr>
                <w:spacing w:val="0"/>
              </w:rPr>
              <w:t> </w:t>
            </w:r>
          </w:p>
        </w:tc>
        <w:tc>
          <w:tcPr>
            <w:tcW w:w="1170" w:type="dxa"/>
            <w:tcBorders/>
            <w:vAlign w:val="center"/>
          </w:tcPr>
          <w:p>
            <w:pPr>
              <w:pStyle w:val="TableContents"/>
              <w:bidi w:val="0"/>
              <w:spacing w:before="115" w:after="283"/>
              <w:jc w:val="right"/>
              <w:rPr>
                <w:spacing w:val="0"/>
              </w:rPr>
            </w:pPr>
            <w:r>
              <w:rPr>
                <w:spacing w:val="0"/>
              </w:rPr>
              <w:t> </w:t>
            </w:r>
          </w:p>
        </w:tc>
        <w:tc>
          <w:tcPr>
            <w:tcW w:w="126" w:type="dxa"/>
            <w:tcBorders/>
            <w:vAlign w:val="center"/>
          </w:tcPr>
          <w:p>
            <w:pPr>
              <w:pStyle w:val="TableContents"/>
              <w:bidi w:val="0"/>
              <w:spacing w:before="115" w:after="283"/>
              <w:jc w:val="left"/>
              <w:rPr>
                <w:spacing w:val="0"/>
              </w:rPr>
            </w:pPr>
            <w:r>
              <w:rPr>
                <w:spacing w:val="0"/>
              </w:rPr>
              <w:t> </w:t>
            </w:r>
          </w:p>
        </w:tc>
        <w:tc>
          <w:tcPr>
            <w:tcW w:w="79" w:type="dxa"/>
            <w:tcBorders/>
            <w:vAlign w:val="center"/>
          </w:tcPr>
          <w:p>
            <w:pPr>
              <w:pStyle w:val="TableContents"/>
              <w:bidi w:val="0"/>
              <w:spacing w:before="115" w:after="283"/>
              <w:jc w:val="left"/>
              <w:rPr>
                <w:spacing w:val="0"/>
              </w:rPr>
            </w:pPr>
            <w:r>
              <w:rPr>
                <w:spacing w:val="0"/>
              </w:rPr>
              <w:t> </w:t>
            </w:r>
          </w:p>
        </w:tc>
        <w:tc>
          <w:tcPr>
            <w:tcW w:w="186" w:type="dxa"/>
            <w:tcBorders/>
            <w:vAlign w:val="center"/>
          </w:tcPr>
          <w:p>
            <w:pPr>
              <w:pStyle w:val="TableContents"/>
              <w:bidi w:val="0"/>
              <w:spacing w:before="115" w:after="283"/>
              <w:jc w:val="left"/>
              <w:rPr>
                <w:spacing w:val="0"/>
              </w:rPr>
            </w:pPr>
            <w:r>
              <w:rPr>
                <w:spacing w:val="0"/>
              </w:rPr>
              <w:t> </w:t>
            </w:r>
          </w:p>
        </w:tc>
        <w:tc>
          <w:tcPr>
            <w:tcW w:w="1073" w:type="dxa"/>
            <w:tcBorders/>
            <w:vAlign w:val="center"/>
          </w:tcPr>
          <w:p>
            <w:pPr>
              <w:pStyle w:val="TableContents"/>
              <w:bidi w:val="0"/>
              <w:spacing w:before="115" w:after="283"/>
              <w:jc w:val="right"/>
              <w:rPr>
                <w:spacing w:val="0"/>
              </w:rPr>
            </w:pPr>
            <w:r>
              <w:rPr>
                <w:spacing w:val="0"/>
              </w:rPr>
              <w:t> </w:t>
            </w:r>
          </w:p>
        </w:tc>
        <w:tc>
          <w:tcPr>
            <w:tcW w:w="110" w:type="dxa"/>
            <w:tcBorders/>
            <w:vAlign w:val="center"/>
          </w:tcPr>
          <w:p>
            <w:pPr>
              <w:pStyle w:val="TableContents"/>
              <w:bidi w:val="0"/>
              <w:spacing w:before="115" w:after="283"/>
              <w:jc w:val="left"/>
              <w:rPr>
                <w:spacing w:val="0"/>
              </w:rPr>
            </w:pPr>
            <w:r>
              <w:rPr>
                <w:spacing w:val="0"/>
              </w:rPr>
              <w:t> </w:t>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Adjustments to reconcile net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income</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to 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before="0" w:after="283"/>
              <w:jc w:val="left"/>
              <w:rPr>
                <w:sz w:val="4"/>
                <w:szCs w:val="4"/>
              </w:rPr>
            </w:pPr>
            <w:r>
              <w:rPr>
                <w:sz w:val="4"/>
                <w:szCs w:val="4"/>
              </w:rPr>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073"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50,489</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39,763</w:t>
            </w:r>
          </w:p>
        </w:tc>
        <w:tc>
          <w:tcPr>
            <w:tcW w:w="11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compensation expense</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79,670</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1,972</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Loss on extinguishment of debt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portion)</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6,676</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Write off of project development costs</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4,265</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752</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 receivable agreement liability adjustment</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(2,428</w:t>
            </w:r>
          </w:p>
        </w:tc>
        <w:tc>
          <w:tcPr>
            <w:tcW w:w="126" w:type="dxa"/>
            <w:tcBorders/>
            <w:vAlign w:val="center"/>
          </w:tcPr>
          <w:p>
            <w:pPr>
              <w:pStyle w:val="TableContents"/>
              <w:bidi w:val="0"/>
              <w:spacing w:before="0" w:after="283"/>
              <w:jc w:val="left"/>
              <w:rPr/>
            </w:pPr>
            <w:r>
              <w:rPr/>
              <w:t>)</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(12</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547</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operating assets and liabilities</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(132,040</w:t>
            </w:r>
          </w:p>
        </w:tc>
        <w:tc>
          <w:tcPr>
            <w:tcW w:w="126" w:type="dxa"/>
            <w:tcBorders/>
            <w:vAlign w:val="center"/>
          </w:tcPr>
          <w:p>
            <w:pPr>
              <w:pStyle w:val="TableContents"/>
              <w:bidi w:val="0"/>
              <w:spacing w:before="0" w:after="283"/>
              <w:jc w:val="left"/>
              <w:rPr/>
            </w:pPr>
            <w:r>
              <w:rPr/>
              <w:t>)</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(36,328</w:t>
            </w:r>
          </w:p>
        </w:tc>
        <w:tc>
          <w:tcPr>
            <w:tcW w:w="110" w:type="dxa"/>
            <w:tcBorders/>
            <w:vAlign w:val="center"/>
          </w:tcPr>
          <w:p>
            <w:pPr>
              <w:pStyle w:val="TableContents"/>
              <w:bidi w:val="0"/>
              <w:spacing w:before="0" w:after="283"/>
              <w:jc w:val="left"/>
              <w:rPr/>
            </w:pPr>
            <w:r>
              <w:rPr/>
              <w:t>)</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46,039</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50,836</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115" w:after="0"/>
              <w:jc w:val="left"/>
              <w:rPr>
                <w:spacing w:val="0"/>
              </w:rPr>
            </w:pPr>
            <w:r>
              <w:rPr>
                <w:spacing w:val="0"/>
              </w:rPr>
              <w:t> </w:t>
            </w:r>
          </w:p>
        </w:tc>
        <w:tc>
          <w:tcPr>
            <w:tcW w:w="120" w:type="dxa"/>
            <w:tcBorders/>
            <w:vAlign w:val="center"/>
          </w:tcPr>
          <w:p>
            <w:pPr>
              <w:pStyle w:val="TableContents"/>
              <w:bidi w:val="0"/>
              <w:spacing w:before="115" w:after="283"/>
              <w:jc w:val="left"/>
              <w:rPr>
                <w:spacing w:val="0"/>
              </w:rPr>
            </w:pPr>
            <w:r>
              <w:rPr>
                <w:spacing w:val="0"/>
              </w:rPr>
              <w:t> </w:t>
            </w:r>
          </w:p>
        </w:tc>
        <w:tc>
          <w:tcPr>
            <w:tcW w:w="186" w:type="dxa"/>
            <w:tcBorders/>
            <w:vAlign w:val="center"/>
          </w:tcPr>
          <w:p>
            <w:pPr>
              <w:pStyle w:val="TableContents"/>
              <w:bidi w:val="0"/>
              <w:spacing w:before="115" w:after="283"/>
              <w:jc w:val="left"/>
              <w:rPr>
                <w:spacing w:val="0"/>
              </w:rPr>
            </w:pPr>
            <w:r>
              <w:rPr>
                <w:spacing w:val="0"/>
              </w:rPr>
              <w:t> </w:t>
            </w:r>
          </w:p>
        </w:tc>
        <w:tc>
          <w:tcPr>
            <w:tcW w:w="1170" w:type="dxa"/>
            <w:tcBorders/>
            <w:vAlign w:val="center"/>
          </w:tcPr>
          <w:p>
            <w:pPr>
              <w:pStyle w:val="TableContents"/>
              <w:bidi w:val="0"/>
              <w:spacing w:before="115" w:after="283"/>
              <w:jc w:val="left"/>
              <w:rPr>
                <w:spacing w:val="0"/>
              </w:rPr>
            </w:pPr>
            <w:r>
              <w:rPr>
                <w:spacing w:val="0"/>
              </w:rPr>
              <w:t> </w:t>
            </w:r>
          </w:p>
        </w:tc>
        <w:tc>
          <w:tcPr>
            <w:tcW w:w="126" w:type="dxa"/>
            <w:tcBorders/>
            <w:vAlign w:val="center"/>
          </w:tcPr>
          <w:p>
            <w:pPr>
              <w:pStyle w:val="TableContents"/>
              <w:bidi w:val="0"/>
              <w:spacing w:before="115" w:after="283"/>
              <w:jc w:val="left"/>
              <w:rPr>
                <w:spacing w:val="0"/>
              </w:rPr>
            </w:pPr>
            <w:r>
              <w:rPr>
                <w:spacing w:val="0"/>
              </w:rPr>
              <w:t> </w:t>
            </w:r>
          </w:p>
        </w:tc>
        <w:tc>
          <w:tcPr>
            <w:tcW w:w="79" w:type="dxa"/>
            <w:tcBorders/>
            <w:vAlign w:val="center"/>
          </w:tcPr>
          <w:p>
            <w:pPr>
              <w:pStyle w:val="TableContents"/>
              <w:bidi w:val="0"/>
              <w:spacing w:before="115" w:after="283"/>
              <w:jc w:val="left"/>
              <w:rPr>
                <w:spacing w:val="0"/>
              </w:rPr>
            </w:pPr>
            <w:r>
              <w:rPr>
                <w:spacing w:val="0"/>
              </w:rPr>
              <w:t> </w:t>
            </w:r>
          </w:p>
        </w:tc>
        <w:tc>
          <w:tcPr>
            <w:tcW w:w="186" w:type="dxa"/>
            <w:tcBorders/>
            <w:vAlign w:val="center"/>
          </w:tcPr>
          <w:p>
            <w:pPr>
              <w:pStyle w:val="TableContents"/>
              <w:bidi w:val="0"/>
              <w:spacing w:before="115" w:after="283"/>
              <w:jc w:val="left"/>
              <w:rPr>
                <w:spacing w:val="0"/>
              </w:rPr>
            </w:pPr>
            <w:r>
              <w:rPr>
                <w:spacing w:val="0"/>
              </w:rPr>
              <w:t> </w:t>
            </w:r>
          </w:p>
        </w:tc>
        <w:tc>
          <w:tcPr>
            <w:tcW w:w="1073" w:type="dxa"/>
            <w:tcBorders/>
            <w:vAlign w:val="center"/>
          </w:tcPr>
          <w:p>
            <w:pPr>
              <w:pStyle w:val="TableContents"/>
              <w:bidi w:val="0"/>
              <w:spacing w:before="115" w:after="283"/>
              <w:jc w:val="left"/>
              <w:rPr>
                <w:spacing w:val="0"/>
              </w:rPr>
            </w:pPr>
            <w:r>
              <w:rPr>
                <w:spacing w:val="0"/>
              </w:rPr>
              <w:t> </w:t>
            </w:r>
          </w:p>
        </w:tc>
        <w:tc>
          <w:tcPr>
            <w:tcW w:w="110" w:type="dxa"/>
            <w:tcBorders/>
            <w:vAlign w:val="center"/>
          </w:tcPr>
          <w:p>
            <w:pPr>
              <w:pStyle w:val="TableContents"/>
              <w:bidi w:val="0"/>
              <w:spacing w:before="115" w:after="283"/>
              <w:jc w:val="left"/>
              <w:rPr>
                <w:spacing w:val="0"/>
              </w:rPr>
            </w:pPr>
            <w:r>
              <w:rPr>
                <w:spacing w:val="0"/>
              </w:rPr>
              <w:t> </w:t>
            </w:r>
          </w:p>
        </w:tc>
      </w:tr>
      <w:tr>
        <w:trPr/>
        <w:tc>
          <w:tcPr>
            <w:tcW w:w="52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Purchases of property and equipment</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(15,960</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(5,313</w:t>
            </w:r>
          </w:p>
        </w:tc>
        <w:tc>
          <w:tcPr>
            <w:tcW w:w="110" w:type="dxa"/>
            <w:tcBorders/>
            <w:shd w:fill="CCEEFF" w:val="clear"/>
            <w:vAlign w:val="center"/>
          </w:tcPr>
          <w:p>
            <w:pPr>
              <w:pStyle w:val="TableContents"/>
              <w:bidi w:val="0"/>
              <w:spacing w:before="0" w:after="283"/>
              <w:jc w:val="left"/>
              <w:rPr/>
            </w:pPr>
            <w:r>
              <w:rPr/>
              <w:t>)</w:t>
            </w:r>
          </w:p>
        </w:tc>
      </w:tr>
      <w:tr>
        <w:trPr/>
        <w:tc>
          <w:tcPr>
            <w:tcW w:w="5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paid for acquisitions, net of cash acquired</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(55,756</w:t>
            </w:r>
          </w:p>
        </w:tc>
        <w:tc>
          <w:tcPr>
            <w:tcW w:w="110" w:type="dxa"/>
            <w:tcBorders/>
            <w:vAlign w:val="center"/>
          </w:tcPr>
          <w:p>
            <w:pPr>
              <w:pStyle w:val="TableContents"/>
              <w:bidi w:val="0"/>
              <w:spacing w:before="0" w:after="283"/>
              <w:jc w:val="left"/>
              <w:rPr/>
            </w:pPr>
            <w:r>
              <w:rPr/>
              <w:t>)</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investing activities</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(15,960</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(61,069</w:t>
            </w:r>
          </w:p>
        </w:tc>
        <w:tc>
          <w:tcPr>
            <w:tcW w:w="110" w:type="dxa"/>
            <w:tcBorders/>
            <w:shd w:fill="CCEEFF" w:val="clear"/>
            <w:vAlign w:val="center"/>
          </w:tcPr>
          <w:p>
            <w:pPr>
              <w:pStyle w:val="TableContents"/>
              <w:bidi w:val="0"/>
              <w:spacing w:before="0" w:after="283"/>
              <w:jc w:val="left"/>
              <w:rPr/>
            </w:pPr>
            <w:r>
              <w:rPr/>
              <w:t>)</w:t>
            </w:r>
          </w:p>
        </w:tc>
      </w:tr>
      <w:tr>
        <w:trPr/>
        <w:tc>
          <w:tcPr>
            <w:tcW w:w="5225" w:type="dxa"/>
            <w:tcBorders/>
            <w:vAlign w:val="center"/>
          </w:tcPr>
          <w:p>
            <w:pPr>
              <w:pStyle w:val="TableContents"/>
              <w:bidi w:val="0"/>
              <w:spacing w:before="115" w:after="0"/>
              <w:jc w:val="left"/>
              <w:rPr>
                <w:spacing w:val="0"/>
              </w:rPr>
            </w:pPr>
            <w:r>
              <w:rPr>
                <w:spacing w:val="0"/>
              </w:rPr>
              <w:t> </w:t>
            </w:r>
          </w:p>
        </w:tc>
        <w:tc>
          <w:tcPr>
            <w:tcW w:w="120" w:type="dxa"/>
            <w:tcBorders/>
            <w:vAlign w:val="center"/>
          </w:tcPr>
          <w:p>
            <w:pPr>
              <w:pStyle w:val="TableContents"/>
              <w:bidi w:val="0"/>
              <w:spacing w:before="115" w:after="283"/>
              <w:jc w:val="left"/>
              <w:rPr>
                <w:spacing w:val="0"/>
              </w:rPr>
            </w:pPr>
            <w:r>
              <w:rPr>
                <w:spacing w:val="0"/>
              </w:rPr>
              <w:t> </w:t>
            </w:r>
          </w:p>
        </w:tc>
        <w:tc>
          <w:tcPr>
            <w:tcW w:w="186" w:type="dxa"/>
            <w:tcBorders/>
            <w:vAlign w:val="center"/>
          </w:tcPr>
          <w:p>
            <w:pPr>
              <w:pStyle w:val="TableContents"/>
              <w:bidi w:val="0"/>
              <w:spacing w:before="115" w:after="283"/>
              <w:jc w:val="left"/>
              <w:rPr>
                <w:spacing w:val="0"/>
              </w:rPr>
            </w:pPr>
            <w:r>
              <w:rPr>
                <w:spacing w:val="0"/>
              </w:rPr>
              <w:t> </w:t>
            </w:r>
          </w:p>
        </w:tc>
        <w:tc>
          <w:tcPr>
            <w:tcW w:w="1170" w:type="dxa"/>
            <w:tcBorders/>
            <w:vAlign w:val="center"/>
          </w:tcPr>
          <w:p>
            <w:pPr>
              <w:pStyle w:val="TableContents"/>
              <w:bidi w:val="0"/>
              <w:spacing w:before="115" w:after="283"/>
              <w:jc w:val="left"/>
              <w:rPr>
                <w:spacing w:val="0"/>
              </w:rPr>
            </w:pPr>
            <w:r>
              <w:rPr>
                <w:spacing w:val="0"/>
              </w:rPr>
              <w:t> </w:t>
            </w:r>
          </w:p>
        </w:tc>
        <w:tc>
          <w:tcPr>
            <w:tcW w:w="126" w:type="dxa"/>
            <w:tcBorders/>
            <w:vAlign w:val="center"/>
          </w:tcPr>
          <w:p>
            <w:pPr>
              <w:pStyle w:val="TableContents"/>
              <w:bidi w:val="0"/>
              <w:spacing w:before="115" w:after="283"/>
              <w:jc w:val="left"/>
              <w:rPr>
                <w:spacing w:val="0"/>
              </w:rPr>
            </w:pPr>
            <w:r>
              <w:rPr>
                <w:spacing w:val="0"/>
              </w:rPr>
              <w:t> </w:t>
            </w:r>
          </w:p>
        </w:tc>
        <w:tc>
          <w:tcPr>
            <w:tcW w:w="79" w:type="dxa"/>
            <w:tcBorders/>
            <w:vAlign w:val="center"/>
          </w:tcPr>
          <w:p>
            <w:pPr>
              <w:pStyle w:val="TableContents"/>
              <w:bidi w:val="0"/>
              <w:spacing w:before="115" w:after="283"/>
              <w:jc w:val="left"/>
              <w:rPr>
                <w:spacing w:val="0"/>
              </w:rPr>
            </w:pPr>
            <w:r>
              <w:rPr>
                <w:spacing w:val="0"/>
              </w:rPr>
              <w:t> </w:t>
            </w:r>
          </w:p>
        </w:tc>
        <w:tc>
          <w:tcPr>
            <w:tcW w:w="186" w:type="dxa"/>
            <w:tcBorders/>
            <w:vAlign w:val="center"/>
          </w:tcPr>
          <w:p>
            <w:pPr>
              <w:pStyle w:val="TableContents"/>
              <w:bidi w:val="0"/>
              <w:spacing w:before="115" w:after="283"/>
              <w:jc w:val="left"/>
              <w:rPr>
                <w:spacing w:val="0"/>
              </w:rPr>
            </w:pPr>
            <w:r>
              <w:rPr>
                <w:spacing w:val="0"/>
              </w:rPr>
              <w:t> </w:t>
            </w:r>
          </w:p>
        </w:tc>
        <w:tc>
          <w:tcPr>
            <w:tcW w:w="1073" w:type="dxa"/>
            <w:tcBorders/>
            <w:vAlign w:val="center"/>
          </w:tcPr>
          <w:p>
            <w:pPr>
              <w:pStyle w:val="TableContents"/>
              <w:bidi w:val="0"/>
              <w:spacing w:before="115" w:after="283"/>
              <w:jc w:val="left"/>
              <w:rPr>
                <w:spacing w:val="0"/>
              </w:rPr>
            </w:pPr>
            <w:r>
              <w:rPr>
                <w:spacing w:val="0"/>
              </w:rPr>
              <w:t> </w:t>
            </w:r>
          </w:p>
        </w:tc>
        <w:tc>
          <w:tcPr>
            <w:tcW w:w="110" w:type="dxa"/>
            <w:tcBorders/>
            <w:vAlign w:val="center"/>
          </w:tcPr>
          <w:p>
            <w:pPr>
              <w:pStyle w:val="TableContents"/>
              <w:bidi w:val="0"/>
              <w:spacing w:before="115" w:after="283"/>
              <w:jc w:val="left"/>
              <w:rPr>
                <w:spacing w:val="0"/>
              </w:rPr>
            </w:pPr>
            <w:r>
              <w:rPr>
                <w:spacing w:val="0"/>
              </w:rPr>
              <w:t> </w:t>
            </w:r>
          </w:p>
        </w:tc>
      </w:tr>
      <w:tr>
        <w:trPr/>
        <w:tc>
          <w:tcPr>
            <w:tcW w:w="52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Class A common stock, net of underwriting discount</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844,249</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 of LLC Interests</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(291,706</w:t>
            </w:r>
          </w:p>
        </w:tc>
        <w:tc>
          <w:tcPr>
            <w:tcW w:w="126" w:type="dxa"/>
            <w:tcBorders/>
            <w:vAlign w:val="center"/>
          </w:tcPr>
          <w:p>
            <w:pPr>
              <w:pStyle w:val="TableContents"/>
              <w:bidi w:val="0"/>
              <w:spacing w:before="0" w:after="283"/>
              <w:jc w:val="left"/>
              <w:rPr/>
            </w:pPr>
            <w:r>
              <w:rPr/>
              <w:t>)</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Repayment of term debt</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(405,203</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(2,031</w:t>
            </w:r>
          </w:p>
        </w:tc>
        <w:tc>
          <w:tcPr>
            <w:tcW w:w="110"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5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 of deferred acquisition consideration</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(5,500</w:t>
            </w:r>
          </w:p>
        </w:tc>
        <w:tc>
          <w:tcPr>
            <w:tcW w:w="126" w:type="dxa"/>
            <w:tcBorders/>
            <w:vAlign w:val="center"/>
          </w:tcPr>
          <w:p>
            <w:pPr>
              <w:pStyle w:val="TableContents"/>
              <w:bidi w:val="0"/>
              <w:spacing w:before="0" w:after="283"/>
              <w:jc w:val="left"/>
              <w:rPr/>
            </w:pPr>
            <w:r>
              <w:rPr/>
              <w:t>)</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 of offering costs</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(5,917</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on debt</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32,500</w:t>
            </w:r>
          </w:p>
        </w:tc>
        <w:tc>
          <w:tcPr>
            <w:tcW w:w="11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 of debt issuance costs</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(2,800</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Payments for finance leases</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(6,261</w:t>
            </w:r>
          </w:p>
        </w:tc>
        <w:tc>
          <w:tcPr>
            <w:tcW w:w="126" w:type="dxa"/>
            <w:tcBorders/>
            <w:vAlign w:val="center"/>
          </w:tcPr>
          <w:p>
            <w:pPr>
              <w:pStyle w:val="TableContents"/>
              <w:bidi w:val="0"/>
              <w:spacing w:before="0" w:after="283"/>
              <w:jc w:val="left"/>
              <w:rPr/>
            </w:pPr>
            <w:r>
              <w:rPr/>
              <w:t>)</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(4,226</w:t>
            </w:r>
          </w:p>
        </w:tc>
        <w:tc>
          <w:tcPr>
            <w:tcW w:w="110" w:type="dxa"/>
            <w:tcBorders/>
            <w:vAlign w:val="center"/>
          </w:tcPr>
          <w:p>
            <w:pPr>
              <w:pStyle w:val="TableContents"/>
              <w:bidi w:val="0"/>
              <w:spacing w:before="0" w:after="283"/>
              <w:jc w:val="left"/>
              <w:rPr/>
            </w:pPr>
            <w:r>
              <w:rPr/>
              <w:t>)</w:t>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on equipment financing</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14,500</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Payments on equipment financing</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(3,441</w:t>
            </w:r>
          </w:p>
        </w:tc>
        <w:tc>
          <w:tcPr>
            <w:tcW w:w="126" w:type="dxa"/>
            <w:tcBorders/>
            <w:vAlign w:val="center"/>
          </w:tcPr>
          <w:p>
            <w:pPr>
              <w:pStyle w:val="TableContents"/>
              <w:bidi w:val="0"/>
              <w:spacing w:before="0" w:after="283"/>
              <w:jc w:val="left"/>
              <w:rPr/>
            </w:pPr>
            <w:r>
              <w:rPr/>
              <w:t>)</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(3,267</w:t>
            </w:r>
          </w:p>
        </w:tc>
        <w:tc>
          <w:tcPr>
            <w:tcW w:w="110" w:type="dxa"/>
            <w:tcBorders/>
            <w:vAlign w:val="center"/>
          </w:tcPr>
          <w:p>
            <w:pPr>
              <w:pStyle w:val="TableContents"/>
              <w:bidi w:val="0"/>
              <w:spacing w:before="0" w:after="283"/>
              <w:jc w:val="left"/>
              <w:rPr/>
            </w:pPr>
            <w:r>
              <w:rPr/>
              <w:t>)</w:t>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Distributions to members of SOLV Energy Holdings LLC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(184,408</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(71,809</w:t>
            </w:r>
          </w:p>
        </w:tc>
        <w:tc>
          <w:tcPr>
            <w:tcW w:w="110"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financing activities</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(60,987</w:t>
            </w:r>
          </w:p>
        </w:tc>
        <w:tc>
          <w:tcPr>
            <w:tcW w:w="126" w:type="dxa"/>
            <w:tcBorders/>
            <w:vAlign w:val="center"/>
          </w:tcPr>
          <w:p>
            <w:pPr>
              <w:pStyle w:val="TableContents"/>
              <w:bidi w:val="0"/>
              <w:spacing w:before="0" w:after="283"/>
              <w:jc w:val="left"/>
              <w:rPr/>
            </w:pPr>
            <w:r>
              <w:rPr/>
              <w:t>)</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(34,333</w:t>
            </w:r>
          </w:p>
        </w:tc>
        <w:tc>
          <w:tcPr>
            <w:tcW w:w="110" w:type="dxa"/>
            <w:tcBorders/>
            <w:vAlign w:val="center"/>
          </w:tcPr>
          <w:p>
            <w:pPr>
              <w:pStyle w:val="TableContents"/>
              <w:bidi w:val="0"/>
              <w:spacing w:before="0" w:after="283"/>
              <w:jc w:val="left"/>
              <w:rPr/>
            </w:pPr>
            <w:r>
              <w:rPr/>
              <w:t>)</w:t>
            </w:r>
          </w:p>
        </w:tc>
      </w:tr>
      <w:tr>
        <w:trPr/>
        <w:tc>
          <w:tcPr>
            <w:tcW w:w="5225" w:type="dxa"/>
            <w:tcBorders/>
            <w:vAlign w:val="center"/>
          </w:tcPr>
          <w:p>
            <w:pPr>
              <w:pStyle w:val="TableContents"/>
              <w:bidi w:val="0"/>
              <w:spacing w:before="115" w:after="0"/>
              <w:jc w:val="left"/>
              <w:rPr>
                <w:spacing w:val="0"/>
              </w:rPr>
            </w:pPr>
            <w:r>
              <w:rPr>
                <w:spacing w:val="0"/>
              </w:rPr>
              <w:t> </w:t>
            </w:r>
          </w:p>
        </w:tc>
        <w:tc>
          <w:tcPr>
            <w:tcW w:w="120" w:type="dxa"/>
            <w:tcBorders/>
            <w:vAlign w:val="center"/>
          </w:tcPr>
          <w:p>
            <w:pPr>
              <w:pStyle w:val="TableContents"/>
              <w:bidi w:val="0"/>
              <w:spacing w:before="115" w:after="283"/>
              <w:jc w:val="left"/>
              <w:rPr>
                <w:spacing w:val="0"/>
              </w:rPr>
            </w:pPr>
            <w:r>
              <w:rPr>
                <w:spacing w:val="0"/>
              </w:rPr>
              <w:t> </w:t>
            </w:r>
          </w:p>
        </w:tc>
        <w:tc>
          <w:tcPr>
            <w:tcW w:w="186" w:type="dxa"/>
            <w:tcBorders/>
            <w:vAlign w:val="center"/>
          </w:tcPr>
          <w:p>
            <w:pPr>
              <w:pStyle w:val="TableContents"/>
              <w:bidi w:val="0"/>
              <w:spacing w:before="115" w:after="283"/>
              <w:jc w:val="left"/>
              <w:rPr>
                <w:spacing w:val="0"/>
              </w:rPr>
            </w:pPr>
            <w:r>
              <w:rPr>
                <w:spacing w:val="0"/>
              </w:rPr>
              <w:t> </w:t>
            </w:r>
          </w:p>
        </w:tc>
        <w:tc>
          <w:tcPr>
            <w:tcW w:w="1170" w:type="dxa"/>
            <w:tcBorders/>
            <w:vAlign w:val="center"/>
          </w:tcPr>
          <w:p>
            <w:pPr>
              <w:pStyle w:val="TableContents"/>
              <w:bidi w:val="0"/>
              <w:spacing w:before="115" w:after="283"/>
              <w:jc w:val="right"/>
              <w:rPr>
                <w:spacing w:val="0"/>
              </w:rPr>
            </w:pPr>
            <w:r>
              <w:rPr>
                <w:spacing w:val="0"/>
              </w:rPr>
              <w:t> </w:t>
            </w:r>
          </w:p>
        </w:tc>
        <w:tc>
          <w:tcPr>
            <w:tcW w:w="126" w:type="dxa"/>
            <w:tcBorders/>
            <w:vAlign w:val="center"/>
          </w:tcPr>
          <w:p>
            <w:pPr>
              <w:pStyle w:val="TableContents"/>
              <w:bidi w:val="0"/>
              <w:spacing w:before="115" w:after="283"/>
              <w:jc w:val="left"/>
              <w:rPr>
                <w:spacing w:val="0"/>
              </w:rPr>
            </w:pPr>
            <w:r>
              <w:rPr>
                <w:spacing w:val="0"/>
              </w:rPr>
              <w:t> </w:t>
            </w:r>
          </w:p>
        </w:tc>
        <w:tc>
          <w:tcPr>
            <w:tcW w:w="79" w:type="dxa"/>
            <w:tcBorders/>
            <w:vAlign w:val="center"/>
          </w:tcPr>
          <w:p>
            <w:pPr>
              <w:pStyle w:val="TableContents"/>
              <w:bidi w:val="0"/>
              <w:spacing w:before="115" w:after="283"/>
              <w:jc w:val="left"/>
              <w:rPr>
                <w:spacing w:val="0"/>
              </w:rPr>
            </w:pPr>
            <w:r>
              <w:rPr>
                <w:spacing w:val="0"/>
              </w:rPr>
              <w:t> </w:t>
            </w:r>
          </w:p>
        </w:tc>
        <w:tc>
          <w:tcPr>
            <w:tcW w:w="186" w:type="dxa"/>
            <w:tcBorders/>
            <w:vAlign w:val="center"/>
          </w:tcPr>
          <w:p>
            <w:pPr>
              <w:pStyle w:val="TableContents"/>
              <w:bidi w:val="0"/>
              <w:spacing w:before="115" w:after="283"/>
              <w:jc w:val="left"/>
              <w:rPr>
                <w:spacing w:val="0"/>
              </w:rPr>
            </w:pPr>
            <w:r>
              <w:rPr>
                <w:spacing w:val="0"/>
              </w:rPr>
              <w:t> </w:t>
            </w:r>
          </w:p>
        </w:tc>
        <w:tc>
          <w:tcPr>
            <w:tcW w:w="1073" w:type="dxa"/>
            <w:tcBorders/>
            <w:vAlign w:val="center"/>
          </w:tcPr>
          <w:p>
            <w:pPr>
              <w:pStyle w:val="TableContents"/>
              <w:bidi w:val="0"/>
              <w:spacing w:before="115" w:after="283"/>
              <w:jc w:val="right"/>
              <w:rPr>
                <w:spacing w:val="0"/>
              </w:rPr>
            </w:pPr>
            <w:r>
              <w:rPr>
                <w:spacing w:val="0"/>
              </w:rPr>
              <w:t> </w:t>
            </w:r>
          </w:p>
        </w:tc>
        <w:tc>
          <w:tcPr>
            <w:tcW w:w="110" w:type="dxa"/>
            <w:tcBorders/>
            <w:vAlign w:val="center"/>
          </w:tcPr>
          <w:p>
            <w:pPr>
              <w:pStyle w:val="TableContents"/>
              <w:bidi w:val="0"/>
              <w:spacing w:before="115" w:after="283"/>
              <w:jc w:val="left"/>
              <w:rPr>
                <w:spacing w:val="0"/>
              </w:rPr>
            </w:pPr>
            <w:r>
              <w:rPr>
                <w:spacing w:val="0"/>
              </w:rPr>
              <w:t> </w:t>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decrease in cash and cash equivalents</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(30,908</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(44,566</w:t>
            </w:r>
          </w:p>
        </w:tc>
        <w:tc>
          <w:tcPr>
            <w:tcW w:w="110" w:type="dxa"/>
            <w:tcBorders/>
            <w:shd w:fill="CCEEFF" w:val="clear"/>
            <w:vAlign w:val="center"/>
          </w:tcPr>
          <w:p>
            <w:pPr>
              <w:pStyle w:val="TableContents"/>
              <w:bidi w:val="0"/>
              <w:spacing w:before="0" w:after="283"/>
              <w:jc w:val="left"/>
              <w:rPr/>
            </w:pPr>
            <w:r>
              <w:rPr/>
              <w:t>)</w:t>
            </w:r>
          </w:p>
        </w:tc>
      </w:tr>
      <w:tr>
        <w:trPr/>
        <w:tc>
          <w:tcPr>
            <w:tcW w:w="5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beginning of period</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394,876</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207,987</w:t>
            </w:r>
          </w:p>
        </w:tc>
        <w:tc>
          <w:tcPr>
            <w:tcW w:w="11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and cash equivalents, end of period</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0"/>
              <w:jc w:val="left"/>
              <w:rPr>
                <w:spacing w:val="0"/>
              </w:rPr>
            </w:pPr>
            <w:r>
              <w:rPr>
                <w:spacing w:val="0"/>
              </w:rPr>
              <w:t> </w:t>
            </w:r>
          </w:p>
        </w:tc>
        <w:tc>
          <w:tcPr>
            <w:tcW w:w="1170" w:type="dxa"/>
            <w:tcBorders/>
            <w:shd w:fill="CCEEFF" w:val="clear"/>
            <w:vAlign w:val="center"/>
          </w:tcPr>
          <w:p>
            <w:pPr>
              <w:pStyle w:val="TableContents"/>
              <w:bidi w:val="0"/>
              <w:spacing w:before="0" w:after="0"/>
              <w:jc w:val="right"/>
              <w:rPr>
                <w:b/>
                <w:spacing w:val="0"/>
              </w:rPr>
            </w:pPr>
            <w:r>
              <w:rPr>
                <w:b/>
                <w:spacing w:val="0"/>
              </w:rPr>
              <w:t>363,968</w:t>
            </w:r>
          </w:p>
        </w:tc>
        <w:tc>
          <w:tcPr>
            <w:tcW w:w="126" w:type="dxa"/>
            <w:tcBorders/>
            <w:shd w:fill="CCEEFF" w:val="clear"/>
            <w:vAlign w:val="center"/>
          </w:tcPr>
          <w:p>
            <w:pPr>
              <w:pStyle w:val="TableContents"/>
              <w:bidi w:val="0"/>
              <w:spacing w:before="0" w:after="0"/>
              <w:jc w:val="left"/>
              <w:rPr>
                <w:spacing w:val="0"/>
              </w:rPr>
            </w:pPr>
            <w:r>
              <w:rPr>
                <w:spacing w:val="0"/>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0"/>
              <w:jc w:val="left"/>
              <w:rPr>
                <w:spacing w:val="0"/>
              </w:rPr>
            </w:pPr>
            <w:r>
              <w:rPr>
                <w:spacing w:val="0"/>
              </w:rPr>
              <w:t> </w:t>
            </w:r>
          </w:p>
        </w:tc>
        <w:tc>
          <w:tcPr>
            <w:tcW w:w="1073" w:type="dxa"/>
            <w:tcBorders/>
            <w:shd w:fill="CCEEFF" w:val="clear"/>
            <w:vAlign w:val="center"/>
          </w:tcPr>
          <w:p>
            <w:pPr>
              <w:pStyle w:val="TableContents"/>
              <w:bidi w:val="0"/>
              <w:spacing w:before="0" w:after="0"/>
              <w:jc w:val="right"/>
              <w:rPr>
                <w:b/>
                <w:spacing w:val="0"/>
              </w:rPr>
            </w:pPr>
            <w:r>
              <w:rPr>
                <w:b/>
                <w:spacing w:val="0"/>
              </w:rPr>
              <w:t>163,421</w:t>
            </w:r>
          </w:p>
        </w:tc>
        <w:tc>
          <w:tcPr>
            <w:tcW w:w="110" w:type="dxa"/>
            <w:tcBorders/>
            <w:shd w:fill="CCEEFF" w:val="clear"/>
            <w:vAlign w:val="center"/>
          </w:tcPr>
          <w:p>
            <w:pPr>
              <w:pStyle w:val="TableContents"/>
              <w:bidi w:val="0"/>
              <w:spacing w:before="0" w:after="0"/>
              <w:jc w:val="left"/>
              <w:rPr>
                <w:spacing w:val="0"/>
              </w:rPr>
            </w:pPr>
            <w:r>
              <w:rPr>
                <w:spacing w:val="0"/>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Supplemental cash flow information</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paid</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8,861</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24,204</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taxes paid</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11,978</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598</w:t>
            </w:r>
          </w:p>
        </w:tc>
        <w:tc>
          <w:tcPr>
            <w:tcW w:w="11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115" w:after="0"/>
              <w:jc w:val="left"/>
              <w:rPr>
                <w:spacing w:val="0"/>
              </w:rPr>
            </w:pPr>
            <w:r>
              <w:rPr>
                <w:spacing w:val="0"/>
              </w:rPr>
              <w:t> </w:t>
            </w:r>
          </w:p>
        </w:tc>
        <w:tc>
          <w:tcPr>
            <w:tcW w:w="120" w:type="dxa"/>
            <w:tcBorders/>
            <w:vAlign w:val="center"/>
          </w:tcPr>
          <w:p>
            <w:pPr>
              <w:pStyle w:val="TableContents"/>
              <w:bidi w:val="0"/>
              <w:spacing w:before="115" w:after="283"/>
              <w:jc w:val="left"/>
              <w:rPr>
                <w:spacing w:val="0"/>
              </w:rPr>
            </w:pPr>
            <w:r>
              <w:rPr>
                <w:spacing w:val="0"/>
              </w:rPr>
              <w:t> </w:t>
            </w:r>
          </w:p>
        </w:tc>
        <w:tc>
          <w:tcPr>
            <w:tcW w:w="186" w:type="dxa"/>
            <w:tcBorders/>
            <w:vAlign w:val="center"/>
          </w:tcPr>
          <w:p>
            <w:pPr>
              <w:pStyle w:val="TableContents"/>
              <w:bidi w:val="0"/>
              <w:spacing w:before="115" w:after="283"/>
              <w:jc w:val="left"/>
              <w:rPr>
                <w:spacing w:val="0"/>
              </w:rPr>
            </w:pPr>
            <w:r>
              <w:rPr>
                <w:spacing w:val="0"/>
              </w:rPr>
              <w:t> </w:t>
            </w:r>
          </w:p>
        </w:tc>
        <w:tc>
          <w:tcPr>
            <w:tcW w:w="1170" w:type="dxa"/>
            <w:tcBorders/>
            <w:vAlign w:val="center"/>
          </w:tcPr>
          <w:p>
            <w:pPr>
              <w:pStyle w:val="TableContents"/>
              <w:bidi w:val="0"/>
              <w:spacing w:before="115" w:after="283"/>
              <w:jc w:val="right"/>
              <w:rPr>
                <w:spacing w:val="0"/>
              </w:rPr>
            </w:pPr>
            <w:r>
              <w:rPr>
                <w:spacing w:val="0"/>
              </w:rPr>
              <w:t> </w:t>
            </w:r>
          </w:p>
        </w:tc>
        <w:tc>
          <w:tcPr>
            <w:tcW w:w="126" w:type="dxa"/>
            <w:tcBorders/>
            <w:vAlign w:val="center"/>
          </w:tcPr>
          <w:p>
            <w:pPr>
              <w:pStyle w:val="TableContents"/>
              <w:bidi w:val="0"/>
              <w:spacing w:before="115" w:after="283"/>
              <w:jc w:val="left"/>
              <w:rPr>
                <w:spacing w:val="0"/>
              </w:rPr>
            </w:pPr>
            <w:r>
              <w:rPr>
                <w:spacing w:val="0"/>
              </w:rPr>
              <w:t> </w:t>
            </w:r>
          </w:p>
        </w:tc>
        <w:tc>
          <w:tcPr>
            <w:tcW w:w="79" w:type="dxa"/>
            <w:tcBorders/>
            <w:vAlign w:val="center"/>
          </w:tcPr>
          <w:p>
            <w:pPr>
              <w:pStyle w:val="TableContents"/>
              <w:bidi w:val="0"/>
              <w:spacing w:before="115" w:after="283"/>
              <w:jc w:val="left"/>
              <w:rPr>
                <w:spacing w:val="0"/>
              </w:rPr>
            </w:pPr>
            <w:r>
              <w:rPr>
                <w:spacing w:val="0"/>
              </w:rPr>
              <w:t> </w:t>
            </w:r>
          </w:p>
        </w:tc>
        <w:tc>
          <w:tcPr>
            <w:tcW w:w="186" w:type="dxa"/>
            <w:tcBorders/>
            <w:vAlign w:val="center"/>
          </w:tcPr>
          <w:p>
            <w:pPr>
              <w:pStyle w:val="TableContents"/>
              <w:bidi w:val="0"/>
              <w:spacing w:before="115" w:after="283"/>
              <w:jc w:val="left"/>
              <w:rPr>
                <w:spacing w:val="0"/>
              </w:rPr>
            </w:pPr>
            <w:r>
              <w:rPr>
                <w:spacing w:val="0"/>
              </w:rPr>
              <w:t> </w:t>
            </w:r>
          </w:p>
        </w:tc>
        <w:tc>
          <w:tcPr>
            <w:tcW w:w="1073" w:type="dxa"/>
            <w:tcBorders/>
            <w:vAlign w:val="center"/>
          </w:tcPr>
          <w:p>
            <w:pPr>
              <w:pStyle w:val="TableContents"/>
              <w:bidi w:val="0"/>
              <w:spacing w:before="115" w:after="283"/>
              <w:jc w:val="right"/>
              <w:rPr>
                <w:spacing w:val="0"/>
              </w:rPr>
            </w:pPr>
            <w:r>
              <w:rPr>
                <w:spacing w:val="0"/>
              </w:rPr>
              <w:t> </w:t>
            </w:r>
          </w:p>
        </w:tc>
        <w:tc>
          <w:tcPr>
            <w:tcW w:w="110" w:type="dxa"/>
            <w:tcBorders/>
            <w:vAlign w:val="center"/>
          </w:tcPr>
          <w:p>
            <w:pPr>
              <w:pStyle w:val="TableContents"/>
              <w:bidi w:val="0"/>
              <w:spacing w:before="115" w:after="283"/>
              <w:jc w:val="left"/>
              <w:rPr>
                <w:spacing w:val="0"/>
              </w:rPr>
            </w:pPr>
            <w:r>
              <w:rPr>
                <w:spacing w:val="0"/>
              </w:rPr>
              <w:t> </w:t>
            </w:r>
          </w:p>
        </w:tc>
      </w:tr>
      <w:tr>
        <w:trPr/>
        <w:tc>
          <w:tcPr>
            <w:tcW w:w="52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disclosure of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before="0" w:after="283"/>
              <w:jc w:val="left"/>
              <w:rPr>
                <w:sz w:val="4"/>
                <w:szCs w:val="4"/>
              </w:rPr>
            </w:pPr>
            <w:r>
              <w:rPr>
                <w:sz w:val="4"/>
                <w:szCs w:val="4"/>
              </w:rPr>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073"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Deferred offering costs reclassified to 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11,052</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unaudited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tbl>
      <w:tblPr>
        <w:tblW w:w="2335" w:type="dxa"/>
        <w:jc w:val="left"/>
        <w:tblInd w:w="0" w:type="dxa"/>
        <w:tblLayout w:type="fixed"/>
        <w:tblCellMar>
          <w:top w:w="0" w:type="dxa"/>
          <w:left w:w="0" w:type="dxa"/>
          <w:bottom w:w="0" w:type="dxa"/>
          <w:right w:w="0" w:type="dxa"/>
        </w:tblCellMar>
      </w:tblPr>
      <w:tblGrid>
        <w:gridCol w:w="305"/>
        <w:gridCol w:w="2030"/>
      </w:tblGrid>
      <w:tr>
        <w:trPr/>
        <w:tc>
          <w:tcPr>
            <w:tcW w:w="305" w:type="dxa"/>
            <w:tcBorders/>
            <w:vAlign w:val="center"/>
          </w:tcPr>
          <w:p>
            <w:pPr>
              <w:pStyle w:val="TableContents"/>
              <w:bidi w:val="0"/>
              <w:spacing w:before="0" w:after="0"/>
              <w:jc w:val="left"/>
              <w:rPr>
                <w:b/>
                <w:spacing w:val="0"/>
              </w:rPr>
            </w:pPr>
            <w:r>
              <w:rPr>
                <w:b/>
                <w:spacing w:val="0"/>
              </w:rPr>
              <w:t>(1)</w:t>
            </w:r>
          </w:p>
        </w:tc>
        <w:tc>
          <w:tcPr>
            <w:tcW w:w="20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Description of Business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SOLV Energy, Inc. was incorporated as a Delaware corporation on April 1, 2025 (Date of Formation) for the purpose of completing an initial public offering (“IPO”) of its Class A common stock and related transactions in order to continue the business of SOLV Energy Holdings LLC (“Holdings”) as a publicly-traded entity.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SOLV Energy, Inc. is a holding company whose sole material assets are the limited liability company interests in Holdings. All of our business is conducted through Holdings, together with its subsidiaries, and the financial results of Holdings are consolidated in our financial statements. Holdings is taxed as a partnership for federal income tax purposes and, as a result, its members, including SOLV Energy, Inc., pay income taxes with respect to their allocable shares of its net taxable income. Except where the context clearly indicates otherwise, “SOLV,” “we,” “us,” “our,” or the “Company” refers to SOLV Energy, Inc. and all of its direct and indirect subsidiaries, including Holdings.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operations are conducted primarily through our subsidiaries, SOLV Energy, LLC, SEHV Solutions, LLC (collectively, “SOLV Energy”), along with CS Energy LLC, and CS Energy Devco, LLC, (collectively, “CS Energy”), SOLV Drilling Industrial Services, LLC (“SDI”) (f/k/a Sacramento Drilling, Inc), and Spartan Infrastructure, Inc. (“Spartan”).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are a leading provider of infrastructure services to the power industry, including engineering, procurement, construction (“EPC”), testing, commissioning, operations, maintenance and repowering. We specialize in designing, building and maintaining utility-scale solar and battery storage projects and related transmission and distribution (“T&amp;D”) infrastructure, and provides operation and maintenance (“O&amp;M”) services pursuant to long-term contracts that typically obligate the customer to pay the Company a fixed monthly fee for operations and routine preventative maintenance and additional fees for corrective maintenance on a time and materials basis.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Initial Public Offering and Reorganization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February 12, 2026, the Company successfully completed an IPO of 23,575,000 shares of its Class A common stock for net proceeds of approximately $552,500 after deducting the underwriters’ discount and expenses and commissions payable.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connection with the IPO, Holdings amended and restated its limited liability company agreement to, among other things, (i) recapitalize all existing ownership interests in Holdings into a single class of common units (“LLC Interests”) and (ii) appoint a wholly-owned subsidiary of SOLV Energy, Inc. as the sole managing member of Holdings upon or prior to the acquisition of LLC Interests by SOLV Energy, Inc. in connection with the IPO. Simultaneously with the IPO, SOLV Energy, Inc. amended and restated its certificate of incorporation to, among other things, provide (i) for Class A common stock, with each share of its Class A common stock entitling its holder to one vote per share on all matters presented to the Company’s stockholders generally and (ii) for Class B common stock, with each share of the Company’s Class B common stock entitling its holder to one vote per share on all matters presented to the Company’s stockholders generally, and that shares of the Company’s Class B common stock may only be held by the direct and indirect holders of LLC Interests and the Company’s Class B common stock immediately following consummation of the Transactions (“Continuing Equity Owners”) and their respective permitted transferees. As a result, SOLV Energy, Inc. became a holding company and the sole manager of Holdings, through its wholly-owned subsidiary, with no material assets other than the ownership of the voting membership interest in the Company.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Additionally, in connection with the IPO and the related liquidation of SOLV Energy Parent Holdings LP, all outstanding Restricted Class C Units (including Legacy SOLV Units and Additional C Units issued in connection with the merger between Holdings and ASP Endeavor Acquisition LLC, the parent company of CS Energy (the “Merger”)) were converted into common units of Holdings. Vested class C Units were converted into vested common units. Unvested time units were converted into unvested common units subject to the same time-based vesting schedule. Unvested performance units were converted into common units and treated as time units at the time of original grant, with time-based vesting deemed to have commenced on the original vesting start date, resulting in a portion becoming vested and the remaining portion continuing to vest on the same schedule, subject to continued employment or service.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Simultaneously with the IPO, SOLV Energy Parent Holdings LP was liquidated by distributing LLC Interests and nominal cash to the Continuing Equity Owners. SOLV Energy, Inc. acquired the LLC Interests held by certain Continuing Equity Owners in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exchange for 91,773,571 shares of its Class A common stock. After giving effect to the use of proceeds from the IPO, SOLV Energy, Inc. issued 87,141,865 shares of Class B common stock to the Continuing Equity Owners, which is equal to the number of LLC Interests held by such Continuing Equity Owners, for nominal consideration.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Subsequent to the IPO, SOLV Energy, Inc. used the net proceeds from this offering to purchase 23,575,000 newly issued LLC Interests directly and/or indirectly from the Company at a price per unit equal to the IPO price per share of Class A common stock less the underwriting discounts and commissions.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Secondary Offering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June 1, 2026, we completed a secondary public offering of 15,000,000 shares of our Class A common stock, of which 7,698,410 shares were sold by ASP Endeavor Investco LP, ASP SOLV Aggregator LP and ASP VIII Alternative Investments Solstice, L.P. (collectively, the “selling stockholders”) and 7,301,590 shares were sold by us at an offering price of $36.00 per share, before underwriting discounts and commissions. On June 4, 2026, the underwriters exercised their overallotment option in full to purchase an additional 2,250,000 shares of our Class A common stock, of which 1,154,760 shares were sold by the selling stockholders and 1,095,240 were sold by us at an offering price of $36.00 per share, before underwriting discounts and commissions. We used all of the net proceeds from the public offering that was paid to us to purchase 8,396,830 LLC Interests from the Continuing Equity Owners at a price per LLC Interest equal to the public offering price of our Class A common stock less the underwriting discounts and commissions. We did not receive any proceeds from the sale of our Class A common stock by the selling stockholders.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We</w:t>
      </w:r>
    </w:p>
    <w:p>
      <w:pPr>
        <w:pStyle w:val="TextBody"/>
        <w:bidi w:val="0"/>
        <w:spacing w:before="120" w:after="0"/>
        <w:jc w:val="left"/>
        <w:rPr>
          <w:spacing w:val="0"/>
        </w:rPr>
      </w:pPr>
      <w:r>
        <w:rPr>
          <w:spacing w:val="0"/>
        </w:rPr>
        <w:t> </w:t>
      </w:r>
      <w:r>
        <w:rPr>
          <w:rFonts w:ascii="Times New Roman" w:hAnsi="Times New Roman"/>
          <w:spacing w:val="0"/>
          <w:sz w:val="20"/>
        </w:rPr>
        <w:t xml:space="preserve">bore the costs associated with the sale of shares of Class A common stock by the selling stockholders, other than underwriting discounts and commissions from the shares sold by the selling stockholders. </w:t>
      </w:r>
    </w:p>
    <w:p>
      <w:pPr>
        <w:pStyle w:val="TextBody"/>
        <w:bidi w:val="0"/>
        <w:spacing w:before="0" w:after="0"/>
        <w:jc w:val="left"/>
        <w:rPr>
          <w:spacing w:val="0"/>
        </w:rPr>
      </w:pPr>
      <w:r>
        <w:rPr>
          <w:spacing w:val="0"/>
        </w:rPr>
        <w:t> </w:t>
      </w:r>
    </w:p>
    <w:tbl>
      <w:tblPr>
        <w:tblW w:w="2155" w:type="dxa"/>
        <w:jc w:val="left"/>
        <w:tblInd w:w="0" w:type="dxa"/>
        <w:tblLayout w:type="fixed"/>
        <w:tblCellMar>
          <w:top w:w="0" w:type="dxa"/>
          <w:left w:w="0" w:type="dxa"/>
          <w:bottom w:w="0" w:type="dxa"/>
          <w:right w:w="0" w:type="dxa"/>
        </w:tblCellMar>
      </w:tblPr>
      <w:tblGrid>
        <w:gridCol w:w="305"/>
        <w:gridCol w:w="1850"/>
      </w:tblGrid>
      <w:tr>
        <w:trPr/>
        <w:tc>
          <w:tcPr>
            <w:tcW w:w="305" w:type="dxa"/>
            <w:tcBorders/>
            <w:vAlign w:val="center"/>
          </w:tcPr>
          <w:p>
            <w:pPr>
              <w:pStyle w:val="TableContents"/>
              <w:bidi w:val="0"/>
              <w:spacing w:before="0" w:after="0"/>
              <w:jc w:val="left"/>
              <w:rPr>
                <w:b/>
                <w:spacing w:val="0"/>
              </w:rPr>
            </w:pPr>
            <w:r>
              <w:rPr>
                <w:b/>
                <w:spacing w:val="0"/>
              </w:rPr>
              <w:t>(2)</w:t>
            </w:r>
          </w:p>
        </w:tc>
        <w:tc>
          <w:tcPr>
            <w:tcW w:w="185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Basis of Presentation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condensed consolidated financial statements include the accounts of SOLV Energy, Inc. and its controlled subsidiaries which reflect all adjustments necessary to state fairly our condensed consolidated financial position, results of operations and cash flows in accordance with principles generally accepted in the United States of America (“U.S. GAAP”). All intercompany accounts and transactions have been eliminated in consolidation. These condensed consolidated financial statements and related notes do not include all information and footnotes required by U.S. GAAP for annual reports. The accompanying condensed consolidated interim financial statements are unaudited and should be read in conjunction with the annual consolidated financial statements, and the notes thereto for the fiscal year ended December 31, 2025. Interim results of operations are not necessarily indicative of the results that may be achieved for the full year.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classify certain assets and liabilities as current utilizing the duration of the related contract or program as our operating cycle, which is generally longer than one year. This primarily impacts contract liabilities and contract assets. The Company classifies all other assets and liabilities based on whether the asset will be realized or the liability will be paid within one year.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condensed consolidated financial statements include the accounts of SOLV Energy, Inc. and Holdings and its wholly-owned subsidiaries. Holdings is considered a variable interest entity and we are the primary beneficiary and, through a wholly-owned subsidiary, the sole managing member of Holdings and have decision making authority that significantly affects the performance of the entity. Accordingly, we consolidate Holdings and report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 xml:space="preserve">interests representing the economic interest in Holdings held by the Continuing Equity Owners. </w:t>
      </w:r>
    </w:p>
    <w:p>
      <w:pPr>
        <w:pStyle w:val="TextBody"/>
        <w:bidi w:val="0"/>
        <w:spacing w:before="240" w:after="0"/>
        <w:jc w:val="left"/>
        <w:rPr>
          <w:rFonts w:ascii="Times New Roman" w:hAnsi="Times New Roman"/>
          <w:sz w:val="20"/>
        </w:rPr>
      </w:pPr>
      <w:r>
        <w:rPr>
          <w:rFonts w:ascii="Times New Roman" w:hAnsi="Times New Roman"/>
          <w:sz w:val="20"/>
        </w:rPr>
        <w:t xml:space="preserve">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240" w:after="0"/>
        <w:jc w:val="left"/>
        <w:rPr>
          <w:rFonts w:ascii="Times New Roman" w:hAnsi="Times New Roman"/>
          <w:sz w:val="20"/>
        </w:rPr>
      </w:pPr>
      <w:r>
        <w:rPr>
          <w:rFonts w:ascii="Times New Roman" w:hAnsi="Times New Roman"/>
          <w:sz w:val="20"/>
        </w:rPr>
        <w:t xml:space="preserve">interests in the condensed consolidated statement of operations for the three and six months ended June 30, 2026 represents the portion of earnings attributable to the economic interest in Holdings held by the Continuing Equity Owners.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240" w:after="0"/>
        <w:jc w:val="left"/>
        <w:rPr>
          <w:rFonts w:ascii="Times New Roman" w:hAnsi="Times New Roman"/>
          <w:sz w:val="20"/>
        </w:rPr>
      </w:pPr>
      <w:r>
        <w:rPr>
          <w:rFonts w:ascii="Times New Roman" w:hAnsi="Times New Roman"/>
          <w:sz w:val="20"/>
        </w:rPr>
        <w:t xml:space="preserve">interests in the condensed consolidated balance sheet as of June 30, 2026 represents the portion of our consolidated net assets attributable to the Continuing Equity Owners, based on the portion of the LLC Interests owned by such unit holders, which was 38.9% of the total LLC Interests as of June 30, 2026.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tbl>
      <w:tblPr>
        <w:tblW w:w="4105" w:type="dxa"/>
        <w:jc w:val="left"/>
        <w:tblInd w:w="0" w:type="dxa"/>
        <w:tblLayout w:type="fixed"/>
        <w:tblCellMar>
          <w:top w:w="0" w:type="dxa"/>
          <w:left w:w="0" w:type="dxa"/>
          <w:bottom w:w="0" w:type="dxa"/>
          <w:right w:w="0" w:type="dxa"/>
        </w:tblCellMar>
      </w:tblPr>
      <w:tblGrid>
        <w:gridCol w:w="305"/>
        <w:gridCol w:w="3800"/>
      </w:tblGrid>
      <w:tr>
        <w:trPr/>
        <w:tc>
          <w:tcPr>
            <w:tcW w:w="305" w:type="dxa"/>
            <w:tcBorders/>
            <w:vAlign w:val="center"/>
          </w:tcPr>
          <w:p>
            <w:pPr>
              <w:pStyle w:val="TableContents"/>
              <w:bidi w:val="0"/>
              <w:spacing w:before="0" w:after="0"/>
              <w:jc w:val="left"/>
              <w:rPr>
                <w:b/>
                <w:spacing w:val="0"/>
              </w:rPr>
            </w:pPr>
            <w:r>
              <w:rPr>
                <w:b/>
                <w:spacing w:val="0"/>
              </w:rPr>
              <w:t>(3)</w:t>
            </w:r>
          </w:p>
        </w:tc>
        <w:tc>
          <w:tcPr>
            <w:tcW w:w="3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Included below are selected significant accounting policies including those that were added or modified during the six months ended June 30, 2026 as a result of new transactions entered into or the adoption of new accounting policies. Refer to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Note 3—Summary of Significant Accounting Policies</w:t>
      </w:r>
    </w:p>
    <w:p>
      <w:pPr>
        <w:pStyle w:val="TextBody"/>
        <w:bidi w:val="0"/>
        <w:spacing w:before="120" w:after="0"/>
        <w:jc w:val="left"/>
        <w:rPr>
          <w:rFonts w:ascii="Times New Roman" w:hAnsi="Times New Roman"/>
          <w:sz w:val="20"/>
        </w:rPr>
      </w:pPr>
      <w:r>
        <w:rPr>
          <w:rFonts w:ascii="Times New Roman" w:hAnsi="Times New Roman"/>
          <w:sz w:val="20"/>
        </w:rPr>
        <w:t xml:space="preserve">in the Annual Report for the full list of our significant accounting policies.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preparation of condensed consolidated financial statements in conformity with U.S. GAAP requires management to make estimates and assumptions that affect the amounts reported in the accompanying condensed consolidated financial statements and these notes.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Actual results could differ from those estimates and may result in material effects on our operating results and financial position. Estimates made in preparing the accompanying condensed consolidated financial statements primarily include, but are not limited to, those related to revenue recognition, goodwill and long-lived asset valuations, impairment assessments, stock-based compensation awards, and estimates related to the tax receivable agreement.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Materials Inventory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Materials inventory generally consists of raw materials for use on new construction projects and is stated at the lower of cost and net realizable value, with cost determined using the specific identification method. We periodically assess materials inventory for obsolescence and recoverability and record write-downs to net realizable value based on assumptions about future demand, market conditions, plans for disposal, and physical condition of the materials.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After the completion of the IPO, we became subject to U.S. federal, state, and local income taxes with respect to our allocable share of taxable income of Holdings assessed at the prevailing corporate tax rates. Holdings operates as a limited liability company and is treated as a partnership for income tax purposes. Accordingly, Holdings incurs no significant liability for federal or state income taxes since the taxable income or loss is passed through to its members. Holdings incurs liabilities for certain state taxes paid directly by it, which are not significant and for which the expense is included in the provision for income taxes in the accompanying condensed consolidated statements of operations for the three and six months ended June 30, 2026 and 2025. </w:t>
      </w:r>
    </w:p>
    <w:p>
      <w:pPr>
        <w:pStyle w:val="TextBody"/>
        <w:bidi w:val="0"/>
        <w:spacing w:before="240" w:after="0"/>
        <w:jc w:val="left"/>
        <w:rPr>
          <w:rFonts w:ascii="Times New Roman" w:hAnsi="Times New Roman"/>
          <w:sz w:val="20"/>
        </w:rPr>
      </w:pPr>
      <w:r>
        <w:rPr>
          <w:rFonts w:ascii="Times New Roman" w:hAnsi="Times New Roman"/>
          <w:sz w:val="20"/>
        </w:rPr>
        <w:t xml:space="preserve">We use the liability method to account for income taxes in accordance with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ASC 740—Income Taxes</w:t>
      </w:r>
    </w:p>
    <w:p>
      <w:pPr>
        <w:pStyle w:val="TextBody"/>
        <w:bidi w:val="0"/>
        <w:spacing w:before="240" w:after="0"/>
        <w:jc w:val="left"/>
        <w:rPr>
          <w:rFonts w:ascii="Times New Roman" w:hAnsi="Times New Roman"/>
          <w:sz w:val="20"/>
        </w:rPr>
      </w:pPr>
      <w:r>
        <w:rPr>
          <w:rFonts w:ascii="Times New Roman" w:hAnsi="Times New Roman"/>
          <w:sz w:val="20"/>
        </w:rPr>
        <w:t xml:space="preserve">. Under this method, deferred tax assets and liabilities are recognized for the future tax consequences of differences between the financial reporting and tax bases of assets and liabilities. Deferred tax amounts are calculated using the enacted tax rates expected to be in effect when the temporary differences reverse. Deferred tax assets are recorded when it is considered more likely than not that they will be realized. We evaluate the need for a valuation allowance by considering all available evidence, including projections of future taxable income, the timing of temporary difference reversals, the existence of tax planning strategies and historical operating results.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recognize the tax benefit from an uncertain tax position only if it is more likely than not that the tax position will be sustained on examination by the taxing authority, based on the technical merits of the position. As of June 30, 2026 and December 31, 2025, there were no known items that would require an accrual for uncertain tax positions.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Tax Receivable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connection with the IPO, we entered into a Tax Receivable Agreement (“TRA”) with Holdings and the Continuing Equity Owners whereby we agreed to pay to such Continuing Equity Owners 85% of the benefits that we realize, or are deemed to realize, as a result of our allocable share of existing tax basis acquired in the IPO, increases in our share of existing tax basis and adjustments to the tax basis of the assets of Holdings as a result of sales or exchanges of common units, and certain other tax benefits related to entering into the TRA.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addition to tax expenses, we will also make payments under the TRA, which are expected to be significant. We will account for the income tax effects and corresponding TRA’s effects resulting from future taxable purchases or redemptions of LLC Interests of the Continuing Equity Owners by recognizing an increase in deferred tax assets, based on enacted tax rates at the date of the purchase or redemption.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assets and the liability for obligations under the TRA will be estimated at the time of any purchase or redemption as an adjustment to stockholders’ equity, and the effects of changes in any estimates after this date will be included in net income. Similarly, the effect of subsequent changes in the enacted tax rates will be included in net income. Judgment is required in assessing the future tax consequences of events that have been recognized in our financial statements. A change in our assessment of such consequences, such as realization of deferred tax assets, changes in tax laws or interpretations thereof could materially impact results. </w:t>
      </w:r>
    </w:p>
    <w:p>
      <w:pPr>
        <w:pStyle w:val="TextBody"/>
        <w:bidi w:val="0"/>
        <w:spacing w:before="240" w:after="0"/>
        <w:jc w:val="left"/>
        <w:rPr>
          <w:rFonts w:ascii="Times New Roman" w:hAnsi="Times New Roman"/>
          <w:sz w:val="20"/>
        </w:rPr>
      </w:pPr>
      <w:r>
        <w:rPr>
          <w:rFonts w:ascii="Times New Roman" w:hAnsi="Times New Roman"/>
          <w:sz w:val="20"/>
        </w:rPr>
        <w:t>We recognize obligations arising under the TRA in accordance with ASC 450—</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Contingencies</w:t>
      </w:r>
    </w:p>
    <w:p>
      <w:pPr>
        <w:pStyle w:val="TextBody"/>
        <w:bidi w:val="0"/>
        <w:spacing w:before="240" w:after="0"/>
        <w:jc w:val="left"/>
        <w:rPr>
          <w:rFonts w:ascii="Times New Roman" w:hAnsi="Times New Roman"/>
          <w:sz w:val="20"/>
        </w:rPr>
      </w:pPr>
      <w:r>
        <w:rPr>
          <w:rFonts w:ascii="Times New Roman" w:hAnsi="Times New Roman"/>
          <w:sz w:val="20"/>
        </w:rPr>
        <w:t xml:space="preserve">. Obligations under the TRA are accrued when it is probable that a liability has been incurred and its amount is estimable. Liabilities associated with the TRA are classified as either current or noncurrent based on the expected date of payment and are presented in the condensed consolidated balance sheets. The exchange of partnership interest will result in an increase in TRA liabilities with a corresponding adjustment to Additional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240" w:after="0"/>
        <w:jc w:val="left"/>
        <w:rPr>
          <w:rFonts w:ascii="Times New Roman" w:hAnsi="Times New Roman"/>
          <w:sz w:val="20"/>
        </w:rPr>
      </w:pPr>
      <w:r>
        <w:rPr>
          <w:rFonts w:ascii="Times New Roman" w:hAnsi="Times New Roman"/>
          <w:sz w:val="20"/>
        </w:rPr>
        <w:t>capital. Subsequent remeasurement of the TRA liabilities is recognized in the condensed consolidated statement of operations. See Note 8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Taxes and Tax Receivable Agreement</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account for stock-based compensation in accordance with ASC 718, Compensation – Stock Compensation (“ASC 718”). Stock-based awards, including stock options. restricted stock awards. and restricted stock units are measured at their grant-date fair value and recognized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compensation expense on a straight-line basis over the requisite service period, which generally corresponds to the vesting period of the award. The grant date fair value of restricted stock awards and restricted stock units are determined based on our Class A common stock closing price on the grant date. The grant date fair value of stock options are determined on each grant date using the Black-Scholes option pricing model, which requires us to make certain assumptions with respect to selected model inputs, such as: (i) the risk-free interest rate, (ii) the expected volatility of our Class A common stock, (iii) the expected dividend yield, and (iv) the expected term. Forfeitures are accounted for as they occur.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periods prior to the IPO, the grant date fair value of the Restricted Class C Units was determined on each grant date using the Black-Scholes option-pricing model, which required us to make certain assumptions with respect to selected model inputs, such as: (i) the risk-free interest rate, (ii) the expected volatility of the price of the Restricted Class C Units, (iii) the expected dividend yield, and (iv) the expected time to liquidity.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Prior to the IPO, the fair value of the Restricted Unit Appreciation (“RUA”) Plan awards was measured based on the fair value of Class A units of SOLV Energy Parent Holdings LP, which was estimated using generally accepted equity valuation and allocation methods. Subsequent to the IPO, the fair value of RUA awards is derived from the fair market value of our Class A common stock on the settlement date and is therefore a Level 1 measurement. The change in fair value at each reporting end will be recognized in the condensed consolidated statement of operations.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See Note 9 – Stock-based Compensation, for additional information on our stock-based compensation plans and awards</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Earnings per Share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Basic earnings per share is computed by dividing net income (loss) attributable to SOLV Energy, Inc. by the weighted average number of shares of Class A common stock outstanding during the period. Diluted earnings (loss) per share is computed by giving effect to all potential shares, including LLC Interests (which may be held indirectly through SOLV Energy Management Holdings LP), stock-options, restricted stock awards, and restricted stock unit awards, to the extent dilutive. We use the </w:t>
      </w:r>
    </w:p>
    <w:p>
      <w:pPr>
        <w:pStyle w:val="TextBody"/>
        <w:bidi w:val="0"/>
        <w:spacing w:before="120" w:after="0"/>
        <w:jc w:val="left"/>
        <w:rPr>
          <w:spacing w:val="0"/>
        </w:rPr>
      </w:pPr>
      <w:r>
        <w:rPr>
          <w:spacing w:val="0"/>
        </w:rPr>
        <w:t>“</w:t>
      </w:r>
      <w:r>
        <w:rPr>
          <w:rFonts w:ascii="Times New Roman" w:hAnsi="Times New Roman"/>
          <w:spacing w:val="0"/>
          <w:sz w:val="20"/>
        </w:rPr>
        <w:t>if-converted”</w:t>
      </w:r>
    </w:p>
    <w:p>
      <w:pPr>
        <w:pStyle w:val="TextBody"/>
        <w:bidi w:val="0"/>
        <w:spacing w:before="120" w:after="0"/>
        <w:jc w:val="left"/>
        <w:rPr>
          <w:rFonts w:ascii="Times New Roman" w:hAnsi="Times New Roman"/>
          <w:sz w:val="20"/>
        </w:rPr>
      </w:pPr>
      <w:r>
        <w:rPr>
          <w:rFonts w:ascii="Times New Roman" w:hAnsi="Times New Roman"/>
          <w:sz w:val="20"/>
        </w:rPr>
        <w:t xml:space="preserve">method to determine the potential dilutive effects of the vested LLC Interests and the treasury stock method to determine the potential dilutive effects of the unvested LLC Interests and the vesting of the outstanding equity awards. Both methods are used as if the common units and outstanding equity awards were converted into our Class A common stock as of the IPO date.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See Note 11 – Earnings Per Share, for additional information on dilutive securities.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New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pPr>
      <w:r>
        <w:rPr/>
        <w:t>“</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Income Statement—Reporting Comprehensive Income—Expense Disaggregation Disclosures (Subtopic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220-40):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Disaggregation of Income Statement Expenses</w:t>
      </w:r>
    </w:p>
    <w:p>
      <w:pPr>
        <w:pStyle w:val="TextBody"/>
        <w:bidi w:val="0"/>
        <w:spacing w:before="120" w:after="0"/>
        <w:jc w:val="left"/>
        <w:rPr>
          <w:rFonts w:ascii="Times New Roman" w:hAnsi="Times New Roman"/>
          <w:sz w:val="20"/>
        </w:rPr>
      </w:pPr>
      <w:r>
        <w:rPr>
          <w:rFonts w:ascii="Times New Roman" w:hAnsi="Times New Roman"/>
          <w:sz w:val="20"/>
        </w:rPr>
        <w:t xml:space="preserve">.” The update requires entities to tabularly disclose in the footnotes to the financial statements, the amounts of purchased inventory, employee compensation, depreciation, and intangible asset amortization included in each relevant expense caption. The standard also requires disclosure of the amount and a qualitative description of other items remaining in relevant expense captions that are not separately disaggregated. This update is effective for fiscal years beginning after December 15, 2026, and interim periods within fiscal years beginning after December 15, 2027. Early adoption and both prospective and retrospective application are permitted. We are currently assessing the effect of this update.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2025-06,</w:t>
      </w:r>
    </w:p>
    <w:p>
      <w:pPr>
        <w:pStyle w:val="TextBody"/>
        <w:bidi w:val="0"/>
        <w:spacing w:before="240" w:after="0"/>
        <w:jc w:val="left"/>
        <w:rPr/>
      </w:pPr>
      <w:r>
        <w:rPr/>
        <w:t>“</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Intangibles-Goodwill and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Other-Internal-Use</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Software (Subtopic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350-40):</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Targeted Improvements to the Accounting for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Internal-Use</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Software</w:t>
      </w:r>
    </w:p>
    <w:p>
      <w:pPr>
        <w:pStyle w:val="TextBody"/>
        <w:bidi w:val="0"/>
        <w:spacing w:before="240" w:after="0"/>
        <w:jc w:val="left"/>
        <w:rPr/>
      </w:pPr>
      <w:r>
        <w:rPr/>
        <w:t>”</w:t>
      </w:r>
      <w:r>
        <w:rPr>
          <w:rFonts w:ascii="Times New Roman" w:hAnsi="Times New Roman"/>
          <w:sz w:val="20"/>
        </w:rPr>
        <w:t xml:space="preserve">, which amends the guidance 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internal-use</w:t>
      </w:r>
    </w:p>
    <w:p>
      <w:pPr>
        <w:pStyle w:val="TextBody"/>
        <w:bidi w:val="0"/>
        <w:spacing w:before="240" w:after="0"/>
        <w:jc w:val="left"/>
        <w:rPr>
          <w:rFonts w:ascii="Times New Roman" w:hAnsi="Times New Roman"/>
          <w:sz w:val="20"/>
        </w:rPr>
      </w:pPr>
      <w:r>
        <w:rPr>
          <w:rFonts w:ascii="Times New Roman" w:hAnsi="Times New Roman"/>
          <w:sz w:val="20"/>
        </w:rPr>
        <w:t xml:space="preserve">software. The ASU removed all references to prescriptive and sequential software development stages (referred to as “project stages”) throughout Subtopic </w:t>
      </w:r>
    </w:p>
    <w:p>
      <w:pPr>
        <w:pStyle w:val="TextBody"/>
        <w:bidi w:val="0"/>
        <w:spacing w:before="240" w:after="0"/>
        <w:jc w:val="left"/>
        <w:rPr>
          <w:rFonts w:ascii="Times New Roman" w:hAnsi="Times New Roman"/>
          <w:spacing w:val="0"/>
          <w:sz w:val="20"/>
        </w:rPr>
      </w:pPr>
      <w:r>
        <w:rPr>
          <w:rFonts w:ascii="Times New Roman" w:hAnsi="Times New Roman"/>
          <w:spacing w:val="0"/>
          <w:sz w:val="20"/>
        </w:rPr>
        <w:t>350-40.</w:t>
      </w:r>
    </w:p>
    <w:p>
      <w:pPr>
        <w:pStyle w:val="TextBody"/>
        <w:bidi w:val="0"/>
        <w:spacing w:before="240" w:after="0"/>
        <w:jc w:val="left"/>
        <w:rPr>
          <w:rFonts w:ascii="Times New Roman" w:hAnsi="Times New Roman"/>
          <w:sz w:val="20"/>
        </w:rPr>
      </w:pPr>
      <w:r>
        <w:rPr>
          <w:rFonts w:ascii="Times New Roman" w:hAnsi="Times New Roman"/>
          <w:sz w:val="20"/>
        </w:rPr>
        <w:t xml:space="preserve">Instead an entity is required to start capitalizing software costs when 1) management has authorized and committed to funding the software project and 2) it is probable that the project will be completed, and the software will be used to perform the function intended (referred to as the </w:t>
      </w:r>
    </w:p>
    <w:p>
      <w:pPr>
        <w:pStyle w:val="TextBody"/>
        <w:bidi w:val="0"/>
        <w:spacing w:before="240" w:after="0"/>
        <w:jc w:val="left"/>
        <w:rPr>
          <w:spacing w:val="0"/>
        </w:rPr>
      </w:pPr>
      <w:r>
        <w:rPr>
          <w:spacing w:val="0"/>
        </w:rPr>
        <w:t>“</w:t>
      </w:r>
      <w:r>
        <w:rPr>
          <w:rFonts w:ascii="Times New Roman" w:hAnsi="Times New Roman"/>
          <w:spacing w:val="0"/>
          <w:sz w:val="20"/>
        </w:rPr>
        <w:t>probable-to-complete</w:t>
      </w:r>
    </w:p>
    <w:p>
      <w:pPr>
        <w:pStyle w:val="TextBody"/>
        <w:bidi w:val="0"/>
        <w:spacing w:before="240" w:after="0"/>
        <w:jc w:val="left"/>
        <w:rPr>
          <w:rFonts w:ascii="Times New Roman" w:hAnsi="Times New Roman"/>
          <w:sz w:val="20"/>
        </w:rPr>
      </w:pPr>
      <w:r>
        <w:rPr>
          <w:rFonts w:ascii="Times New Roman" w:hAnsi="Times New Roman"/>
          <w:sz w:val="20"/>
        </w:rPr>
        <w:t xml:space="preserve">recognition threshold”). Among other things, the ASU also specified that disclosures are required for all capitalized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internal-use</w:t>
      </w:r>
    </w:p>
    <w:p>
      <w:pPr>
        <w:pStyle w:val="TextBody"/>
        <w:bidi w:val="0"/>
        <w:spacing w:before="240" w:after="0"/>
        <w:jc w:val="left"/>
        <w:rPr>
          <w:rFonts w:ascii="Times New Roman" w:hAnsi="Times New Roman"/>
          <w:sz w:val="20"/>
        </w:rPr>
      </w:pPr>
      <w:r>
        <w:rPr>
          <w:rFonts w:ascii="Times New Roman" w:hAnsi="Times New Roman"/>
          <w:sz w:val="20"/>
        </w:rPr>
        <w:t xml:space="preserve">software costs, regardless of how these costs are presented in the financial statements. The ASU is effective for annual reporting periods beginning after December 15, 2027 and interim reporting periods within those annual reporting periods. Early adoption is permitted. We are currently assessing the effect of this update. </w:t>
      </w:r>
    </w:p>
    <w:p>
      <w:pPr>
        <w:pStyle w:val="TextBody"/>
        <w:bidi w:val="0"/>
        <w:spacing w:before="0" w:after="0"/>
        <w:jc w:val="left"/>
        <w:rPr>
          <w:spacing w:val="0"/>
        </w:rPr>
      </w:pPr>
      <w:r>
        <w:rPr>
          <w:spacing w:val="0"/>
        </w:rPr>
        <w:t> </w:t>
      </w:r>
    </w:p>
    <w:tbl>
      <w:tblPr>
        <w:tblW w:w="3790" w:type="dxa"/>
        <w:jc w:val="left"/>
        <w:tblInd w:w="0" w:type="dxa"/>
        <w:tblLayout w:type="fixed"/>
        <w:tblCellMar>
          <w:top w:w="0" w:type="dxa"/>
          <w:left w:w="0" w:type="dxa"/>
          <w:bottom w:w="0" w:type="dxa"/>
          <w:right w:w="0" w:type="dxa"/>
        </w:tblCellMar>
      </w:tblPr>
      <w:tblGrid>
        <w:gridCol w:w="305"/>
        <w:gridCol w:w="3485"/>
      </w:tblGrid>
      <w:tr>
        <w:trPr/>
        <w:tc>
          <w:tcPr>
            <w:tcW w:w="305" w:type="dxa"/>
            <w:tcBorders/>
            <w:vAlign w:val="center"/>
          </w:tcPr>
          <w:p>
            <w:pPr>
              <w:pStyle w:val="TableContents"/>
              <w:bidi w:val="0"/>
              <w:spacing w:before="0" w:after="0"/>
              <w:jc w:val="left"/>
              <w:rPr>
                <w:b/>
                <w:spacing w:val="0"/>
              </w:rPr>
            </w:pPr>
            <w:r>
              <w:rPr>
                <w:b/>
                <w:spacing w:val="0"/>
              </w:rPr>
              <w:t>(4)</w:t>
            </w:r>
          </w:p>
        </w:tc>
        <w:tc>
          <w:tcPr>
            <w:tcW w:w="348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Revenue from Contracts with Customers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Overview </w:t>
      </w:r>
    </w:p>
    <w:p>
      <w:pPr>
        <w:pStyle w:val="TextBody"/>
        <w:bidi w:val="0"/>
        <w:spacing w:before="120" w:after="0"/>
        <w:jc w:val="left"/>
        <w:rPr>
          <w:rFonts w:ascii="Times New Roman" w:hAnsi="Times New Roman"/>
          <w:sz w:val="20"/>
        </w:rPr>
      </w:pPr>
      <w:r>
        <w:rPr>
          <w:rFonts w:ascii="Times New Roman" w:hAnsi="Times New Roman"/>
          <w:sz w:val="20"/>
        </w:rPr>
        <w:t xml:space="preserve">We apply the guidance in ASC 606,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Revenue from Contracts with Customers (Topic 606)</w:t>
      </w:r>
    </w:p>
    <w:p>
      <w:pPr>
        <w:pStyle w:val="TextBody"/>
        <w:bidi w:val="0"/>
        <w:spacing w:before="120" w:after="0"/>
        <w:jc w:val="left"/>
        <w:rPr>
          <w:rFonts w:ascii="Times New Roman" w:hAnsi="Times New Roman"/>
          <w:sz w:val="20"/>
        </w:rPr>
      </w:pPr>
      <w:r>
        <w:rPr>
          <w:rFonts w:ascii="Times New Roman" w:hAnsi="Times New Roman"/>
          <w:sz w:val="20"/>
        </w:rPr>
        <w:t xml:space="preserve">, when recognizing revenue associated with its contracts with customers. We generate revenue from the construction of new solar, battery storage, T&amp;D or other projects pursuant to EPC contracts. We also generate revenue from maintaining, upgrading, or repowering existing solar, battery storage or T&amp;D projects pursuant to O&amp;M agreements. </w:t>
      </w:r>
    </w:p>
    <w:p>
      <w:pPr>
        <w:pStyle w:val="TextBody"/>
        <w:bidi w:val="0"/>
        <w:spacing w:before="240" w:after="0"/>
        <w:jc w:val="left"/>
        <w:rPr>
          <w:rFonts w:ascii="Times New Roman" w:hAnsi="Times New Roman"/>
          <w:sz w:val="20"/>
        </w:rPr>
      </w:pPr>
      <w:r>
        <w:rPr>
          <w:rFonts w:ascii="Times New Roman" w:hAnsi="Times New Roman"/>
          <w:sz w:val="20"/>
        </w:rPr>
        <w:t xml:space="preserve">We recognize revenue using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percentage-of-completion</w:t>
      </w:r>
    </w:p>
    <w:p>
      <w:pPr>
        <w:pStyle w:val="TextBody"/>
        <w:bidi w:val="0"/>
        <w:spacing w:before="240" w:after="0"/>
        <w:jc w:val="left"/>
        <w:rPr>
          <w:rFonts w:ascii="Times New Roman" w:hAnsi="Times New Roman"/>
          <w:sz w:val="20"/>
        </w:rPr>
      </w:pPr>
      <w:r>
        <w:rPr>
          <w:rFonts w:ascii="Times New Roman" w:hAnsi="Times New Roman"/>
          <w:sz w:val="20"/>
        </w:rPr>
        <w:t xml:space="preserve">method (an input method), based on costs incurred to date compared to total estimated costs. Costs related to uninstalled materials are included in this calculation provided that control of those materials has transferred to the customer. This method is the most accurate measure of our contract performance because it directly measures the value of the goods and services transferred to the customer.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Estimated costs include our latest estimates using judgments with respect to labor hours and costs, materials, subcontractor costs, among other costs. Changes to total estimated costs or losses, if any, are recognized in the period in which they are determined to be assessed at the contract level.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For our O&amp;M agreements, revenue is also generally recognized over time as the customer simultaneously receives and consumes the benefits of our performance as we perform the service. For our fixed price O&amp;M agreements with specified service periods, revenue is generally recognized on a straight-line basis over such service period when our inputs are expended evenly and the customer receives and consumes the benefits of our performance throughout the contract term.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Revenues recognized by us from the sale of development projects are recognized at a point in time when control of the related project transfers to the customer in an amount that reflects the consideration we expect to be entitled to in exchange for the project.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 presents our revenue disaggregated by service type: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650"/>
        <w:gridCol w:w="120"/>
        <w:gridCol w:w="140"/>
        <w:gridCol w:w="800"/>
        <w:gridCol w:w="60"/>
        <w:gridCol w:w="120"/>
        <w:gridCol w:w="60"/>
        <w:gridCol w:w="560"/>
        <w:gridCol w:w="275"/>
        <w:gridCol w:w="60"/>
        <w:gridCol w:w="140"/>
        <w:gridCol w:w="800"/>
        <w:gridCol w:w="60"/>
        <w:gridCol w:w="120"/>
        <w:gridCol w:w="60"/>
        <w:gridCol w:w="560"/>
        <w:gridCol w:w="275"/>
        <w:gridCol w:w="60"/>
        <w:gridCol w:w="140"/>
        <w:gridCol w:w="980"/>
        <w:gridCol w:w="60"/>
        <w:gridCol w:w="120"/>
        <w:gridCol w:w="60"/>
        <w:gridCol w:w="560"/>
        <w:gridCol w:w="275"/>
        <w:gridCol w:w="60"/>
        <w:gridCol w:w="140"/>
        <w:gridCol w:w="800"/>
        <w:gridCol w:w="60"/>
        <w:gridCol w:w="120"/>
        <w:gridCol w:w="60"/>
        <w:gridCol w:w="560"/>
        <w:gridCol w:w="290"/>
      </w:tblGrid>
      <w:tr>
        <w:trPr/>
        <w:tc>
          <w:tcPr>
            <w:tcW w:w="1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6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15" w:type="dxa"/>
            <w:gridSpan w:val="14"/>
            <w:tcBorders/>
            <w:vAlign w:val="center"/>
          </w:tcPr>
          <w:p>
            <w:pPr>
              <w:pStyle w:val="TableContents"/>
              <w:bidi w:val="0"/>
              <w:spacing w:before="0" w:after="0"/>
              <w:jc w:val="center"/>
              <w:rPr>
                <w:b/>
                <w:spacing w:val="0"/>
              </w:rPr>
            </w:pPr>
            <w:r>
              <w:rPr>
                <w:b/>
                <w:spacing w:val="0"/>
              </w:rPr>
              <w:t>Three Months Ended June 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5" w:type="dxa"/>
            <w:gridSpan w:val="14"/>
            <w:tcBorders/>
            <w:vAlign w:val="center"/>
          </w:tcPr>
          <w:p>
            <w:pPr>
              <w:pStyle w:val="TableContents"/>
              <w:bidi w:val="0"/>
              <w:spacing w:before="0" w:after="0"/>
              <w:jc w:val="center"/>
              <w:rPr>
                <w:b/>
                <w:spacing w:val="0"/>
              </w:rPr>
            </w:pPr>
            <w:r>
              <w:rPr>
                <w:b/>
                <w:spacing w:val="0"/>
              </w:rPr>
              <w:t>Six Months Ended June 30,</w:t>
            </w:r>
          </w:p>
        </w:tc>
        <w:tc>
          <w:tcPr>
            <w:tcW w:w="290" w:type="dxa"/>
            <w:tcBorders/>
            <w:vAlign w:val="center"/>
          </w:tcPr>
          <w:p>
            <w:pPr>
              <w:pStyle w:val="TableContents"/>
              <w:bidi w:val="0"/>
              <w:spacing w:before="0" w:after="283"/>
              <w:jc w:val="left"/>
              <w:rPr/>
            </w:pPr>
            <w:r>
              <w:rPr/>
              <w:t> </w:t>
            </w:r>
          </w:p>
        </w:tc>
      </w:tr>
      <w:tr>
        <w:trPr/>
        <w:tc>
          <w:tcPr>
            <w:tcW w:w="16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0" w:type="dxa"/>
            <w:gridSpan w:val="6"/>
            <w:tcBorders/>
            <w:vAlign w:val="center"/>
          </w:tcPr>
          <w:p>
            <w:pPr>
              <w:pStyle w:val="TableContents"/>
              <w:bidi w:val="0"/>
              <w:spacing w:before="0" w:after="0"/>
              <w:jc w:val="center"/>
              <w:rPr>
                <w:b/>
                <w:spacing w:val="0"/>
              </w:rPr>
            </w:pPr>
            <w:r>
              <w:rPr>
                <w:b/>
                <w:spacing w:val="0"/>
              </w:rPr>
              <w:t>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0" w:type="dxa"/>
            <w:gridSpan w:val="6"/>
            <w:tcBorders/>
            <w:vAlign w:val="center"/>
          </w:tcPr>
          <w:p>
            <w:pPr>
              <w:pStyle w:val="TableContents"/>
              <w:bidi w:val="0"/>
              <w:spacing w:before="0" w:after="0"/>
              <w:jc w:val="center"/>
              <w:rPr>
                <w:b/>
                <w:spacing w:val="0"/>
              </w:rPr>
            </w:pPr>
            <w:r>
              <w:rPr>
                <w:b/>
                <w:spacing w:val="0"/>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0" w:type="dxa"/>
            <w:gridSpan w:val="6"/>
            <w:tcBorders/>
            <w:vAlign w:val="center"/>
          </w:tcPr>
          <w:p>
            <w:pPr>
              <w:pStyle w:val="TableContents"/>
              <w:bidi w:val="0"/>
              <w:spacing w:before="0" w:after="0"/>
              <w:jc w:val="center"/>
              <w:rPr>
                <w:b/>
                <w:spacing w:val="0"/>
              </w:rPr>
            </w:pPr>
            <w:r>
              <w:rPr>
                <w:b/>
                <w:spacing w:val="0"/>
              </w:rPr>
              <w:t>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0" w:type="dxa"/>
            <w:gridSpan w:val="6"/>
            <w:tcBorders/>
            <w:vAlign w:val="center"/>
          </w:tcPr>
          <w:p>
            <w:pPr>
              <w:pStyle w:val="TableContents"/>
              <w:bidi w:val="0"/>
              <w:spacing w:before="0" w:after="0"/>
              <w:jc w:val="center"/>
              <w:rPr>
                <w:b/>
                <w:spacing w:val="0"/>
              </w:rPr>
            </w:pPr>
            <w:r>
              <w:rPr>
                <w:b/>
                <w:spacing w:val="0"/>
              </w:rPr>
              <w:t>2025</w:t>
            </w:r>
          </w:p>
        </w:tc>
        <w:tc>
          <w:tcPr>
            <w:tcW w:w="290" w:type="dxa"/>
            <w:tcBorders/>
            <w:vAlign w:val="center"/>
          </w:tcPr>
          <w:p>
            <w:pPr>
              <w:pStyle w:val="TableContents"/>
              <w:bidi w:val="0"/>
              <w:spacing w:before="0" w:after="283"/>
              <w:jc w:val="left"/>
              <w:rPr/>
            </w:pPr>
            <w:r>
              <w:rPr/>
              <w:t> </w:t>
            </w:r>
          </w:p>
        </w:tc>
      </w:tr>
      <w:tr>
        <w:trPr/>
        <w:tc>
          <w:tcPr>
            <w:tcW w:w="165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By service type: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6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New Construction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913,122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95.9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486,155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1,563,855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863,316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91.5</w:t>
            </w:r>
          </w:p>
        </w:tc>
        <w:tc>
          <w:tcPr>
            <w:tcW w:w="290" w:type="dxa"/>
            <w:tcBorders/>
            <w:vAlign w:val="center"/>
          </w:tcPr>
          <w:p>
            <w:pPr>
              <w:pStyle w:val="TableContents"/>
              <w:bidi w:val="0"/>
              <w:spacing w:before="0" w:after="283"/>
              <w:jc w:val="left"/>
              <w:rPr/>
            </w:pPr>
            <w:r>
              <w:rPr/>
              <w:t>% </w:t>
            </w:r>
          </w:p>
        </w:tc>
      </w:tr>
      <w:tr>
        <w:trPr/>
        <w:tc>
          <w:tcPr>
            <w:tcW w:w="16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Existing infrastructure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27,970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36,401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52,934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62,909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6.7</w:t>
            </w:r>
          </w:p>
        </w:tc>
        <w:tc>
          <w:tcPr>
            <w:tcW w:w="290" w:type="dxa"/>
            <w:tcBorders/>
            <w:shd w:fill="CCEEFF" w:val="clear"/>
            <w:vAlign w:val="center"/>
          </w:tcPr>
          <w:p>
            <w:pPr>
              <w:pStyle w:val="TableContents"/>
              <w:bidi w:val="0"/>
              <w:spacing w:before="0" w:after="283"/>
              <w:jc w:val="left"/>
              <w:rPr/>
            </w:pPr>
            <w:r>
              <w:rPr/>
              <w:t>% </w:t>
            </w:r>
          </w:p>
        </w:tc>
      </w:tr>
      <w:tr>
        <w:trPr/>
        <w:tc>
          <w:tcPr>
            <w:tcW w:w="16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10,151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13,396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11,259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17,574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1.8</w:t>
            </w:r>
          </w:p>
        </w:tc>
        <w:tc>
          <w:tcPr>
            <w:tcW w:w="290" w:type="dxa"/>
            <w:tcBorders/>
            <w:vAlign w:val="center"/>
          </w:tcPr>
          <w:p>
            <w:pPr>
              <w:pStyle w:val="TableContents"/>
              <w:bidi w:val="0"/>
              <w:spacing w:before="0" w:after="283"/>
              <w:jc w:val="left"/>
              <w:rPr/>
            </w:pPr>
            <w:r>
              <w:rPr/>
              <w:t>% </w:t>
            </w:r>
          </w:p>
        </w:tc>
      </w:tr>
      <w:tr>
        <w:trPr/>
        <w:tc>
          <w:tcPr>
            <w:tcW w:w="1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16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951,243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535,952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1,628,048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943,799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90" w:type="dxa"/>
            <w:tcBorders/>
            <w:shd w:fill="CCEEFF" w:val="clear"/>
            <w:vAlign w:val="center"/>
          </w:tcPr>
          <w:p>
            <w:pPr>
              <w:pStyle w:val="TableContents"/>
              <w:bidi w:val="0"/>
              <w:spacing w:before="0" w:after="283"/>
              <w:jc w:val="left"/>
              <w:rPr/>
            </w:pPr>
            <w:r>
              <w:rPr/>
              <w:t>% </w:t>
            </w:r>
          </w:p>
        </w:tc>
      </w:tr>
      <w:tr>
        <w:trPr/>
        <w:tc>
          <w:tcPr>
            <w:tcW w:w="1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Variable Consideration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nature of our contracts gives rise to variable consideration, including unexecuted change orders and liquidated damage penalties. Change orders are for goods and services that are not distinct from the existing contract due to the significant integration service provided in the context of the contract. We recognize revenue for variable consideration when it is probable that a significant reversal in the amount of cumulative revenue recognized will not occur or when the uncertainty associated with the variable consideration is resolved. We estimate the amount of revenue to be recognized on variable consideration by using the expected value or the most likely amount method, whichever is expected to better predict the amount.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documented approval by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customers.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Change in Estimates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Due to uncertainties inherent in the estimation process and the significant judgments involved in determining variable consideration, our estimates of costs to complete performance obligations and transaction prices may change as new information becomes available.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Revenues were positively impacted by $24,320 and $27,278 during the three months ended June 30, 2026 and 2025, respectively, as a result of changes in estimates associated with performance obligations on contracts partially satisfied prior to March 31, 2026 and 2025, respectively. Revenues were positively impacted by $49,486 and $30,660 during the six months ended June 30, 2026 and 2025, respectively, as a result of changes in estimates associated with performance obligations on contracts partially satisfied prior to December 31, 2025 and 2024,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Practical Expedient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If we have a right to consideration from a customer in an amount that corresponds directly with the value of our performance completed to date, we recognize revenue in the amount to which it has a right to invoice for services performed.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Remaining Performance Obligations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June 30, 2026, the aggregate amount of the transaction price allocated to remaining performance obligations was $3,546,244, which is related to our EPC service contracts. We anticipate recognizing revenue on substantially all the remaining performance obligations under these contracts over the next 12 to 18 months.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our O&amp;M agreements, we have elected to apply the optional exemption, which waives the requirement to disclose the remaining performance obligation for revenue recognized through the right to invoice practical expedient and contracts that have an original expected duration of one year or less.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Contract Assets and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During the six months ended June 30, 2026 and 2025, we recognized revenue of $296,596 and $207,293 related to contract liabilities outstanding as of the beginning of each respective period.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Contract assets and liabilities consisted of the following: </w:t>
      </w:r>
    </w:p>
    <w:p>
      <w:pPr>
        <w:pStyle w:val="TextBody"/>
        <w:bidi w:val="0"/>
        <w:spacing w:before="0" w:after="0"/>
        <w:jc w:val="left"/>
        <w:rPr>
          <w:spacing w:val="0"/>
        </w:rPr>
      </w:pPr>
      <w:r>
        <w:rPr>
          <w:spacing w:val="0"/>
        </w:rPr>
        <w:t> </w:t>
      </w:r>
    </w:p>
    <w:tbl>
      <w:tblPr>
        <w:tblW w:w="6285" w:type="dxa"/>
        <w:jc w:val="left"/>
        <w:tblInd w:w="0" w:type="dxa"/>
        <w:tblLayout w:type="fixed"/>
        <w:tblCellMar>
          <w:top w:w="0" w:type="dxa"/>
          <w:left w:w="0" w:type="dxa"/>
          <w:bottom w:w="0" w:type="dxa"/>
          <w:right w:w="0" w:type="dxa"/>
        </w:tblCellMar>
      </w:tblPr>
      <w:tblGrid>
        <w:gridCol w:w="2540"/>
        <w:gridCol w:w="120"/>
        <w:gridCol w:w="210"/>
        <w:gridCol w:w="1205"/>
        <w:gridCol w:w="60"/>
        <w:gridCol w:w="120"/>
        <w:gridCol w:w="291"/>
        <w:gridCol w:w="1664"/>
        <w:gridCol w:w="75"/>
      </w:tblGrid>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June 30,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2025</w:t>
            </w:r>
          </w:p>
        </w:tc>
        <w:tc>
          <w:tcPr>
            <w:tcW w:w="7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Contract assets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181,525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156,744</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Contract liabilities, current</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258,245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w:t>
            </w:r>
          </w:p>
        </w:tc>
        <w:tc>
          <w:tcPr>
            <w:tcW w:w="1664" w:type="dxa"/>
            <w:tcBorders/>
            <w:vAlign w:val="center"/>
          </w:tcPr>
          <w:p>
            <w:pPr>
              <w:pStyle w:val="TableContents"/>
              <w:bidi w:val="0"/>
              <w:spacing w:before="0" w:after="283"/>
              <w:jc w:val="right"/>
              <w:rPr/>
            </w:pPr>
            <w:r>
              <w:rPr/>
              <w:t>308,619</w:t>
            </w:r>
          </w:p>
        </w:tc>
        <w:tc>
          <w:tcPr>
            <w:tcW w:w="7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Contract liabilities, noncurrent</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1,363</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contract liabilities</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259,460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w:t>
            </w:r>
          </w:p>
        </w:tc>
        <w:tc>
          <w:tcPr>
            <w:tcW w:w="1664" w:type="dxa"/>
            <w:tcBorders/>
            <w:vAlign w:val="center"/>
          </w:tcPr>
          <w:p>
            <w:pPr>
              <w:pStyle w:val="TableContents"/>
              <w:bidi w:val="0"/>
              <w:spacing w:before="0" w:after="283"/>
              <w:jc w:val="right"/>
              <w:rPr/>
            </w:pPr>
            <w:r>
              <w:rPr/>
              <w:t>309,982</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sz w:val="12"/>
              </w:rPr>
            </w:pPr>
            <w:r>
              <w:rPr>
                <w:sz w:val="12"/>
              </w:rPr>
              <w:t>(1)</w:t>
            </w:r>
          </w:p>
        </w:tc>
        <w:tc>
          <w:tcPr>
            <w:tcW w:w="100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Noncurrent contract liabilities are presented within “Other long-term liabilities” on the Condensed Consolidated Balance Sheets.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Contract assets and liabilities fluctuate period to period based primarily on changes in the number and size of projects in progress at period end, variability in billing and payment terms, and the amounts of unapproved change orders and contract claims. The increase in contract assets for the six months ended June 30, 2026 was primarily attributable to the commencement of new projects in 2026, partially offset by completion of certain projects and the corresponding billings of amounts previously recorded in contract assets.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decrease in contract liabilities for the six months ended June 30, 2026 is due primarily to the completion of certain projects and satisfaction of performance obligations related to contract amounts previously billed, partially offset by the commencement of new projects in 2026 and timing of billings in relation to costs incurred on certain projects. </w:t>
      </w:r>
    </w:p>
    <w:p>
      <w:pPr>
        <w:pStyle w:val="TextBody"/>
        <w:bidi w:val="0"/>
        <w:spacing w:before="0" w:after="0"/>
        <w:jc w:val="left"/>
        <w:rPr>
          <w:spacing w:val="0"/>
        </w:rPr>
      </w:pPr>
      <w:r>
        <w:rPr>
          <w:spacing w:val="0"/>
        </w:rPr>
        <w:t> </w:t>
      </w:r>
    </w:p>
    <w:tbl>
      <w:tblPr>
        <w:tblW w:w="2185" w:type="dxa"/>
        <w:jc w:val="left"/>
        <w:tblInd w:w="0" w:type="dxa"/>
        <w:tblLayout w:type="fixed"/>
        <w:tblCellMar>
          <w:top w:w="0" w:type="dxa"/>
          <w:left w:w="0" w:type="dxa"/>
          <w:bottom w:w="0" w:type="dxa"/>
          <w:right w:w="0" w:type="dxa"/>
        </w:tblCellMar>
      </w:tblPr>
      <w:tblGrid>
        <w:gridCol w:w="305"/>
        <w:gridCol w:w="1880"/>
      </w:tblGrid>
      <w:tr>
        <w:trPr/>
        <w:tc>
          <w:tcPr>
            <w:tcW w:w="305" w:type="dxa"/>
            <w:tcBorders/>
            <w:vAlign w:val="center"/>
          </w:tcPr>
          <w:p>
            <w:pPr>
              <w:pStyle w:val="TableContents"/>
              <w:bidi w:val="0"/>
              <w:spacing w:before="0" w:after="0"/>
              <w:jc w:val="left"/>
              <w:rPr>
                <w:b/>
                <w:spacing w:val="0"/>
              </w:rPr>
            </w:pPr>
            <w:r>
              <w:rPr>
                <w:b/>
                <w:spacing w:val="0"/>
              </w:rPr>
              <w:t>(5)</w:t>
            </w:r>
          </w:p>
        </w:tc>
        <w:tc>
          <w:tcPr>
            <w:tcW w:w="18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Segment Information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first quarter of 2026, we had a segment change moving from two operating segments to one operating segment to align with how our chief operating decision maker (the “CODM”) manages the business. Our CODM is our Chief Executive Officer. As a result of this change, we now have one operating segment and one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Our CODM allocates resources and assesses our performance based on consolidated net income, as reported on the condensed consolidated statement of operations, which, as the segment measure of profit or loss that is most consistent with U.S. GAAP, is the required segment measure. Our CODM uses this to make decisions regarding our business, including performance assessments and strategic and operational planning, in compliance with ASC 280,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Segment Reporting</w:t>
      </w:r>
    </w:p>
    <w:p>
      <w:pPr>
        <w:pStyle w:val="TextBody"/>
        <w:bidi w:val="0"/>
        <w:spacing w:before="240" w:after="0"/>
        <w:jc w:val="left"/>
        <w:rPr>
          <w:rFonts w:ascii="Times New Roman" w:hAnsi="Times New Roman"/>
          <w:sz w:val="20"/>
        </w:rPr>
      </w:pPr>
      <w:r>
        <w:rPr>
          <w:rFonts w:ascii="Times New Roman" w:hAnsi="Times New Roman"/>
          <w:sz w:val="20"/>
        </w:rPr>
        <w:t xml:space="preserve">. Consolidated net income was $66,833 and $44,632 for the three months ended June 30, 2026 and 2025, respectively, and $39,419 and $44,130 for the six months ended June 30, 2026 and 2025, respectively. Our CODM is regularly provided with expense categories for the Company’s single operating segment that are the same as the expense captions present in our condensed consolidated statements of operations. The measure of segment assets is reported on the condensed consolidated balance sheets as total consolidated assets.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tbl>
      <w:tblPr>
        <w:tblW w:w="1810" w:type="dxa"/>
        <w:jc w:val="left"/>
        <w:tblInd w:w="0" w:type="dxa"/>
        <w:tblLayout w:type="fixed"/>
        <w:tblCellMar>
          <w:top w:w="0" w:type="dxa"/>
          <w:left w:w="0" w:type="dxa"/>
          <w:bottom w:w="0" w:type="dxa"/>
          <w:right w:w="0" w:type="dxa"/>
        </w:tblCellMar>
      </w:tblPr>
      <w:tblGrid>
        <w:gridCol w:w="305"/>
        <w:gridCol w:w="1505"/>
      </w:tblGrid>
      <w:tr>
        <w:trPr/>
        <w:tc>
          <w:tcPr>
            <w:tcW w:w="305" w:type="dxa"/>
            <w:tcBorders/>
            <w:vAlign w:val="center"/>
          </w:tcPr>
          <w:p>
            <w:pPr>
              <w:pStyle w:val="TableContents"/>
              <w:bidi w:val="0"/>
              <w:spacing w:before="0" w:after="0"/>
              <w:jc w:val="left"/>
              <w:rPr>
                <w:b/>
                <w:spacing w:val="0"/>
              </w:rPr>
            </w:pPr>
            <w:r>
              <w:rPr>
                <w:b/>
                <w:spacing w:val="0"/>
              </w:rPr>
              <w:t>(6)</w:t>
            </w:r>
          </w:p>
        </w:tc>
        <w:tc>
          <w:tcPr>
            <w:tcW w:w="15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Intangible Assets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determined the value of our intangible assets upon acquisition based on fair value assumptions determined at that time. We amortize intangible assets with finite useful lives over their respective estimated useful lives using the straight-line method. The following table summarizes our intangible assets: </w:t>
      </w:r>
    </w:p>
    <w:p>
      <w:pPr>
        <w:pStyle w:val="TextBody"/>
        <w:bidi w:val="0"/>
        <w:spacing w:before="0" w:after="0"/>
        <w:jc w:val="left"/>
        <w:rPr>
          <w:spacing w:val="0"/>
        </w:rPr>
      </w:pPr>
      <w:r>
        <w:rPr>
          <w:spacing w:val="0"/>
        </w:rPr>
        <w:t> </w:t>
      </w:r>
    </w:p>
    <w:tbl>
      <w:tblPr>
        <w:tblW w:w="7679" w:type="dxa"/>
        <w:jc w:val="left"/>
        <w:tblInd w:w="0" w:type="dxa"/>
        <w:tblLayout w:type="fixed"/>
        <w:tblCellMar>
          <w:top w:w="0" w:type="dxa"/>
          <w:left w:w="0" w:type="dxa"/>
          <w:bottom w:w="0" w:type="dxa"/>
          <w:right w:w="0" w:type="dxa"/>
        </w:tblCellMar>
      </w:tblPr>
      <w:tblGrid>
        <w:gridCol w:w="1985"/>
        <w:gridCol w:w="120"/>
        <w:gridCol w:w="164"/>
        <w:gridCol w:w="1206"/>
        <w:gridCol w:w="60"/>
        <w:gridCol w:w="120"/>
        <w:gridCol w:w="157"/>
        <w:gridCol w:w="898"/>
        <w:gridCol w:w="60"/>
        <w:gridCol w:w="120"/>
        <w:gridCol w:w="188"/>
        <w:gridCol w:w="1182"/>
        <w:gridCol w:w="95"/>
        <w:gridCol w:w="120"/>
        <w:gridCol w:w="168"/>
        <w:gridCol w:w="961"/>
        <w:gridCol w:w="75"/>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99" w:type="dxa"/>
            <w:gridSpan w:val="14"/>
            <w:tcBorders/>
            <w:vAlign w:val="center"/>
          </w:tcPr>
          <w:p>
            <w:pPr>
              <w:pStyle w:val="TableContents"/>
              <w:bidi w:val="0"/>
              <w:spacing w:before="0" w:after="0"/>
              <w:jc w:val="center"/>
              <w:rPr>
                <w:b/>
                <w:spacing w:val="0"/>
              </w:rPr>
            </w:pPr>
            <w:r>
              <w:rPr>
                <w:b/>
                <w:spacing w:val="0"/>
              </w:rPr>
              <w:t>As of June 30, 2026</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Remaining</w:t>
              <w:b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br/>
              <w:t>Period</w:t>
            </w:r>
          </w:p>
          <w:p>
            <w:pPr>
              <w:pStyle w:val="TableContents"/>
              <w:bidi w:val="0"/>
              <w:spacing w:before="0" w:after="0"/>
              <w:jc w:val="center"/>
              <w:rPr/>
            </w:pPr>
            <w:r>
              <w:rPr/>
            </w:r>
          </w:p>
          <w:p>
            <w:pPr>
              <w:pStyle w:val="TableContents"/>
              <w:bidi w:val="0"/>
              <w:spacing w:before="0" w:after="0"/>
              <w:jc w:val="center"/>
              <w:rPr>
                <w:b/>
                <w:spacing w:val="0"/>
              </w:rPr>
            </w:pPr>
            <w:r>
              <w:rPr>
                <w:b/>
                <w:spacing w:val="0"/>
              </w:rPr>
              <w:t>in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b/>
                <w:spacing w:val="0"/>
              </w:rPr>
            </w:pPr>
            <w:r>
              <w:rPr>
                <w:b/>
                <w:spacing w:val="0"/>
              </w:rPr>
              <w:t>Intangible</w:t>
            </w:r>
          </w:p>
          <w:p>
            <w:pPr>
              <w:pStyle w:val="TableContents"/>
              <w:bidi w:val="0"/>
              <w:spacing w:before="0" w:after="0"/>
              <w:jc w:val="center"/>
              <w:rPr/>
            </w:pPr>
            <w:r>
              <w:rPr/>
            </w:r>
          </w:p>
          <w:p>
            <w:pPr>
              <w:pStyle w:val="TableContents"/>
              <w:bidi w:val="0"/>
              <w:spacing w:before="0" w:after="0"/>
              <w:jc w:val="center"/>
              <w:rPr>
                <w:b/>
                <w:spacing w:val="0"/>
              </w:rPr>
            </w:pPr>
            <w:r>
              <w:rPr>
                <w:b/>
                <w:spacing w:val="0"/>
              </w:rPr>
              <w:t>Assets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0"/>
              <w:jc w:val="center"/>
              <w:rPr>
                <w:b/>
                <w:spacing w:val="0"/>
              </w:rPr>
            </w:pPr>
            <w:r>
              <w:rPr>
                <w:b/>
                <w:spacing w:val="0"/>
              </w:rPr>
              <w:t>Intangible</w:t>
            </w:r>
          </w:p>
          <w:p>
            <w:pPr>
              <w:pStyle w:val="TableContents"/>
              <w:bidi w:val="0"/>
              <w:spacing w:before="0" w:after="0"/>
              <w:jc w:val="center"/>
              <w:rPr/>
            </w:pPr>
            <w:r>
              <w:rPr/>
            </w:r>
          </w:p>
          <w:p>
            <w:pPr>
              <w:pStyle w:val="TableContents"/>
              <w:bidi w:val="0"/>
              <w:spacing w:before="0" w:after="0"/>
              <w:jc w:val="center"/>
              <w:rPr>
                <w:b/>
                <w:spacing w:val="0"/>
              </w:rPr>
            </w:pPr>
            <w:r>
              <w:rPr>
                <w:b/>
                <w:spacing w:val="0"/>
              </w:rPr>
              <w:t>Assets, Net</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Name</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120,370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(48,611</w:t>
            </w:r>
          </w:p>
        </w:tc>
        <w:tc>
          <w:tcPr>
            <w:tcW w:w="95"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71,759</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Customer Relationships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345,800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(171,646</w:t>
            </w:r>
          </w:p>
        </w:tc>
        <w:tc>
          <w:tcPr>
            <w:tcW w:w="9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174,154</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Patents/Know-How</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10.5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126,000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(38,004</w:t>
            </w:r>
          </w:p>
        </w:tc>
        <w:tc>
          <w:tcPr>
            <w:tcW w:w="95"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87,996</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898" w:type="dxa"/>
            <w:tcBorders/>
            <w:vAlign w:val="center"/>
          </w:tcPr>
          <w:p>
            <w:pPr>
              <w:pStyle w:val="TableContents"/>
              <w:bidi w:val="0"/>
              <w:spacing w:before="0" w:after="283"/>
              <w:jc w:val="right"/>
              <w:rPr/>
            </w:pPr>
            <w:r>
              <w:rPr/>
              <w:t>592,170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(258,261</w:t>
            </w:r>
          </w:p>
        </w:tc>
        <w:tc>
          <w:tcPr>
            <w:tcW w:w="95" w:type="dxa"/>
            <w:tcBorders/>
            <w:vAlign w:val="center"/>
          </w:tcPr>
          <w:p>
            <w:pPr>
              <w:pStyle w:val="TableContents"/>
              <w:bidi w:val="0"/>
              <w:spacing w:before="0" w:after="0"/>
              <w:jc w:val="left"/>
              <w:rPr/>
            </w:pPr>
            <w:r>
              <w:rPr/>
              <w:t>)</w:t>
            </w:r>
          </w:p>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283"/>
              <w:jc w:val="right"/>
              <w:rPr/>
            </w:pPr>
            <w:r>
              <w:rPr/>
              <w:t>333,909</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6189" w:type="dxa"/>
        <w:jc w:val="left"/>
        <w:tblInd w:w="0" w:type="dxa"/>
        <w:tblLayout w:type="fixed"/>
        <w:tblCellMar>
          <w:top w:w="0" w:type="dxa"/>
          <w:left w:w="0" w:type="dxa"/>
          <w:bottom w:w="0" w:type="dxa"/>
          <w:right w:w="0" w:type="dxa"/>
        </w:tblCellMar>
      </w:tblPr>
      <w:tblGrid>
        <w:gridCol w:w="1985"/>
        <w:gridCol w:w="120"/>
        <w:gridCol w:w="157"/>
        <w:gridCol w:w="898"/>
        <w:gridCol w:w="60"/>
        <w:gridCol w:w="120"/>
        <w:gridCol w:w="188"/>
        <w:gridCol w:w="1182"/>
        <w:gridCol w:w="155"/>
        <w:gridCol w:w="120"/>
        <w:gridCol w:w="168"/>
        <w:gridCol w:w="961"/>
        <w:gridCol w:w="75"/>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09" w:type="dxa"/>
            <w:gridSpan w:val="10"/>
            <w:tcBorders/>
            <w:vAlign w:val="center"/>
          </w:tcPr>
          <w:p>
            <w:pPr>
              <w:pStyle w:val="TableContents"/>
              <w:bidi w:val="0"/>
              <w:spacing w:before="0" w:after="0"/>
              <w:jc w:val="center"/>
              <w:rPr>
                <w:b/>
                <w:spacing w:val="0"/>
              </w:rPr>
            </w:pPr>
            <w:r>
              <w:rPr>
                <w:b/>
                <w:spacing w:val="0"/>
              </w:rPr>
              <w:t>As of December 31, 2025</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b/>
                <w:spacing w:val="0"/>
              </w:rPr>
            </w:pPr>
            <w:r>
              <w:rPr>
                <w:b/>
                <w:spacing w:val="0"/>
              </w:rPr>
              <w:t>Intangible</w:t>
            </w:r>
          </w:p>
          <w:p>
            <w:pPr>
              <w:pStyle w:val="TableContents"/>
              <w:bidi w:val="0"/>
              <w:spacing w:before="0" w:after="0"/>
              <w:jc w:val="center"/>
              <w:rPr/>
            </w:pPr>
            <w:r>
              <w:rPr/>
            </w:r>
          </w:p>
          <w:p>
            <w:pPr>
              <w:pStyle w:val="TableContents"/>
              <w:bidi w:val="0"/>
              <w:spacing w:before="0" w:after="0"/>
              <w:jc w:val="center"/>
              <w:rPr>
                <w:b/>
                <w:spacing w:val="0"/>
              </w:rPr>
            </w:pPr>
            <w:r>
              <w:rPr>
                <w:b/>
                <w:spacing w:val="0"/>
              </w:rPr>
              <w:t>Assets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0"/>
              <w:jc w:val="center"/>
              <w:rPr>
                <w:b/>
                <w:spacing w:val="0"/>
              </w:rPr>
            </w:pPr>
            <w:r>
              <w:rPr>
                <w:b/>
                <w:spacing w:val="0"/>
              </w:rPr>
              <w:t>Intangible</w:t>
            </w:r>
          </w:p>
          <w:p>
            <w:pPr>
              <w:pStyle w:val="TableContents"/>
              <w:bidi w:val="0"/>
              <w:spacing w:before="0" w:after="0"/>
              <w:jc w:val="center"/>
              <w:rPr/>
            </w:pPr>
            <w:r>
              <w:rPr/>
            </w:r>
          </w:p>
          <w:p>
            <w:pPr>
              <w:pStyle w:val="TableContents"/>
              <w:bidi w:val="0"/>
              <w:spacing w:before="0" w:after="0"/>
              <w:jc w:val="center"/>
              <w:rPr>
                <w:b/>
                <w:spacing w:val="0"/>
              </w:rPr>
            </w:pPr>
            <w:r>
              <w:rPr>
                <w:b/>
                <w:spacing w:val="0"/>
              </w:rPr>
              <w:t>Assets, Net</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Name</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120,670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(43,378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77,292</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Customer Relationships</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343,900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(152,376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191,524</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Backlog</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60,190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(58,813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1,377</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Patents/Know-How</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126,000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(33,803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92,197</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650,760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(288,370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362,390</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tbl>
      <w:tblPr>
        <w:tblW w:w="1810" w:type="dxa"/>
        <w:jc w:val="left"/>
        <w:tblInd w:w="0" w:type="dxa"/>
        <w:tblLayout w:type="fixed"/>
        <w:tblCellMar>
          <w:top w:w="0" w:type="dxa"/>
          <w:left w:w="0" w:type="dxa"/>
          <w:bottom w:w="0" w:type="dxa"/>
          <w:right w:w="0" w:type="dxa"/>
        </w:tblCellMar>
      </w:tblPr>
      <w:tblGrid>
        <w:gridCol w:w="305"/>
        <w:gridCol w:w="1505"/>
      </w:tblGrid>
      <w:tr>
        <w:trPr/>
        <w:tc>
          <w:tcPr>
            <w:tcW w:w="305" w:type="dxa"/>
            <w:tcBorders/>
            <w:vAlign w:val="center"/>
          </w:tcPr>
          <w:p>
            <w:pPr>
              <w:pStyle w:val="TableContents"/>
              <w:bidi w:val="0"/>
              <w:spacing w:before="0" w:after="0"/>
              <w:jc w:val="left"/>
              <w:rPr>
                <w:b/>
                <w:spacing w:val="0"/>
              </w:rPr>
            </w:pPr>
            <w:r>
              <w:rPr>
                <w:b/>
                <w:spacing w:val="0"/>
              </w:rPr>
              <w:t>(7)</w:t>
            </w:r>
          </w:p>
        </w:tc>
        <w:tc>
          <w:tcPr>
            <w:tcW w:w="15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Debt Obligations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Debt obligations consisted of the following: </w:t>
      </w:r>
    </w:p>
    <w:p>
      <w:pPr>
        <w:pStyle w:val="TextBody"/>
        <w:bidi w:val="0"/>
        <w:spacing w:before="0" w:after="0"/>
        <w:jc w:val="left"/>
        <w:rPr>
          <w:spacing w:val="0"/>
        </w:rPr>
      </w:pPr>
      <w:r>
        <w:rPr>
          <w:spacing w:val="0"/>
        </w:rPr>
        <w:t> </w:t>
      </w:r>
    </w:p>
    <w:tbl>
      <w:tblPr>
        <w:tblW w:w="6935" w:type="dxa"/>
        <w:jc w:val="left"/>
        <w:tblInd w:w="0" w:type="dxa"/>
        <w:tblLayout w:type="fixed"/>
        <w:tblCellMar>
          <w:top w:w="0" w:type="dxa"/>
          <w:left w:w="0" w:type="dxa"/>
          <w:bottom w:w="0" w:type="dxa"/>
          <w:right w:w="0" w:type="dxa"/>
        </w:tblCellMar>
      </w:tblPr>
      <w:tblGrid>
        <w:gridCol w:w="3095"/>
        <w:gridCol w:w="120"/>
        <w:gridCol w:w="495"/>
        <w:gridCol w:w="920"/>
        <w:gridCol w:w="60"/>
        <w:gridCol w:w="120"/>
        <w:gridCol w:w="291"/>
        <w:gridCol w:w="1664"/>
        <w:gridCol w:w="170"/>
      </w:tblGrid>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June 30,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2025</w:t>
            </w:r>
          </w:p>
        </w:tc>
        <w:tc>
          <w:tcPr>
            <w:tcW w:w="17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Long-term debt</w:t>
            </w:r>
          </w:p>
        </w:tc>
        <w:tc>
          <w:tcPr>
            <w:tcW w:w="12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397,128</w:t>
            </w:r>
          </w:p>
        </w:tc>
        <w:tc>
          <w:tcPr>
            <w:tcW w:w="170"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unamortized issuance costs</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(5,140</w:t>
            </w:r>
          </w:p>
        </w:tc>
        <w:tc>
          <w:tcPr>
            <w:tcW w:w="17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Long-term debt, net</w:t>
            </w:r>
          </w:p>
        </w:tc>
        <w:tc>
          <w:tcPr>
            <w:tcW w:w="12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391,988</w:t>
            </w:r>
          </w:p>
        </w:tc>
        <w:tc>
          <w:tcPr>
            <w:tcW w:w="170"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portion of long-term debt</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w:t>
            </w:r>
          </w:p>
        </w:tc>
        <w:tc>
          <w:tcPr>
            <w:tcW w:w="1664" w:type="dxa"/>
            <w:tcBorders/>
            <w:vAlign w:val="center"/>
          </w:tcPr>
          <w:p>
            <w:pPr>
              <w:pStyle w:val="TableContents"/>
              <w:bidi w:val="0"/>
              <w:spacing w:before="0" w:after="283"/>
              <w:jc w:val="right"/>
              <w:rPr/>
            </w:pPr>
            <w:r>
              <w:rPr/>
              <w:t>4,063</w:t>
            </w:r>
          </w:p>
        </w:tc>
        <w:tc>
          <w:tcPr>
            <w:tcW w:w="17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unamortized issuance costs</w:t>
            </w:r>
          </w:p>
        </w:tc>
        <w:tc>
          <w:tcPr>
            <w:tcW w:w="12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(1,565</w:t>
            </w:r>
          </w:p>
        </w:tc>
        <w:tc>
          <w:tcPr>
            <w:tcW w:w="170"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portion of long-term debt, net</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w:t>
            </w:r>
          </w:p>
        </w:tc>
        <w:tc>
          <w:tcPr>
            <w:tcW w:w="1664" w:type="dxa"/>
            <w:tcBorders/>
            <w:vAlign w:val="center"/>
          </w:tcPr>
          <w:p>
            <w:pPr>
              <w:pStyle w:val="TableContents"/>
              <w:bidi w:val="0"/>
              <w:spacing w:before="0" w:after="283"/>
              <w:jc w:val="right"/>
              <w:rPr/>
            </w:pPr>
            <w:r>
              <w:rPr/>
              <w:t>2,498</w:t>
            </w:r>
          </w:p>
        </w:tc>
        <w:tc>
          <w:tcPr>
            <w:tcW w:w="17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Extinguishment of Term Debt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completion of the IPO and the application of the net proceeds therefrom, we terminated our existing term credit agreement and fully repaid outstanding term debt of approximately $401,100. We recognized a $10,485 loss on the extinguishment of debt relating 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write-off</w:t>
      </w:r>
    </w:p>
    <w:p>
      <w:pPr>
        <w:pStyle w:val="TextBody"/>
        <w:bidi w:val="0"/>
        <w:spacing w:before="120" w:after="0"/>
        <w:jc w:val="left"/>
        <w:rPr>
          <w:rFonts w:ascii="Times New Roman" w:hAnsi="Times New Roman"/>
          <w:sz w:val="20"/>
        </w:rPr>
      </w:pPr>
      <w:r>
        <w:rPr>
          <w:rFonts w:ascii="Times New Roman" w:hAnsi="Times New Roman"/>
          <w:sz w:val="20"/>
        </w:rPr>
        <w:t xml:space="preserve">of unamortized debt issuance costs of $6,419 and prepayment penalty of $4,066.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New Revolving Credit Facility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On February 12, 2026, in connection with the IPO, we terminated our Prior Revolving Facility and entered into our New Revolving Credit Facility with various lenders providing for revolving borrowings in an aggregate principal amount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$200,000.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obligations under the New Revolving Credit Facility are secured by substantially all of the assets of Holdings and its subsidiaries.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The New Revolving Credit Facility matures on February 12, 2031 and is subject to the usual and customary affirmative and negative covenants for facilities and transactions of this type. The New Revolving Credit Facility bears interest at a rate per annum equal to either of the following, plus, in each case, an applicable margin ranging from</w:t>
      </w:r>
    </w:p>
    <w:p>
      <w:pPr>
        <w:pStyle w:val="TextBody"/>
        <w:bidi w:val="0"/>
        <w:spacing w:before="240" w:after="0"/>
        <w:jc w:val="left"/>
        <w:rPr>
          <w:rFonts w:ascii="Times New Roman" w:hAnsi="Times New Roman"/>
          <w:sz w:val="20"/>
        </w:rPr>
      </w:pPr>
      <w:r>
        <w:rPr>
          <w:rFonts w:ascii="Times New Roman" w:hAnsi="Times New Roman"/>
          <w:sz w:val="20"/>
        </w:rPr>
        <w:t xml:space="preserve">0.50% to 1.25%, with respect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w:t>
      </w:r>
    </w:p>
    <w:p>
      <w:pPr>
        <w:pStyle w:val="TextBody"/>
        <w:bidi w:val="0"/>
        <w:spacing w:before="240" w:after="0"/>
        <w:jc w:val="left"/>
        <w:rPr>
          <w:rFonts w:ascii="Times New Roman" w:hAnsi="Times New Roman"/>
          <w:sz w:val="20"/>
        </w:rPr>
      </w:pPr>
      <w:r>
        <w:rPr>
          <w:rFonts w:ascii="Times New Roman" w:hAnsi="Times New Roman"/>
          <w:sz w:val="20"/>
        </w:rPr>
        <w:t xml:space="preserve">base rate borrowings and 1.50% to 2.25% with respect to SOFR borrowings, in each case, based on our total net leverage ratio: (a) the base rate and (b) a benchmark reference rate.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The New Revolving Credit Facility is subject to an annual unused line fee which shall accrue at a rate ranging from</w:t>
      </w:r>
    </w:p>
    <w:p>
      <w:pPr>
        <w:pStyle w:val="TextBody"/>
        <w:bidi w:val="0"/>
        <w:spacing w:before="240" w:after="0"/>
        <w:jc w:val="left"/>
        <w:rPr>
          <w:rFonts w:ascii="Times New Roman" w:hAnsi="Times New Roman"/>
          <w:sz w:val="20"/>
        </w:rPr>
      </w:pPr>
      <w:r>
        <w:rPr>
          <w:rFonts w:ascii="Times New Roman" w:hAnsi="Times New Roman"/>
          <w:sz w:val="20"/>
        </w:rPr>
        <w:t xml:space="preserve">0.20% to 0.35%, </w:t>
      </w:r>
    </w:p>
    <w:p>
      <w:pPr>
        <w:pStyle w:val="TextBody"/>
        <w:bidi w:val="0"/>
        <w:spacing w:before="240" w:after="0"/>
        <w:jc w:val="left"/>
        <w:rPr>
          <w:rFonts w:ascii="Times New Roman" w:hAnsi="Times New Roman"/>
          <w:sz w:val="20"/>
        </w:rPr>
      </w:pPr>
      <w:r>
        <w:rPr>
          <w:rFonts w:ascii="Times New Roman" w:hAnsi="Times New Roman"/>
          <w:sz w:val="20"/>
        </w:rPr>
        <w:t xml:space="preserve">based on the total net leverage ratio. For additional information regarding the terms of the New Revolving Credit Facility including interest rates, maturities, covenants and collateral, refer to Note 8—Debt Obligations in our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June 30, 2026, there were no borrowings outstanding under the New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Revolving Credit Facility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$13,355 of letters of credit were outstanding.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 Prior Revolving Facility was legally terminated and replaced with the New Revolving Credit Facility, and we accounted for the replacement as a modification of a revolving-debt arrangement. The analysis was based on a comparison of borrowing capacity under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Prior Revolving Facility and the New Revolving Credit Facility. Accordingly, the unamortized deferred financing costs of</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$1,598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associated with the Prior Revolving Facility continue to be deferred and are amortized over the term of the New Revolving Credit Facility.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connection with our entry into the New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Revolving Credit Facility</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we incurred approximately $2,919 of lender and third-party fees.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Amortization of debt issuance costs, which is included within interest expense in the condensed consolidated statements of operations, was approximately $224 and $150 for the three months ended June 30, 2026 and 2025, respectively, and $343 and $297 for the six months ended June 30, 2026 and 2025, respectively. </w:t>
      </w:r>
    </w:p>
    <w:p>
      <w:pPr>
        <w:pStyle w:val="TextBody"/>
        <w:bidi w:val="0"/>
        <w:spacing w:before="0" w:after="0"/>
        <w:jc w:val="left"/>
        <w:rPr>
          <w:spacing w:val="0"/>
        </w:rPr>
      </w:pPr>
      <w:r>
        <w:rPr>
          <w:spacing w:val="0"/>
        </w:rPr>
        <w:t> </w:t>
      </w:r>
    </w:p>
    <w:tbl>
      <w:tblPr>
        <w:tblW w:w="4270" w:type="dxa"/>
        <w:jc w:val="left"/>
        <w:tblInd w:w="0" w:type="dxa"/>
        <w:tblLayout w:type="fixed"/>
        <w:tblCellMar>
          <w:top w:w="0" w:type="dxa"/>
          <w:left w:w="0" w:type="dxa"/>
          <w:bottom w:w="0" w:type="dxa"/>
          <w:right w:w="0" w:type="dxa"/>
        </w:tblCellMar>
      </w:tblPr>
      <w:tblGrid>
        <w:gridCol w:w="305"/>
        <w:gridCol w:w="3965"/>
      </w:tblGrid>
      <w:tr>
        <w:trPr/>
        <w:tc>
          <w:tcPr>
            <w:tcW w:w="305" w:type="dxa"/>
            <w:tcBorders/>
            <w:vAlign w:val="center"/>
          </w:tcPr>
          <w:p>
            <w:pPr>
              <w:pStyle w:val="TableContents"/>
              <w:bidi w:val="0"/>
              <w:spacing w:before="0" w:after="0"/>
              <w:jc w:val="left"/>
              <w:rPr>
                <w:b/>
                <w:spacing w:val="0"/>
              </w:rPr>
            </w:pPr>
            <w:r>
              <w:rPr>
                <w:b/>
                <w:spacing w:val="0"/>
              </w:rPr>
              <w:t>(8)</w:t>
            </w:r>
          </w:p>
        </w:tc>
        <w:tc>
          <w:tcPr>
            <w:tcW w:w="39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Income Taxes and Tax Receivable Agreement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are organized as a corporation for income tax purposes and are subject to federal, state and local taxes on our income, which is primarily sourced from our membership interest in Holdings held for any given reporting period. Holdings is a partnership for U.S. federal income tax purposes and, as a result, its members, including us, will pay income taxes with respect to their allocable shares of its taxable income.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Accounting for income taxes for interim periods generally requires the provision for income taxes to be determined by applying an estimate of the annual effective tax rate for the full fiscal year to income or loss before income taxes, excluding unusual or infrequently occurring discrete items, for the reporting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three and six months ended June 30, 2026, our effective tax rates were 8.0% and 20.2%, respectively. The differences between our estimated annual effective income tax rate and the U.S. federal statutory rate were primarily attributable to the exclusion of income and related taxes associated with noncontrolling interests, partially offset by the tax effects of stock-based compensation. These effective tax rates were higher than the tax rates for the three and six months ended June 30, 2025, primarily because, prior to the initial public offering, we were organized as a pass through entity for U.S. federal income tax purposes and generally did not pay income taxes in most jurisdictions.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February 12, 2026, we recorded a net deferred tax asset of $101,302 primarily related to (i) the temporary difference between the book and tax basis of its investment in Holdings of $69,866 (ii) $19,423 of tax benefits from future deductions attributable to payments under the Tax Receivable Agreements, and (iii) $12,005 tax deductions for NOL carryovers as a result of the Blocker Companies merger. </w:t>
      </w:r>
    </w:p>
    <w:p>
      <w:pPr>
        <w:pStyle w:val="TextBody"/>
        <w:bidi w:val="0"/>
        <w:spacing w:before="240" w:after="0"/>
        <w:jc w:val="left"/>
        <w:rPr>
          <w:rFonts w:ascii="Times New Roman" w:hAnsi="Times New Roman"/>
          <w:sz w:val="20"/>
        </w:rPr>
      </w:pPr>
      <w:r>
        <w:rPr>
          <w:rFonts w:ascii="Times New Roman" w:hAnsi="Times New Roman"/>
          <w:sz w:val="20"/>
        </w:rPr>
        <w:t xml:space="preserve">The initial deferred tax asset was recorded as an adjustment to additional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240" w:after="0"/>
        <w:jc w:val="left"/>
        <w:rPr>
          <w:rFonts w:ascii="Times New Roman" w:hAnsi="Times New Roman"/>
          <w:sz w:val="20"/>
        </w:rPr>
      </w:pPr>
      <w:r>
        <w:rPr>
          <w:rFonts w:ascii="Times New Roman" w:hAnsi="Times New Roman"/>
          <w:sz w:val="20"/>
        </w:rPr>
        <w:t xml:space="preserve">capital in the condensed consolidated balance sheets. Additionally, and concurrent with the Transactions, we recorded a liability pursuant to the TRA of $172,344 and a corresponding reduction to additional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240" w:after="0"/>
        <w:jc w:val="left"/>
        <w:rPr>
          <w:rFonts w:ascii="Times New Roman" w:hAnsi="Times New Roman"/>
          <w:sz w:val="20"/>
        </w:rPr>
      </w:pPr>
      <w:r>
        <w:rPr>
          <w:rFonts w:ascii="Times New Roman" w:hAnsi="Times New Roman"/>
          <w:sz w:val="20"/>
        </w:rPr>
        <w:t xml:space="preserve">capital. The net impact to additional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240" w:after="0"/>
        <w:jc w:val="left"/>
        <w:rPr>
          <w:rFonts w:ascii="Times New Roman" w:hAnsi="Times New Roman"/>
          <w:sz w:val="20"/>
        </w:rPr>
      </w:pPr>
      <w:r>
        <w:rPr>
          <w:rFonts w:ascii="Times New Roman" w:hAnsi="Times New Roman"/>
          <w:sz w:val="20"/>
        </w:rPr>
        <w:t xml:space="preserve">capital was a reduction of $71,042 and is presented within our condensed consolidated statements of stockholders’ equity.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connection with the IPO and the Transactions, we entered into the TRA with the Continuing Equity Owners that provides for the payment by us to the Continuing Equity Owners of 85% of the benefits, that we realize, or are deemed to realize, as a result of our allocable share of existing tax basis acquired in the IPO and other tax benefits related to entering into the TRA.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Secondary Offering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June 1, 2026, we completed a secondary offering that involved an exchange of LLC interests for an equal number of shares of Class A common stock. We recognized an additional liability for obligations under the TRA of $70,751 and a deferred tax asset of $75,250, the net effect of which was recorded as an adjustment to stockholders’ equity.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21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tbl>
      <w:tblPr>
        <w:tblW w:w="2680" w:type="dxa"/>
        <w:jc w:val="left"/>
        <w:tblInd w:w="0" w:type="dxa"/>
        <w:tblLayout w:type="fixed"/>
        <w:tblCellMar>
          <w:top w:w="0" w:type="dxa"/>
          <w:left w:w="0" w:type="dxa"/>
          <w:bottom w:w="0" w:type="dxa"/>
          <w:right w:w="0" w:type="dxa"/>
        </w:tblCellMar>
      </w:tblPr>
      <w:tblGrid>
        <w:gridCol w:w="305"/>
        <w:gridCol w:w="2375"/>
      </w:tblGrid>
      <w:tr>
        <w:trPr/>
        <w:tc>
          <w:tcPr>
            <w:tcW w:w="305" w:type="dxa"/>
            <w:tcBorders/>
            <w:vAlign w:val="center"/>
          </w:tcPr>
          <w:p>
            <w:pPr>
              <w:pStyle w:val="TableContents"/>
              <w:bidi w:val="0"/>
              <w:spacing w:before="0" w:after="0"/>
              <w:jc w:val="left"/>
              <w:rPr>
                <w:b/>
                <w:spacing w:val="0"/>
              </w:rPr>
            </w:pPr>
            <w:r>
              <w:rPr>
                <w:b/>
                <w:spacing w:val="0"/>
              </w:rPr>
              <w:t>(9)</w:t>
            </w:r>
          </w:p>
        </w:tc>
        <w:tc>
          <w:tcPr>
            <w:tcW w:w="23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Stock-Based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stockholders approved the 2026 Equity Incentive Plan (the “2026 Plan”), which became effective on February 12, 2026. The 2026 Plan is administered by our board of directors or a committee thereof and provides for customary limitations, including an annual compensation limit applicable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2026 Plan provides for the issuance of up to 7,500,000 shares of Class A common stock for equity-based awards, including stock options, stock appreciation rights, restricted stock, restricted stock units and other stock-based awards, and includes an annual automatic increase in the share reserve equal to 3% of the total number of shares of Class A common stock outstanding as of the end of the immediately preceding fiscal year, beginning on January 1 following the IPO and continuing through the ninth anniversary of the effective date of the 2026 Plan, unless our board of directors determines a lesser increase for any such year. As of June 30, 2026, 4,157,754 shares of Class A common stock are available for future grant under the 2026 Plan.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Stock Awards (“RSA”)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on February 12, 2026, we awarded an aggregate of 261,000 shares of restricted stock to certain of our executives and employees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directors under the 2026 Plan with an aggregate grant date fair value of $6,525. The RSAs were awarded to all employees with at least one year of service at the time of the IPO. The RSAs cliff vest on the third anniversary of the completion of the IPO, subject to continued employment on such date. Additionally, vesting is subject to certain change in control and termination provisions as provided in the award agreements. No RSAs have been awarded since the IPO. During the three and six months ended June 30, 2026, 10,400 and 14,000 RSAs were forfeited,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all the RSAs that are outstanding remain unvested. The grant date fair value of each RSA of $25.00 per share was based on the fair value of a share of Class A common stock at the time of the IPO. Our total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compensation expense for RSAs was approximately $521 and $797 for the three and six months ended June 30, 2026, respectively, and is included in “Cost of revenue” and “Selling, general and administrative expenses” in the condensed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expect to recognize the unamortized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RSA-related</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compensation expense of approximately $5,378 as of June 30, 2026 over a weighted-average period of approximately 2.6 years.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Stock Units (“RSU”)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During the three months ended June 30, 2026, we awarded an aggregate of 45,814 RSUs to certain employees under the 2026 Plan with an aggregate grant date fair value of $1,937. Twenty-five percent (25%) of the RSUs vest on each of the first four anniversaries of the grant date, subject to continued employment on such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date. All unvested units are forfeited upon termination of employment. Unvested units vest immediately if the holder is terminated without cause within 24 months following a change in control.</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z w:val="20"/>
        </w:rPr>
      </w:pPr>
      <w:r>
        <w:rPr>
          <w:rFonts w:ascii="Times New Roman" w:hAnsi="Times New Roman"/>
          <w:sz w:val="20"/>
        </w:rPr>
        <w:t>No</w:t>
      </w:r>
    </w:p>
    <w:p>
      <w:pPr>
        <w:pStyle w:val="TextBody"/>
        <w:bidi w:val="0"/>
        <w:spacing w:before="120" w:after="0"/>
        <w:jc w:val="left"/>
        <w:rPr>
          <w:rFonts w:ascii="Times New Roman" w:hAnsi="Times New Roman"/>
          <w:spacing w:val="0"/>
          <w:sz w:val="20"/>
        </w:rPr>
      </w:pPr>
      <w:r>
        <w:rPr>
          <w:rFonts w:ascii="Times New Roman" w:hAnsi="Times New Roman"/>
          <w:spacing w:val="0"/>
          <w:sz w:val="20"/>
        </w:rPr>
        <w:t>RSUs were forfeited during the three months ended June 30, 2026.</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all of the awarded RSUs remain outstanding and unvested. The $42.27 per share fair value of each RSU was based on the fair value of a share of Class A common stock on the grant date. The total compensation expense for RSUs was approximately $72 for the three and six months ended June 30, 2026, and is included in “Cost of revenue” and “Selling, general and administrative expenses” in the condensed consolidated statements of operations. We expect to recognize the unamortized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RSU-related</w:t>
      </w:r>
    </w:p>
    <w:p>
      <w:pPr>
        <w:pStyle w:val="TextBody"/>
        <w:bidi w:val="0"/>
        <w:spacing w:before="240" w:after="0"/>
        <w:jc w:val="left"/>
        <w:rPr>
          <w:rFonts w:ascii="Times New Roman" w:hAnsi="Times New Roman"/>
          <w:sz w:val="20"/>
        </w:rPr>
      </w:pPr>
      <w:r>
        <w:rPr>
          <w:rFonts w:ascii="Times New Roman" w:hAnsi="Times New Roman"/>
          <w:sz w:val="20"/>
        </w:rPr>
        <w:t xml:space="preserve">compensation expense of approximately $1,865 as of June 30, 2026 over a weighted-average period of approximately 3.9 years.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connection with the IPO on February 12, 2026, we awarded an aggregate of 3,077,446 stock options exercisable for shares of Class A common stock with an exercise price per share of $25.00 based on the fair value at the time of the IPO. These option awards were made under the 2026 Plan in connection with the conversion of legacy Class C profits interests of Holdings into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22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LLC Units effected at the IPO, as described in our prospectus dated February 11, 2026. The options will vest in three equal annual installments over the three-year period following the IPO, subject to continued employment through the vesting date. Unvested options are generally forfeited upon termination of employment, and all options, whether vested or unvested, are forfeited if employment is terminated for cause. Unvested options vest immediately if the holder is terminated without cause within 24 months following a change in control. Options expire ten years from the grant date unless forfeited or terminated earlier under the terms of the award agreement or the 2026 Plan.</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During the three months ended June 30, 2026, an additional 25,000 stock options were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granted. During the three and six months ended June 30, 2026,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48,106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and 53,014 stock options were forfeited,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all of the outstanding stock options remain unvested. Total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compensation expense for the outstanding stock options was approximately $2,935 and $4,518 for the three and six months ended June 30, 2026, respectively, and is included in “Cost of revenue” and “Selling, general and administrative expenses” in the condensed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expect to recognize the unamortized stock option-related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compensation expense of approximately $31,217 as of June 30, 2026 over a weighted-average period of approximately 2.6 years.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estimate the fair value of stock options on the date of grant using the Black-Scholes option pricing model. The Black-Scholes option-pricing model requires estimates of highly subjective assumptions, which greatly affect the fair value of each stock option. The weighted-average assumptions used to estimate the fair value of stock options granted during the six months ended June 30, 2026 were as follows: </w:t>
      </w:r>
    </w:p>
    <w:p>
      <w:pPr>
        <w:pStyle w:val="TextBody"/>
        <w:bidi w:val="0"/>
        <w:spacing w:before="0" w:after="0"/>
        <w:jc w:val="left"/>
        <w:rPr>
          <w:spacing w:val="0"/>
        </w:rPr>
      </w:pPr>
      <w:r>
        <w:rPr>
          <w:spacing w:val="0"/>
        </w:rPr>
        <w:t> </w:t>
      </w:r>
    </w:p>
    <w:tbl>
      <w:tblPr>
        <w:tblW w:w="5695" w:type="dxa"/>
        <w:jc w:val="left"/>
        <w:tblInd w:w="0" w:type="dxa"/>
        <w:tblLayout w:type="fixed"/>
        <w:tblCellMar>
          <w:top w:w="0" w:type="dxa"/>
          <w:left w:w="0" w:type="dxa"/>
          <w:bottom w:w="0" w:type="dxa"/>
          <w:right w:w="0" w:type="dxa"/>
        </w:tblCellMar>
      </w:tblPr>
      <w:tblGrid>
        <w:gridCol w:w="2120"/>
        <w:gridCol w:w="120"/>
        <w:gridCol w:w="3455"/>
      </w:tblGrid>
      <w:tr>
        <w:trPr/>
        <w:tc>
          <w:tcPr>
            <w:tcW w:w="2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center"/>
              <w:rPr>
                <w:b/>
                <w:spacing w:val="0"/>
              </w:rPr>
            </w:pPr>
            <w:r>
              <w:rPr>
                <w:b/>
                <w:spacing w:val="0"/>
              </w:rPr>
              <w:t>Six Months Ending June 30, 2026</w:t>
            </w:r>
          </w:p>
        </w:tc>
      </w:tr>
      <w:tr>
        <w:trPr/>
        <w:tc>
          <w:tcPr>
            <w:tcW w:w="21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of stock option</w:t>
            </w:r>
          </w:p>
        </w:tc>
        <w:tc>
          <w:tcPr>
            <w:tcW w:w="120" w:type="dxa"/>
            <w:tcBorders/>
            <w:shd w:fill="CCEEFF" w:val="clear"/>
            <w:vAlign w:val="center"/>
          </w:tcPr>
          <w:p>
            <w:pPr>
              <w:pStyle w:val="TableContents"/>
              <w:bidi w:val="0"/>
              <w:spacing w:before="0" w:after="283"/>
              <w:jc w:val="left"/>
              <w:rPr/>
            </w:pPr>
            <w:r>
              <w:rPr/>
              <w:t>  </w:t>
            </w:r>
          </w:p>
        </w:tc>
        <w:tc>
          <w:tcPr>
            <w:tcW w:w="3455" w:type="dxa"/>
            <w:tcBorders/>
            <w:shd w:fill="CCEEFF" w:val="clear"/>
            <w:vAlign w:val="center"/>
          </w:tcPr>
          <w:p>
            <w:pPr>
              <w:pStyle w:val="TableContents"/>
              <w:bidi w:val="0"/>
              <w:spacing w:before="0" w:after="0"/>
              <w:jc w:val="center"/>
              <w:rPr>
                <w:spacing w:val="0"/>
              </w:rPr>
            </w:pPr>
            <w:r>
              <w:rPr>
                <w:spacing w:val="0"/>
              </w:rPr>
              <w:t>$11.71 - $13.20</w:t>
            </w:r>
          </w:p>
        </w:tc>
      </w:tr>
      <w:tr>
        <w:trPr/>
        <w:tc>
          <w:tcPr>
            <w:tcW w:w="21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center"/>
              <w:rPr/>
            </w:pPr>
            <w:r>
              <w:rPr/>
              <w:t>3.73% - 4.02%</w:t>
            </w:r>
          </w:p>
        </w:tc>
      </w:tr>
      <w:tr>
        <w:trPr/>
        <w:tc>
          <w:tcPr>
            <w:tcW w:w="21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life (years)</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3455" w:type="dxa"/>
            <w:tcBorders/>
            <w:shd w:fill="CCEEFF" w:val="clear"/>
            <w:vAlign w:val="center"/>
          </w:tcPr>
          <w:p>
            <w:pPr>
              <w:pStyle w:val="TableContents"/>
              <w:bidi w:val="0"/>
              <w:spacing w:before="0" w:after="283"/>
              <w:jc w:val="center"/>
              <w:rPr/>
            </w:pPr>
            <w:r>
              <w:rPr/>
              <w:t>6.0</w:t>
            </w:r>
          </w:p>
        </w:tc>
      </w:tr>
      <w:tr>
        <w:trPr/>
        <w:tc>
          <w:tcPr>
            <w:tcW w:w="21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dividend yield</w:t>
            </w:r>
          </w:p>
        </w:tc>
        <w:tc>
          <w:tcPr>
            <w:tcW w:w="12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center"/>
              <w:rPr/>
            </w:pPr>
            <w:r>
              <w:rPr/>
              <w:t>— </w:t>
            </w:r>
          </w:p>
        </w:tc>
      </w:tr>
      <w:tr>
        <w:trPr/>
        <w:tc>
          <w:tcPr>
            <w:tcW w:w="21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Volatility</w:t>
            </w:r>
          </w:p>
        </w:tc>
        <w:tc>
          <w:tcPr>
            <w:tcW w:w="120" w:type="dxa"/>
            <w:tcBorders/>
            <w:shd w:fill="CCEEFF" w:val="clear"/>
            <w:vAlign w:val="center"/>
          </w:tcPr>
          <w:p>
            <w:pPr>
              <w:pStyle w:val="TableContents"/>
              <w:bidi w:val="0"/>
              <w:spacing w:before="0" w:after="283"/>
              <w:jc w:val="left"/>
              <w:rPr/>
            </w:pPr>
            <w:r>
              <w:rPr/>
              <w:t>  </w:t>
            </w:r>
          </w:p>
        </w:tc>
        <w:tc>
          <w:tcPr>
            <w:tcW w:w="3455" w:type="dxa"/>
            <w:tcBorders/>
            <w:shd w:fill="CCEEFF" w:val="clear"/>
            <w:vAlign w:val="center"/>
          </w:tcPr>
          <w:p>
            <w:pPr>
              <w:pStyle w:val="TableContents"/>
              <w:bidi w:val="0"/>
              <w:spacing w:before="0" w:after="283"/>
              <w:jc w:val="center"/>
              <w:rPr/>
            </w:pPr>
            <w:r>
              <w:rPr/>
              <w:t>39% - 43%</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sz w:val="12"/>
              </w:rPr>
            </w:pPr>
            <w:r>
              <w:rPr>
                <w:sz w:val="12"/>
              </w:rPr>
              <w:t>(1)</w:t>
            </w:r>
          </w:p>
        </w:tc>
        <w:tc>
          <w:tcPr>
            <w:tcW w:w="100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Expected life (years): The expected life was estimated using the simplified method due to a lack of historical exercise activity. The simplified method calculates the expected life as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mid-point</w:t>
            </w:r>
          </w:p>
          <w:p>
            <w:pPr>
              <w:pStyle w:val="TableContents"/>
              <w:bidi w:val="0"/>
              <w:spacing w:before="0" w:after="0"/>
              <w:jc w:val="left"/>
              <w:rPr>
                <w:rFonts w:ascii="Times New Roman" w:hAnsi="Times New Roman"/>
                <w:sz w:val="20"/>
              </w:rPr>
            </w:pPr>
            <w:r>
              <w:rPr>
                <w:rFonts w:ascii="Times New Roman" w:hAnsi="Times New Roman"/>
                <w:sz w:val="20"/>
              </w:rPr>
              <w:t xml:space="preserve">between the vesting date and the contractual expiration date of the award.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Unit Appreciation (“RUA”)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At the completion of the IPO, all of the RUA awards had vested and the outstanding RUA awards will be settled in cash on or within 60 days following December 23, 2026, based on the fair market value of the Class A common stock on December 23, 2026. The aggregate cash amount that is payable to settle the outstanding RUA awards as of June 30, 2026 is approximately $44,747. The change in fair value was recognized in “Cost of revenue” and “Selling, general and administrative expenses” in the condensed consolidated statements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Class C Unit Conversion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Reorganization Transactions entered into in connection with the IPO consequently ended the Restricted Class C unit and Additional Class C unit plans and caused all outstanding units to be converted into a number of LLC Interests (which may be held indirectly through SOLV Energy Management Holdings LP) with a time-based vesting condition. Prior to the IPO, the Restricted Class C units were granted to employees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with time, performance and multiple on invested capital (“MOIC”) vesting conditions.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23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In connection with the IPO, vested Restricted Class C units and Additional Class C units were converted into vested LLC Interests (which may be held indirectly through SOLV Energy Management Holdings LP). The unvested Restricted Class C that were time-vesting units and unvested Additional Class C units converted into unvested LLC Interests with the same time vesting schedule. The unvested Restricted Class C units that were performance and MOIC vesting units were converted into LLC Interests and are treated as if they were time-vesting units at the time of grant, such that a portion of such LLC Interests are vested and a portion are unvested subject to the remaining time vesting schedule that applies to the time-vesting units. For each LLC Interest outstanding, there is a corresponding share of our Class B common stock tied to it. The shares of Class B common stock have voting rights, but no economic rights.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We determined that the exchange of the Restricted Class C time and performance vesting units and the Additional Class C units for LLC Interests (which may be held indirectly through SOLV Energy Management Holdings LP) and Class B common stock tied to such LLC Interests) is a Type I modification pursuant to ASC 718,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Compensation – Stock Compensation (“ASC 718”)</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because the units prior to and after the exchange are expected to vest. We recorded </w:t>
      </w:r>
    </w:p>
    <w:p>
      <w:pPr>
        <w:pStyle w:val="TextBody"/>
        <w:bidi w:val="0"/>
        <w:spacing w:before="240" w:after="0"/>
        <w:jc w:val="left"/>
        <w:rPr>
          <w:rFonts w:ascii="Times New Roman" w:hAnsi="Times New Roman"/>
          <w:sz w:val="20"/>
        </w:rPr>
      </w:pPr>
      <w:r>
        <w:rPr>
          <w:rFonts w:ascii="Times New Roman" w:hAnsi="Times New Roman"/>
          <w:sz w:val="20"/>
        </w:rPr>
        <w:t xml:space="preserve">$1,754 and $3,307 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compensation expense associated with the Restricted Class C time vesting units, performance vesting units and the Additional Class C units for the three and six months ended June 30, 2026 in the condensed consolidated statements of operations. As of June 30, 2026, there was $10,693, $1,462 and $1,691 of unrecognized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compensation expense expected to be recognized through 2029, respectively for these units.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We determined that the exchange of the Restricted Class C MOIC-vested units for LLC Interests (which may be held indirectly through SOLV Energy Management Holdings LP) and Class B common stock is a Type III modification pursuant to ASC 718 because the MOIC-vested units vesting condition was deemed improbable and is now considered probable. As a result of the exchange, we recognized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incremental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compensation expense of approximately </w:t>
      </w:r>
    </w:p>
    <w:p>
      <w:pPr>
        <w:pStyle w:val="TextBody"/>
        <w:bidi w:val="0"/>
        <w:spacing w:before="240" w:after="0"/>
        <w:jc w:val="left"/>
        <w:rPr>
          <w:rFonts w:ascii="Times New Roman" w:hAnsi="Times New Roman"/>
          <w:sz w:val="20"/>
        </w:rPr>
      </w:pPr>
      <w:r>
        <w:rPr>
          <w:rFonts w:ascii="Times New Roman" w:hAnsi="Times New Roman"/>
          <w:sz w:val="20"/>
        </w:rPr>
        <w:t xml:space="preserve">$52,270 for the applicable vested LLC Interests in the condensed consolidated statement of operations for the six months ended June 30, 2026. We recorded $4,112 and $6,688 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compensation expense associated with these MOIC-vested units for the three and six months ended June 30, 2026, respectively, and is included in Cost of revenue and Selling, general and administrative expenses in the condensed consolidated statements of operations. As of June 30, 2026, there was $11,089 of unrecognized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compensation expense expected to be recognized through 2029. </w:t>
      </w:r>
    </w:p>
    <w:p>
      <w:pPr>
        <w:pStyle w:val="TextBody"/>
        <w:bidi w:val="0"/>
        <w:spacing w:before="0" w:after="0"/>
        <w:jc w:val="left"/>
        <w:rPr>
          <w:spacing w:val="0"/>
        </w:rPr>
      </w:pPr>
      <w:r>
        <w:rPr>
          <w:spacing w:val="0"/>
        </w:rPr>
        <w:t> </w:t>
      </w:r>
    </w:p>
    <w:tbl>
      <w:tblPr>
        <w:tblW w:w="3190" w:type="dxa"/>
        <w:jc w:val="left"/>
        <w:tblInd w:w="0" w:type="dxa"/>
        <w:tblLayout w:type="fixed"/>
        <w:tblCellMar>
          <w:top w:w="0" w:type="dxa"/>
          <w:left w:w="0" w:type="dxa"/>
          <w:bottom w:w="0" w:type="dxa"/>
          <w:right w:w="0" w:type="dxa"/>
        </w:tblCellMar>
      </w:tblPr>
      <w:tblGrid>
        <w:gridCol w:w="425"/>
        <w:gridCol w:w="2765"/>
      </w:tblGrid>
      <w:tr>
        <w:trPr/>
        <w:tc>
          <w:tcPr>
            <w:tcW w:w="425" w:type="dxa"/>
            <w:tcBorders/>
            <w:vAlign w:val="center"/>
          </w:tcPr>
          <w:p>
            <w:pPr>
              <w:pStyle w:val="TableContents"/>
              <w:bidi w:val="0"/>
              <w:spacing w:before="0" w:after="0"/>
              <w:jc w:val="left"/>
              <w:rPr>
                <w:b/>
                <w:spacing w:val="0"/>
              </w:rPr>
            </w:pPr>
            <w:r>
              <w:rPr>
                <w:b/>
                <w:spacing w:val="0"/>
              </w:rPr>
              <w:t>(10)</w:t>
            </w:r>
          </w:p>
        </w:tc>
        <w:tc>
          <w:tcPr>
            <w:tcW w:w="27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Stockholders’/Members’ Equity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following table summarizes the capitalization and voting rights of our classes of stock as of June 30, 2026: </w:t>
      </w:r>
    </w:p>
    <w:p>
      <w:pPr>
        <w:pStyle w:val="TextBody"/>
        <w:bidi w:val="0"/>
        <w:spacing w:before="0" w:after="0"/>
        <w:ind w:left="0" w:right="0" w:hanging="0"/>
        <w:jc w:val="left"/>
        <w:rPr>
          <w:spacing w:val="0"/>
        </w:rPr>
      </w:pPr>
      <w:r>
        <w:rPr>
          <w:spacing w:val="0"/>
        </w:rPr>
        <w:t> </w:t>
      </w:r>
    </w:p>
    <w:tbl>
      <w:tblPr>
        <w:tblW w:w="8988" w:type="dxa"/>
        <w:jc w:val="left"/>
        <w:tblInd w:w="0" w:type="dxa"/>
        <w:tblLayout w:type="fixed"/>
        <w:tblCellMar>
          <w:top w:w="0" w:type="dxa"/>
          <w:left w:w="0" w:type="dxa"/>
          <w:bottom w:w="0" w:type="dxa"/>
          <w:right w:w="0" w:type="dxa"/>
        </w:tblCellMar>
      </w:tblPr>
      <w:tblGrid>
        <w:gridCol w:w="1355"/>
        <w:gridCol w:w="120"/>
        <w:gridCol w:w="60"/>
        <w:gridCol w:w="60"/>
        <w:gridCol w:w="1400"/>
        <w:gridCol w:w="23"/>
        <w:gridCol w:w="120"/>
        <w:gridCol w:w="96"/>
        <w:gridCol w:w="96"/>
        <w:gridCol w:w="1952"/>
        <w:gridCol w:w="96"/>
        <w:gridCol w:w="120"/>
        <w:gridCol w:w="219"/>
        <w:gridCol w:w="219"/>
        <w:gridCol w:w="951"/>
        <w:gridCol w:w="221"/>
        <w:gridCol w:w="120"/>
        <w:gridCol w:w="178"/>
        <w:gridCol w:w="178"/>
        <w:gridCol w:w="1178"/>
        <w:gridCol w:w="226"/>
      </w:tblGrid>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43"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Authorized</w:t>
            </w:r>
          </w:p>
        </w:tc>
        <w:tc>
          <w:tcPr>
            <w:tcW w:w="120" w:type="dxa"/>
            <w:tcBorders/>
            <w:vAlign w:val="center"/>
          </w:tcPr>
          <w:p>
            <w:pPr>
              <w:pStyle w:val="TableContents"/>
              <w:bidi w:val="0"/>
              <w:spacing w:before="0" w:after="0"/>
              <w:jc w:val="left"/>
              <w:rPr>
                <w:spacing w:val="0"/>
              </w:rPr>
            </w:pPr>
            <w:r>
              <w:rPr>
                <w:spacing w:val="0"/>
              </w:rPr>
              <w:t>  </w:t>
            </w:r>
          </w:p>
        </w:tc>
        <w:tc>
          <w:tcPr>
            <w:tcW w:w="2240"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Issued &amp; Outstanding</w:t>
            </w:r>
          </w:p>
        </w:tc>
        <w:tc>
          <w:tcPr>
            <w:tcW w:w="120" w:type="dxa"/>
            <w:tcBorders/>
            <w:vAlign w:val="center"/>
          </w:tcPr>
          <w:p>
            <w:pPr>
              <w:pStyle w:val="TableContents"/>
              <w:bidi w:val="0"/>
              <w:spacing w:before="0" w:after="0"/>
              <w:jc w:val="left"/>
              <w:rPr>
                <w:spacing w:val="0"/>
              </w:rPr>
            </w:pPr>
            <w:r>
              <w:rPr>
                <w:spacing w:val="0"/>
              </w:rPr>
              <w:t>  </w:t>
            </w:r>
          </w:p>
        </w:tc>
        <w:tc>
          <w:tcPr>
            <w:tcW w:w="1610"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Votes per share</w:t>
            </w:r>
          </w:p>
        </w:tc>
        <w:tc>
          <w:tcPr>
            <w:tcW w:w="120" w:type="dxa"/>
            <w:tcBorders/>
            <w:vAlign w:val="center"/>
          </w:tcPr>
          <w:p>
            <w:pPr>
              <w:pStyle w:val="TableContents"/>
              <w:bidi w:val="0"/>
              <w:spacing w:before="0" w:after="0"/>
              <w:jc w:val="left"/>
              <w:rPr>
                <w:spacing w:val="0"/>
              </w:rPr>
            </w:pPr>
            <w:r>
              <w:rPr>
                <w:spacing w:val="0"/>
              </w:rPr>
              <w:t>  </w:t>
            </w:r>
          </w:p>
        </w:tc>
        <w:tc>
          <w:tcPr>
            <w:tcW w:w="1760"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Economic Rights</w:t>
            </w:r>
          </w:p>
        </w:tc>
      </w:tr>
      <w:tr>
        <w:trPr/>
        <w:tc>
          <w:tcPr>
            <w:tcW w:w="13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20,000,000</w:t>
            </w:r>
          </w:p>
        </w:tc>
        <w:tc>
          <w:tcPr>
            <w:tcW w:w="23"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0"/>
              <w:jc w:val="left"/>
              <w:rPr/>
            </w:pPr>
            <w:r>
              <w:rPr/>
              <w:t> </w:t>
            </w:r>
          </w:p>
        </w:tc>
        <w:tc>
          <w:tcPr>
            <w:tcW w:w="96" w:type="dxa"/>
            <w:tcBorders/>
            <w:shd w:fill="CCEEFF" w:val="clear"/>
            <w:vAlign w:val="center"/>
          </w:tcPr>
          <w:p>
            <w:pPr>
              <w:pStyle w:val="TableContents"/>
              <w:bidi w:val="0"/>
              <w:spacing w:before="0" w:after="283"/>
              <w:jc w:val="left"/>
              <w:rPr/>
            </w:pPr>
            <w:r>
              <w:rPr/>
              <w:t> </w:t>
            </w:r>
          </w:p>
        </w:tc>
        <w:tc>
          <w:tcPr>
            <w:tcW w:w="1952" w:type="dxa"/>
            <w:tcBorders/>
            <w:shd w:fill="CCEEFF" w:val="clear"/>
            <w:vAlign w:val="center"/>
          </w:tcPr>
          <w:p>
            <w:pPr>
              <w:pStyle w:val="TableContents"/>
              <w:bidi w:val="0"/>
              <w:spacing w:before="0" w:after="283"/>
              <w:jc w:val="right"/>
              <w:rPr/>
            </w:pPr>
            <w:r>
              <w:rPr/>
              <w:t>None</w:t>
            </w:r>
          </w:p>
        </w:tc>
        <w:tc>
          <w:tcPr>
            <w:tcW w:w="96"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0"/>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N/A</w:t>
            </w:r>
          </w:p>
        </w:tc>
        <w:tc>
          <w:tcPr>
            <w:tcW w:w="22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0"/>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N/A</w:t>
            </w:r>
          </w:p>
        </w:tc>
        <w:tc>
          <w:tcPr>
            <w:tcW w:w="226"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3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Class 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1,250,000,000</w:t>
            </w:r>
          </w:p>
        </w:tc>
        <w:tc>
          <w:tcPr>
            <w:tcW w:w="23"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0"/>
              <w:jc w:val="left"/>
              <w:rPr/>
            </w:pPr>
            <w:r>
              <w:rPr/>
              <w:t> </w:t>
            </w:r>
          </w:p>
        </w:tc>
        <w:tc>
          <w:tcPr>
            <w:tcW w:w="96" w:type="dxa"/>
            <w:tcBorders/>
            <w:shd w:fill="CCEEFF" w:val="clear"/>
            <w:vAlign w:val="center"/>
          </w:tcPr>
          <w:p>
            <w:pPr>
              <w:pStyle w:val="TableContents"/>
              <w:bidi w:val="0"/>
              <w:spacing w:before="0" w:after="283"/>
              <w:jc w:val="left"/>
              <w:rPr/>
            </w:pPr>
            <w:r>
              <w:rPr/>
              <w:t> </w:t>
            </w:r>
          </w:p>
        </w:tc>
        <w:tc>
          <w:tcPr>
            <w:tcW w:w="1952" w:type="dxa"/>
            <w:tcBorders/>
            <w:shd w:fill="CCEEFF" w:val="clear"/>
            <w:vAlign w:val="center"/>
          </w:tcPr>
          <w:p>
            <w:pPr>
              <w:pStyle w:val="TableContents"/>
              <w:bidi w:val="0"/>
              <w:spacing w:before="0" w:after="283"/>
              <w:jc w:val="right"/>
              <w:rPr/>
            </w:pPr>
            <w:r>
              <w:rPr/>
              <w:t>123,745,401</w:t>
            </w:r>
          </w:p>
        </w:tc>
        <w:tc>
          <w:tcPr>
            <w:tcW w:w="96"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0"/>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w:t>
            </w:r>
          </w:p>
        </w:tc>
        <w:tc>
          <w:tcPr>
            <w:tcW w:w="22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0"/>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Yes</w:t>
            </w:r>
          </w:p>
        </w:tc>
        <w:tc>
          <w:tcPr>
            <w:tcW w:w="226"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Class 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100,000,000</w:t>
            </w:r>
          </w:p>
        </w:tc>
        <w:tc>
          <w:tcPr>
            <w:tcW w:w="23"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52" w:type="dxa"/>
            <w:tcBorders/>
            <w:vAlign w:val="center"/>
          </w:tcPr>
          <w:p>
            <w:pPr>
              <w:pStyle w:val="TableContents"/>
              <w:bidi w:val="0"/>
              <w:spacing w:before="0" w:after="283"/>
              <w:jc w:val="right"/>
              <w:rPr/>
            </w:pPr>
            <w:r>
              <w:rPr/>
              <w:t>78,646,225</w:t>
            </w:r>
          </w:p>
        </w:tc>
        <w:tc>
          <w:tcPr>
            <w:tcW w:w="9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1</w:t>
            </w:r>
          </w:p>
        </w:tc>
        <w:tc>
          <w:tcPr>
            <w:tcW w:w="2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No</w:t>
            </w:r>
          </w:p>
        </w:tc>
        <w:tc>
          <w:tcPr>
            <w:tcW w:w="226"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Our board of directors is authorized to direct us to issue shares of preferred stock in one or more series and the discretion to determine the rights, preferences, privileges and restrictions, including voting rights, dividend rights, conversion rights, redemption privileges and liquidation preferences, of each series of preferred stock. Through June 30, 2026, no series of preferred stock have been issued.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Holders of shares of our Class A common stock are entitled to receive dividends when and if declared by our board of directors out of funds legally available therefore, subject to any statutory or contractual restrictions on the payment of dividends and to any restrictions on the payment of dividends imposed by the terms of any outstanding preferred stock. Upon our dissolution or liquidation,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 Holders of shares of our Class A common stock do not have preemptive, subscription, redemption or conversion rights. There will be no redemption or sinking fund provisions applicable to the Class A common stock.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24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Holders of our Class B common stock do not have any right to receive dividends or to receive a distribution upon dissolution or liquidation. Additionally, holders of shares of our Class B common stock do not have preemptive, subscription, redemption or conversion rights. There will be no redemption or sinking fund provisions applicable to the Class B common stock. Any amendment of our amended and restated certificate of incorporation that gives holders of our Class B common stock (i) any rights to receive dividends or any other kind of distribution, (ii) any right to convert into or be exchanged for Class A common stock or (iii) any other economic rights will require, in addition to stockholder approval, the affirmative vote of holders of our Class A common stock voting separately as a class. We must, at all times, maintain (i) a </w:t>
      </w:r>
    </w:p>
    <w:p>
      <w:pPr>
        <w:pStyle w:val="TextBody"/>
        <w:bidi w:val="0"/>
        <w:spacing w:before="0" w:after="0"/>
        <w:jc w:val="left"/>
        <w:rPr>
          <w:rFonts w:ascii="Times New Roman" w:hAnsi="Times New Roman"/>
          <w:spacing w:val="0"/>
          <w:sz w:val="20"/>
        </w:rPr>
      </w:pPr>
      <w:r>
        <w:rPr>
          <w:rFonts w:ascii="Times New Roman" w:hAnsi="Times New Roman"/>
          <w:spacing w:val="0"/>
          <w:sz w:val="20"/>
        </w:rPr>
        <w:t>one-to-one</w:t>
      </w:r>
    </w:p>
    <w:p>
      <w:pPr>
        <w:pStyle w:val="TextBody"/>
        <w:bidi w:val="0"/>
        <w:spacing w:before="0" w:after="0"/>
        <w:jc w:val="left"/>
        <w:rPr>
          <w:rFonts w:ascii="Times New Roman" w:hAnsi="Times New Roman"/>
          <w:sz w:val="20"/>
        </w:rPr>
      </w:pPr>
      <w:r>
        <w:rPr>
          <w:rFonts w:ascii="Times New Roman" w:hAnsi="Times New Roman"/>
          <w:sz w:val="20"/>
        </w:rPr>
        <w:t xml:space="preserve">ratio between the number of shares of Class A common stock issued by us and the number of LLC Interests owned by us, and (ii) maintain a </w:t>
      </w:r>
    </w:p>
    <w:p>
      <w:pPr>
        <w:pStyle w:val="TextBody"/>
        <w:bidi w:val="0"/>
        <w:spacing w:before="0" w:after="0"/>
        <w:jc w:val="left"/>
        <w:rPr>
          <w:rFonts w:ascii="Times New Roman" w:hAnsi="Times New Roman"/>
          <w:spacing w:val="0"/>
          <w:sz w:val="20"/>
        </w:rPr>
      </w:pPr>
      <w:r>
        <w:rPr>
          <w:rFonts w:ascii="Times New Roman" w:hAnsi="Times New Roman"/>
          <w:spacing w:val="0"/>
          <w:sz w:val="20"/>
        </w:rPr>
        <w:t>one-to-one</w:t>
      </w:r>
    </w:p>
    <w:p>
      <w:pPr>
        <w:pStyle w:val="TextBody"/>
        <w:bidi w:val="0"/>
        <w:spacing w:before="0" w:after="0"/>
        <w:jc w:val="left"/>
        <w:rPr>
          <w:rFonts w:ascii="Times New Roman" w:hAnsi="Times New Roman"/>
          <w:sz w:val="20"/>
        </w:rPr>
      </w:pPr>
      <w:r>
        <w:rPr>
          <w:rFonts w:ascii="Times New Roman" w:hAnsi="Times New Roman"/>
          <w:sz w:val="20"/>
        </w:rPr>
        <w:t xml:space="preserve">ratio between the number of shares of Class B common stock owned by the Continuing Equity Owners and the number of LLC Interests owned by the Continuing Equity Owners. </w:t>
      </w:r>
    </w:p>
    <w:p>
      <w:pPr>
        <w:pStyle w:val="TextBody"/>
        <w:bidi w:val="0"/>
        <w:spacing w:before="240" w:after="0"/>
        <w:jc w:val="left"/>
        <w:rPr>
          <w:rFonts w:ascii="Times New Roman" w:hAnsi="Times New Roman"/>
          <w:sz w:val="20"/>
        </w:rPr>
      </w:pPr>
      <w:r>
        <w:rPr>
          <w:rFonts w:ascii="Times New Roman" w:hAnsi="Times New Roman"/>
          <w:sz w:val="20"/>
        </w:rPr>
        <w:t xml:space="preserve">Shares of Class B common stock will be issued in the future only to the extent necessary to maintain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one-to-one</w:t>
      </w:r>
    </w:p>
    <w:p>
      <w:pPr>
        <w:pStyle w:val="TextBody"/>
        <w:bidi w:val="0"/>
        <w:spacing w:before="240" w:after="0"/>
        <w:jc w:val="left"/>
        <w:rPr>
          <w:rFonts w:ascii="Times New Roman" w:hAnsi="Times New Roman"/>
          <w:sz w:val="20"/>
        </w:rPr>
      </w:pPr>
      <w:r>
        <w:rPr>
          <w:rFonts w:ascii="Times New Roman" w:hAnsi="Times New Roman"/>
          <w:sz w:val="20"/>
        </w:rPr>
        <w:t xml:space="preserve">ratio between the number of LLC Interests held by the Continuing Equity Owners and the number of shares of Class B common stock issued to the Continuing Equity Owners. Shares of Class B common stock are transferable only together with an equal number of LLC Interests. Only permitted transferees of LLC Interests held by the Continuing Equity Owners will be permitted transferees of Class B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LLC Interests held by Continuing Equity Owners include a redemption right which may be settled by us, at our election, through the (i) issuance of a new share of Class A common stock for each LLC Interest redeemed or (ii) settled by cash proceeds received from a qualifying offering of Class A common stock. The LLC Interests are not classified as temporary equity as the cash settlement is limited to the proceeds from a new offering of Class A common stock which is equity-classified.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Noncontrolling Interests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SOLV Energy, Inc., through a wholly owned subsidiary, became the sole manager of Holdings and accordingly consolidates the results of operations of Holdings. The noncontrolling interests balance on our consolidated balance sheets represents the portion of LLC Interests held by the Continuing Equity Owners. Net (loss) income is attributed to the noncontrolling interests based on the weighted-average ownership percentages of LLC Interests outstanding during the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 of June 30, 2026, SOLV Energy, Inc., directly and indirectly, held 123,745,401 LLC Interests of Holdings resulting in an ownership interest of 61.1%.</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520"/>
        <w:gridCol w:w="120"/>
        <w:gridCol w:w="377"/>
        <w:gridCol w:w="1833"/>
        <w:gridCol w:w="155"/>
        <w:gridCol w:w="120"/>
        <w:gridCol w:w="326"/>
        <w:gridCol w:w="1584"/>
        <w:gridCol w:w="170"/>
      </w:tblGrid>
      <w:tr>
        <w:trPr/>
        <w:tc>
          <w:tcPr>
            <w:tcW w:w="5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5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br/>
              <w:t>June 30, 2026</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br/>
              <w:t>June 30, 2026</w:t>
            </w:r>
          </w:p>
        </w:tc>
        <w:tc>
          <w:tcPr>
            <w:tcW w:w="170" w:type="dxa"/>
            <w:tcBorders/>
            <w:vAlign w:val="center"/>
          </w:tcPr>
          <w:p>
            <w:pPr>
              <w:pStyle w:val="TableContents"/>
              <w:bidi w:val="0"/>
              <w:spacing w:before="0" w:after="0"/>
              <w:jc w:val="left"/>
              <w:rPr>
                <w:spacing w:val="0"/>
              </w:rPr>
            </w:pPr>
            <w:r>
              <w:rPr>
                <w:spacing w:val="0"/>
              </w:rPr>
              <w:t> </w:t>
            </w:r>
          </w:p>
        </w:tc>
      </w:tr>
      <w:tr>
        <w:trPr/>
        <w:tc>
          <w:tcPr>
            <w:tcW w:w="5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 attributable to SOLV Energy, Inc.</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77" w:type="dxa"/>
            <w:tcBorders/>
            <w:shd w:fill="CCEEFF" w:val="clear"/>
            <w:vAlign w:val="center"/>
          </w:tcPr>
          <w:p>
            <w:pPr>
              <w:pStyle w:val="TableContents"/>
              <w:bidi w:val="0"/>
              <w:spacing w:before="0" w:after="0"/>
              <w:jc w:val="left"/>
              <w:rPr>
                <w:spacing w:val="0"/>
              </w:rPr>
            </w:pPr>
            <w:r>
              <w:rPr>
                <w:spacing w:val="0"/>
              </w:rPr>
              <w:t>$</w:t>
            </w:r>
          </w:p>
        </w:tc>
        <w:tc>
          <w:tcPr>
            <w:tcW w:w="1833" w:type="dxa"/>
            <w:tcBorders/>
            <w:shd w:fill="CCEEFF" w:val="clear"/>
            <w:vAlign w:val="center"/>
          </w:tcPr>
          <w:p>
            <w:pPr>
              <w:pStyle w:val="TableContents"/>
              <w:bidi w:val="0"/>
              <w:spacing w:before="0" w:after="283"/>
              <w:jc w:val="right"/>
              <w:rPr/>
            </w:pPr>
            <w:r>
              <w:rPr/>
              <w:t>36,970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26" w:type="dxa"/>
            <w:tcBorders/>
            <w:shd w:fill="CCEEFF" w:val="clear"/>
            <w:vAlign w:val="center"/>
          </w:tcPr>
          <w:p>
            <w:pPr>
              <w:pStyle w:val="TableContents"/>
              <w:bidi w:val="0"/>
              <w:spacing w:before="0" w:after="0"/>
              <w:jc w:val="left"/>
              <w:rPr>
                <w:spacing w:val="0"/>
              </w:rPr>
            </w:pPr>
            <w:r>
              <w:rPr>
                <w:spacing w:val="0"/>
              </w:rPr>
              <w:t>$</w:t>
            </w:r>
          </w:p>
        </w:tc>
        <w:tc>
          <w:tcPr>
            <w:tcW w:w="1584" w:type="dxa"/>
            <w:tcBorders/>
            <w:shd w:fill="CCEEFF" w:val="clear"/>
            <w:vAlign w:val="center"/>
          </w:tcPr>
          <w:p>
            <w:pPr>
              <w:pStyle w:val="TableContents"/>
              <w:bidi w:val="0"/>
              <w:spacing w:before="0" w:after="283"/>
              <w:jc w:val="right"/>
              <w:rPr/>
            </w:pPr>
            <w:r>
              <w:rPr/>
              <w:t>13,612</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Transfers from (to) non-controlling interests:</w:t>
            </w:r>
          </w:p>
        </w:tc>
        <w:tc>
          <w:tcPr>
            <w:tcW w:w="120" w:type="dxa"/>
            <w:tcBorders/>
            <w:vAlign w:val="center"/>
          </w:tcPr>
          <w:p>
            <w:pPr>
              <w:pStyle w:val="TableContents"/>
              <w:bidi w:val="0"/>
              <w:spacing w:before="0" w:after="0"/>
              <w:jc w:val="left"/>
              <w:rPr>
                <w:spacing w:val="0"/>
              </w:rPr>
            </w:pPr>
            <w:r>
              <w:rPr>
                <w:spacing w:val="0"/>
              </w:rPr>
              <w:t>  </w:t>
            </w:r>
          </w:p>
        </w:tc>
        <w:tc>
          <w:tcPr>
            <w:tcW w:w="377"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32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Increase in additional paid-in capital as a result of non-controlling interest adjustments, including the secondary offering</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77" w:type="dxa"/>
            <w:tcBorders/>
            <w:shd w:fill="CCEEFF" w:val="clear"/>
            <w:vAlign w:val="center"/>
          </w:tcPr>
          <w:p>
            <w:pPr>
              <w:pStyle w:val="TableContents"/>
              <w:bidi w:val="0"/>
              <w:spacing w:before="0" w:after="283"/>
              <w:jc w:val="left"/>
              <w:rPr/>
            </w:pPr>
            <w:r>
              <w:rPr/>
              <w:t> </w:t>
            </w:r>
          </w:p>
        </w:tc>
        <w:tc>
          <w:tcPr>
            <w:tcW w:w="1833" w:type="dxa"/>
            <w:tcBorders/>
            <w:shd w:fill="CCEEFF" w:val="clear"/>
            <w:vAlign w:val="center"/>
          </w:tcPr>
          <w:p>
            <w:pPr>
              <w:pStyle w:val="TableContents"/>
              <w:bidi w:val="0"/>
              <w:spacing w:before="0" w:after="0"/>
              <w:jc w:val="right"/>
              <w:rPr>
                <w:spacing w:val="0"/>
              </w:rPr>
            </w:pPr>
            <w:r>
              <w:rPr>
                <w:spacing w:val="0"/>
              </w:rPr>
              <w:t>18,520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26"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0"/>
              <w:jc w:val="right"/>
              <w:rPr>
                <w:spacing w:val="0"/>
              </w:rPr>
            </w:pPr>
            <w:r>
              <w:rPr>
                <w:spacing w:val="0"/>
              </w:rPr>
              <w:t>18,520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Decrease in additional paid-in capital as a result of the redemption of LLC interests in connection with the secondary offering</w:t>
            </w:r>
          </w:p>
        </w:tc>
        <w:tc>
          <w:tcPr>
            <w:tcW w:w="120" w:type="dxa"/>
            <w:tcBorders/>
            <w:vAlign w:val="center"/>
          </w:tcPr>
          <w:p>
            <w:pPr>
              <w:pStyle w:val="TableContents"/>
              <w:bidi w:val="0"/>
              <w:spacing w:before="0" w:after="0"/>
              <w:jc w:val="left"/>
              <w:rPr>
                <w:spacing w:val="0"/>
              </w:rPr>
            </w:pPr>
            <w:r>
              <w:rPr>
                <w:spacing w:val="0"/>
              </w:rPr>
              <w:t>  </w:t>
            </w:r>
          </w:p>
        </w:tc>
        <w:tc>
          <w:tcPr>
            <w:tcW w:w="377" w:type="dxa"/>
            <w:tcBorders/>
            <w:vAlign w:val="center"/>
          </w:tcPr>
          <w:p>
            <w:pPr>
              <w:pStyle w:val="TableContents"/>
              <w:bidi w:val="0"/>
              <w:spacing w:before="0" w:after="283"/>
              <w:jc w:val="left"/>
              <w:rPr/>
            </w:pPr>
            <w:r>
              <w:rPr/>
              <w:t> </w:t>
            </w:r>
          </w:p>
        </w:tc>
        <w:tc>
          <w:tcPr>
            <w:tcW w:w="1833" w:type="dxa"/>
            <w:tcBorders/>
            <w:vAlign w:val="center"/>
          </w:tcPr>
          <w:p>
            <w:pPr>
              <w:pStyle w:val="TableContents"/>
              <w:bidi w:val="0"/>
              <w:spacing w:before="0" w:after="0"/>
              <w:jc w:val="right"/>
              <w:rPr>
                <w:spacing w:val="0"/>
              </w:rPr>
            </w:pPr>
            <w:r>
              <w:rPr>
                <w:spacing w:val="0"/>
              </w:rPr>
              <w:t>(1,208</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26" w:type="dxa"/>
            <w:tcBorders/>
            <w:vAlign w:val="center"/>
          </w:tcPr>
          <w:p>
            <w:pPr>
              <w:pStyle w:val="TableContents"/>
              <w:bidi w:val="0"/>
              <w:spacing w:before="0" w:after="283"/>
              <w:jc w:val="left"/>
              <w:rPr/>
            </w:pPr>
            <w:r>
              <w:rPr/>
              <w:t> </w:t>
            </w:r>
          </w:p>
        </w:tc>
        <w:tc>
          <w:tcPr>
            <w:tcW w:w="1584" w:type="dxa"/>
            <w:tcBorders/>
            <w:vAlign w:val="center"/>
          </w:tcPr>
          <w:p>
            <w:pPr>
              <w:pStyle w:val="TableContents"/>
              <w:bidi w:val="0"/>
              <w:spacing w:before="0" w:after="0"/>
              <w:jc w:val="right"/>
              <w:rPr>
                <w:spacing w:val="0"/>
              </w:rPr>
            </w:pPr>
            <w:r>
              <w:rPr>
                <w:spacing w:val="0"/>
              </w:rPr>
              <w:t>(1,208</w:t>
            </w:r>
          </w:p>
        </w:tc>
        <w:tc>
          <w:tcPr>
            <w:tcW w:w="170" w:type="dxa"/>
            <w:tcBorders/>
            <w:vAlign w:val="center"/>
          </w:tcPr>
          <w:p>
            <w:pPr>
              <w:pStyle w:val="TableContents"/>
              <w:bidi w:val="0"/>
              <w:spacing w:before="0" w:after="0"/>
              <w:jc w:val="left"/>
              <w:rPr>
                <w:spacing w:val="0"/>
              </w:rPr>
            </w:pPr>
            <w:r>
              <w:rPr>
                <w:spacing w:val="0"/>
              </w:rPr>
              <w:t>) </w:t>
            </w:r>
          </w:p>
        </w:tc>
      </w:tr>
      <w:tr>
        <w:trPr/>
        <w:tc>
          <w:tcPr>
            <w:tcW w:w="5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3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5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effect of changes in ownership interest on equity attributable to SOLV Energy, Inc.</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77" w:type="dxa"/>
            <w:tcBorders/>
            <w:shd w:fill="CCEEFF" w:val="clear"/>
            <w:vAlign w:val="center"/>
          </w:tcPr>
          <w:p>
            <w:pPr>
              <w:pStyle w:val="TableContents"/>
              <w:bidi w:val="0"/>
              <w:spacing w:before="0" w:after="0"/>
              <w:jc w:val="left"/>
              <w:rPr>
                <w:spacing w:val="0"/>
              </w:rPr>
            </w:pPr>
            <w:r>
              <w:rPr>
                <w:spacing w:val="0"/>
              </w:rPr>
              <w:t>$</w:t>
            </w:r>
          </w:p>
        </w:tc>
        <w:tc>
          <w:tcPr>
            <w:tcW w:w="1833" w:type="dxa"/>
            <w:tcBorders/>
            <w:shd w:fill="CCEEFF" w:val="clear"/>
            <w:vAlign w:val="center"/>
          </w:tcPr>
          <w:p>
            <w:pPr>
              <w:pStyle w:val="TableContents"/>
              <w:bidi w:val="0"/>
              <w:spacing w:before="0" w:after="0"/>
              <w:jc w:val="right"/>
              <w:rPr>
                <w:spacing w:val="0"/>
              </w:rPr>
            </w:pPr>
            <w:r>
              <w:rPr>
                <w:spacing w:val="0"/>
              </w:rPr>
              <w:t>54,282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26" w:type="dxa"/>
            <w:tcBorders/>
            <w:shd w:fill="CCEEFF" w:val="clear"/>
            <w:vAlign w:val="center"/>
          </w:tcPr>
          <w:p>
            <w:pPr>
              <w:pStyle w:val="TableContents"/>
              <w:bidi w:val="0"/>
              <w:spacing w:before="0" w:after="0"/>
              <w:jc w:val="left"/>
              <w:rPr>
                <w:spacing w:val="0"/>
              </w:rPr>
            </w:pPr>
            <w:r>
              <w:rPr>
                <w:spacing w:val="0"/>
              </w:rPr>
              <w:t>$</w:t>
            </w:r>
          </w:p>
        </w:tc>
        <w:tc>
          <w:tcPr>
            <w:tcW w:w="1584" w:type="dxa"/>
            <w:tcBorders/>
            <w:shd w:fill="CCEEFF" w:val="clear"/>
            <w:vAlign w:val="center"/>
          </w:tcPr>
          <w:p>
            <w:pPr>
              <w:pStyle w:val="TableContents"/>
              <w:bidi w:val="0"/>
              <w:spacing w:before="0" w:after="0"/>
              <w:jc w:val="right"/>
              <w:rPr>
                <w:spacing w:val="0"/>
              </w:rPr>
            </w:pPr>
            <w:r>
              <w:rPr>
                <w:spacing w:val="0"/>
              </w:rPr>
              <w:t>30,924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3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ind w:left="0" w:right="0" w:hanging="0"/>
        <w:jc w:val="left"/>
        <w:rPr>
          <w:spacing w:val="0"/>
        </w:rPr>
      </w:pPr>
      <w:r>
        <w:rPr>
          <w:spacing w:val="0"/>
        </w:rPr>
        <w:t> </w:t>
      </w:r>
    </w:p>
    <w:tbl>
      <w:tblPr>
        <w:tblW w:w="2170" w:type="dxa"/>
        <w:jc w:val="left"/>
        <w:tblInd w:w="0" w:type="dxa"/>
        <w:tblLayout w:type="fixed"/>
        <w:tblCellMar>
          <w:top w:w="0" w:type="dxa"/>
          <w:left w:w="0" w:type="dxa"/>
          <w:bottom w:w="0" w:type="dxa"/>
          <w:right w:w="0" w:type="dxa"/>
        </w:tblCellMar>
      </w:tblPr>
      <w:tblGrid>
        <w:gridCol w:w="425"/>
        <w:gridCol w:w="1745"/>
      </w:tblGrid>
      <w:tr>
        <w:trPr/>
        <w:tc>
          <w:tcPr>
            <w:tcW w:w="425" w:type="dxa"/>
            <w:tcBorders/>
            <w:vAlign w:val="center"/>
          </w:tcPr>
          <w:p>
            <w:pPr>
              <w:pStyle w:val="TableContents"/>
              <w:bidi w:val="0"/>
              <w:spacing w:before="0" w:after="0"/>
              <w:jc w:val="left"/>
              <w:rPr>
                <w:b/>
                <w:spacing w:val="0"/>
              </w:rPr>
            </w:pPr>
            <w:r>
              <w:rPr>
                <w:b/>
                <w:spacing w:val="0"/>
              </w:rPr>
              <w:t>(11)</w:t>
            </w:r>
          </w:p>
        </w:tc>
        <w:tc>
          <w:tcPr>
            <w:tcW w:w="17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Earnings Per Share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Basic earnings per share is computed by dividing net income attributable to us by the weighted-average number of shares of Class A common stock outstanding during the period. Diluted earnings per share is computed by adjusting the net income available to us and the weighted average shares outstanding to give effect to potentially dilutive securities. Shares of Class B common stock are noneconomic and are not entitled to receive any distributions or dividends and are therefore excluded from this presentation since they are not participating securities.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Our current capital structure is not reflective of the capital structure of Holdings prior to the IPO and the Transactions. Prior to the IPO, Holdings membership structure included Class A Units and Restricted Class C Units. We analyzed the calculation of earnings per unit for the periods prior to the IPO and determined that it resulted in values that would not be meaningful to the users of these condensed consolidated financial statements. Therefore, earnings per share has not been presented for the period of the year prior to the IPO or for the three and six months ended June 30, 2025. </w:t>
      </w:r>
    </w:p>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25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Basic and diluted earnings per share of common stock for the three and six months ended June 30, 2026 have been computed as follows </w:t>
      </w:r>
    </w:p>
    <w:p>
      <w:pPr>
        <w:pStyle w:val="TextBody"/>
        <w:bidi w:val="0"/>
        <w:spacing w:before="0" w:after="0"/>
        <w:ind w:left="0" w:right="0" w:hanging="0"/>
        <w:jc w:val="left"/>
        <w:rPr>
          <w:spacing w:val="0"/>
        </w:rPr>
      </w:pPr>
      <w:r>
        <w:rPr>
          <w:spacing w:val="0"/>
        </w:rPr>
        <w:t> </w:t>
      </w:r>
    </w:p>
    <w:tbl>
      <w:tblPr>
        <w:tblW w:w="8944" w:type="dxa"/>
        <w:jc w:val="left"/>
        <w:tblInd w:w="0" w:type="dxa"/>
        <w:tblLayout w:type="fixed"/>
        <w:tblCellMar>
          <w:top w:w="0" w:type="dxa"/>
          <w:left w:w="0" w:type="dxa"/>
          <w:bottom w:w="0" w:type="dxa"/>
          <w:right w:w="0" w:type="dxa"/>
        </w:tblCellMar>
      </w:tblPr>
      <w:tblGrid>
        <w:gridCol w:w="5255"/>
        <w:gridCol w:w="120"/>
        <w:gridCol w:w="165"/>
        <w:gridCol w:w="1444"/>
        <w:gridCol w:w="95"/>
        <w:gridCol w:w="120"/>
        <w:gridCol w:w="171"/>
        <w:gridCol w:w="1499"/>
        <w:gridCol w:w="75"/>
      </w:tblGrid>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60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w:t>
              <w:br/>
              <w:t>Ended June 30,</w:t>
              <w:br/>
              <w:t>2026</w:t>
            </w:r>
          </w:p>
        </w:tc>
        <w:tc>
          <w:tcPr>
            <w:tcW w:w="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6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Period from</w:t>
              <w:br/>
              <w:t>February 12,</w:t>
              <w:br/>
              <w:t>2026 to June 30,</w:t>
              <w:br/>
              <w:t>2026</w:t>
            </w:r>
          </w:p>
        </w:tc>
        <w:tc>
          <w:tcPr>
            <w:tcW w:w="75" w:type="dxa"/>
            <w:tcBorders/>
            <w:vAlign w:val="center"/>
          </w:tcPr>
          <w:p>
            <w:pPr>
              <w:pStyle w:val="TableContents"/>
              <w:bidi w:val="0"/>
              <w:spacing w:before="0" w:after="0"/>
              <w:jc w:val="left"/>
              <w:rPr>
                <w:spacing w:val="0"/>
              </w:rPr>
            </w:pPr>
            <w:r>
              <w:rPr>
                <w:spacing w:val="0"/>
              </w:rPr>
              <w:t> </w:t>
            </w:r>
          </w:p>
        </w:tc>
      </w:tr>
      <w:tr>
        <w:trPr/>
        <w:tc>
          <w:tcPr>
            <w:tcW w:w="52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Basic net income per share: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444"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2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Numerator</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t>
            </w:r>
          </w:p>
        </w:tc>
        <w:tc>
          <w:tcPr>
            <w:tcW w:w="120" w:type="dxa"/>
            <w:tcBorders/>
            <w:vAlign w:val="center"/>
          </w:tcPr>
          <w:p>
            <w:pPr>
              <w:pStyle w:val="TableContents"/>
              <w:bidi w:val="0"/>
              <w:spacing w:before="0" w:after="0"/>
              <w:jc w:val="left"/>
              <w:rPr>
                <w:spacing w:val="0"/>
              </w:rPr>
            </w:pPr>
            <w:r>
              <w:rPr>
                <w:spacing w:val="0"/>
              </w:rPr>
              <w:t>  </w:t>
            </w:r>
          </w:p>
        </w:tc>
        <w:tc>
          <w:tcPr>
            <w:tcW w:w="16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7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55" w:type="dxa"/>
            <w:tcBorders/>
            <w:shd w:fill="CCEEFF" w:val="clear"/>
            <w:vAlign w:val="center"/>
          </w:tcPr>
          <w:p>
            <w:pPr>
              <w:pStyle w:val="TableContents"/>
              <w:bidi w:val="0"/>
              <w:spacing w:before="0" w:after="0"/>
              <w:jc w:val="left"/>
              <w:rPr>
                <w:spacing w:val="0"/>
                <w:sz w:val="20"/>
              </w:rPr>
            </w:pPr>
            <w:r>
              <w:rPr>
                <w:spacing w:val="0"/>
                <w:sz w:val="20"/>
              </w:rPr>
              <w:t>Net income</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0"/>
              <w:jc w:val="left"/>
              <w:rPr>
                <w:spacing w:val="0"/>
              </w:rPr>
            </w:pPr>
            <w:r>
              <w:rPr>
                <w:spacing w:val="0"/>
              </w:rPr>
              <w:t>$</w:t>
            </w:r>
          </w:p>
        </w:tc>
        <w:tc>
          <w:tcPr>
            <w:tcW w:w="1444" w:type="dxa"/>
            <w:tcBorders/>
            <w:shd w:fill="CCEEFF" w:val="clear"/>
            <w:vAlign w:val="center"/>
          </w:tcPr>
          <w:p>
            <w:pPr>
              <w:pStyle w:val="TableContents"/>
              <w:bidi w:val="0"/>
              <w:spacing w:before="0" w:after="0"/>
              <w:jc w:val="right"/>
              <w:rPr>
                <w:spacing w:val="0"/>
              </w:rPr>
            </w:pPr>
            <w:r>
              <w:rPr>
                <w:spacing w:val="0"/>
              </w:rPr>
              <w:t>66,833</w:t>
            </w:r>
          </w:p>
        </w:tc>
        <w:tc>
          <w:tcPr>
            <w:tcW w:w="9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0"/>
              <w:jc w:val="left"/>
              <w:rPr>
                <w:spacing w:val="0"/>
              </w:rPr>
            </w:pPr>
            <w:r>
              <w:rPr>
                <w:spacing w:val="0"/>
              </w:rPr>
              <w:t>$</w:t>
            </w:r>
          </w:p>
        </w:tc>
        <w:tc>
          <w:tcPr>
            <w:tcW w:w="1499" w:type="dxa"/>
            <w:tcBorders/>
            <w:shd w:fill="CCEEFF" w:val="clear"/>
            <w:vAlign w:val="center"/>
          </w:tcPr>
          <w:p>
            <w:pPr>
              <w:pStyle w:val="TableContents"/>
              <w:bidi w:val="0"/>
              <w:spacing w:before="0" w:after="0"/>
              <w:jc w:val="right"/>
              <w:rPr>
                <w:spacing w:val="0"/>
              </w:rPr>
            </w:pPr>
            <w:r>
              <w:rPr>
                <w:spacing w:val="0"/>
              </w:rPr>
              <w:t>39,419</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5255" w:type="dxa"/>
            <w:tcBorders/>
            <w:vAlign w:val="center"/>
          </w:tcPr>
          <w:p>
            <w:pPr>
              <w:pStyle w:val="TableContents"/>
              <w:bidi w:val="0"/>
              <w:spacing w:before="0" w:after="0"/>
              <w:jc w:val="left"/>
              <w:rPr>
                <w:sz w:val="20"/>
              </w:rPr>
            </w:pPr>
            <w:r>
              <w:rPr>
                <w:sz w:val="20"/>
              </w:rPr>
              <w:t xml:space="preserve">Less: Net income attributable to </w:t>
            </w:r>
          </w:p>
          <w:p>
            <w:pPr>
              <w:pStyle w:val="TableContents"/>
              <w:bidi w:val="0"/>
              <w:spacing w:before="0" w:after="0"/>
              <w:jc w:val="left"/>
              <w:rPr>
                <w:spacing w:val="0"/>
                <w:sz w:val="20"/>
              </w:rPr>
            </w:pPr>
            <w:r>
              <w:rPr>
                <w:spacing w:val="0"/>
                <w:sz w:val="20"/>
              </w:rPr>
              <w:t>non-controlling</w:t>
            </w:r>
          </w:p>
          <w:p>
            <w:pPr>
              <w:pStyle w:val="TableContents"/>
              <w:bidi w:val="0"/>
              <w:spacing w:before="0" w:after="0"/>
              <w:jc w:val="left"/>
              <w:rPr>
                <w:sz w:val="20"/>
              </w:rPr>
            </w:pPr>
            <w:r>
              <w:rPr>
                <w:sz w:val="20"/>
              </w:rPr>
              <w:t xml:space="preserve">interests and </w:t>
              <w:br/>
              <w:t>LLC members prior to IPO</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spacing w:val="0"/>
              </w:rPr>
            </w:pPr>
            <w:r>
              <w:rPr>
                <w:spacing w:val="0"/>
              </w:rPr>
              <w:t> </w:t>
            </w:r>
          </w:p>
        </w:tc>
        <w:tc>
          <w:tcPr>
            <w:tcW w:w="1444" w:type="dxa"/>
            <w:tcBorders/>
            <w:vAlign w:val="center"/>
          </w:tcPr>
          <w:p>
            <w:pPr>
              <w:pStyle w:val="TableContents"/>
              <w:bidi w:val="0"/>
              <w:spacing w:before="0" w:after="0"/>
              <w:jc w:val="right"/>
              <w:rPr>
                <w:spacing w:val="0"/>
              </w:rPr>
            </w:pPr>
            <w:r>
              <w:rPr>
                <w:spacing w:val="0"/>
              </w:rPr>
              <w:t>29,863</w:t>
            </w:r>
          </w:p>
        </w:tc>
        <w:tc>
          <w:tcPr>
            <w:tcW w:w="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rPr>
            </w:pPr>
            <w:r>
              <w:rPr>
                <w:spacing w:val="0"/>
              </w:rPr>
              <w:t> </w:t>
            </w:r>
          </w:p>
        </w:tc>
        <w:tc>
          <w:tcPr>
            <w:tcW w:w="1499" w:type="dxa"/>
            <w:tcBorders/>
            <w:vAlign w:val="center"/>
          </w:tcPr>
          <w:p>
            <w:pPr>
              <w:pStyle w:val="TableContents"/>
              <w:bidi w:val="0"/>
              <w:spacing w:before="0" w:after="0"/>
              <w:jc w:val="right"/>
              <w:rPr>
                <w:spacing w:val="0"/>
              </w:rPr>
            </w:pPr>
            <w:r>
              <w:rPr>
                <w:spacing w:val="0"/>
              </w:rPr>
              <w:t>25,807</w:t>
            </w:r>
          </w:p>
        </w:tc>
        <w:tc>
          <w:tcPr>
            <w:tcW w:w="75" w:type="dxa"/>
            <w:tcBorders/>
            <w:vAlign w:val="center"/>
          </w:tcPr>
          <w:p>
            <w:pPr>
              <w:pStyle w:val="TableContents"/>
              <w:bidi w:val="0"/>
              <w:spacing w:before="0" w:after="0"/>
              <w:jc w:val="left"/>
              <w:rPr>
                <w:spacing w:val="0"/>
              </w:rPr>
            </w:pPr>
            <w:r>
              <w:rPr>
                <w:spacing w:val="0"/>
              </w:rPr>
              <w:t> </w:t>
            </w:r>
          </w:p>
        </w:tc>
      </w:tr>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jc w:val="left"/>
              <w:rPr>
                <w:spacing w:val="0"/>
                <w:sz w:val="20"/>
              </w:rPr>
            </w:pPr>
            <w:r>
              <w:rPr>
                <w:spacing w:val="0"/>
                <w:sz w:val="20"/>
              </w:rPr>
              <w:t>Net income attributable to SOLV Energy, Inc., basic and diluted</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0"/>
              <w:jc w:val="left"/>
              <w:rPr>
                <w:spacing w:val="0"/>
              </w:rPr>
            </w:pPr>
            <w:r>
              <w:rPr>
                <w:spacing w:val="0"/>
              </w:rPr>
              <w:t>$</w:t>
            </w:r>
          </w:p>
        </w:tc>
        <w:tc>
          <w:tcPr>
            <w:tcW w:w="1444" w:type="dxa"/>
            <w:tcBorders/>
            <w:shd w:fill="CCEEFF" w:val="clear"/>
            <w:vAlign w:val="center"/>
          </w:tcPr>
          <w:p>
            <w:pPr>
              <w:pStyle w:val="TableContents"/>
              <w:bidi w:val="0"/>
              <w:spacing w:before="0" w:after="0"/>
              <w:jc w:val="right"/>
              <w:rPr>
                <w:spacing w:val="0"/>
              </w:rPr>
            </w:pPr>
            <w:r>
              <w:rPr>
                <w:spacing w:val="0"/>
              </w:rPr>
              <w:t>36,970</w:t>
            </w:r>
          </w:p>
        </w:tc>
        <w:tc>
          <w:tcPr>
            <w:tcW w:w="9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0"/>
              <w:jc w:val="left"/>
              <w:rPr>
                <w:spacing w:val="0"/>
              </w:rPr>
            </w:pPr>
            <w:r>
              <w:rPr>
                <w:spacing w:val="0"/>
              </w:rPr>
              <w:t>$</w:t>
            </w:r>
          </w:p>
        </w:tc>
        <w:tc>
          <w:tcPr>
            <w:tcW w:w="1499" w:type="dxa"/>
            <w:tcBorders/>
            <w:shd w:fill="CCEEFF" w:val="clear"/>
            <w:vAlign w:val="center"/>
          </w:tcPr>
          <w:p>
            <w:pPr>
              <w:pStyle w:val="TableContents"/>
              <w:bidi w:val="0"/>
              <w:spacing w:before="0" w:after="0"/>
              <w:jc w:val="right"/>
              <w:rPr>
                <w:spacing w:val="0"/>
              </w:rPr>
            </w:pPr>
            <w:r>
              <w:rPr>
                <w:spacing w:val="0"/>
              </w:rPr>
              <w:t>13,612</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0"/>
              <w:jc w:val="left"/>
              <w:rPr>
                <w:spacing w:val="0"/>
                <w:sz w:val="20"/>
              </w:rPr>
            </w:pPr>
            <w:r>
              <w:rPr>
                <w:spacing w:val="0"/>
                <w:sz w:val="20"/>
              </w:rPr>
              <w:t>Denominator</w:t>
            </w:r>
          </w:p>
          <w:p>
            <w:pPr>
              <w:pStyle w:val="TableContents"/>
              <w:bidi w:val="0"/>
              <w:spacing w:before="0" w:after="0"/>
              <w:jc w:val="left"/>
              <w:rPr>
                <w:spacing w:val="0"/>
                <w:sz w:val="20"/>
              </w:rPr>
            </w:pPr>
            <w:r>
              <w:rPr>
                <w:spacing w:val="0"/>
                <w:sz w:val="20"/>
              </w:rPr>
              <w:t>:</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55" w:type="dxa"/>
            <w:tcBorders/>
            <w:shd w:fill="CCEEFF" w:val="clear"/>
            <w:vAlign w:val="center"/>
          </w:tcPr>
          <w:p>
            <w:pPr>
              <w:pStyle w:val="TableContents"/>
              <w:bidi w:val="0"/>
              <w:spacing w:before="0" w:after="0"/>
              <w:jc w:val="left"/>
              <w:rPr>
                <w:spacing w:val="0"/>
                <w:sz w:val="20"/>
              </w:rPr>
            </w:pPr>
            <w:r>
              <w:rPr>
                <w:spacing w:val="0"/>
                <w:sz w:val="20"/>
              </w:rPr>
              <w:t>Weighted average shares of common stock outstanding, basic</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0"/>
              <w:jc w:val="left"/>
              <w:rPr>
                <w:spacing w:val="0"/>
              </w:rPr>
            </w:pPr>
            <w:r>
              <w:rPr>
                <w:spacing w:val="0"/>
              </w:rPr>
              <w:t> </w:t>
            </w:r>
          </w:p>
        </w:tc>
        <w:tc>
          <w:tcPr>
            <w:tcW w:w="1444" w:type="dxa"/>
            <w:tcBorders/>
            <w:shd w:fill="CCEEFF" w:val="clear"/>
            <w:vAlign w:val="center"/>
          </w:tcPr>
          <w:p>
            <w:pPr>
              <w:pStyle w:val="TableContents"/>
              <w:bidi w:val="0"/>
              <w:spacing w:before="0" w:after="0"/>
              <w:jc w:val="right"/>
              <w:rPr>
                <w:spacing w:val="0"/>
              </w:rPr>
            </w:pPr>
            <w:r>
              <w:rPr>
                <w:spacing w:val="0"/>
              </w:rPr>
              <w:t>118,080,650</w:t>
            </w:r>
          </w:p>
        </w:tc>
        <w:tc>
          <w:tcPr>
            <w:tcW w:w="9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0"/>
              <w:jc w:val="left"/>
              <w:rPr>
                <w:spacing w:val="0"/>
              </w:rPr>
            </w:pPr>
            <w:r>
              <w:rPr>
                <w:spacing w:val="0"/>
              </w:rPr>
              <w:t> </w:t>
            </w:r>
          </w:p>
        </w:tc>
        <w:tc>
          <w:tcPr>
            <w:tcW w:w="1499" w:type="dxa"/>
            <w:tcBorders/>
            <w:shd w:fill="CCEEFF" w:val="clear"/>
            <w:vAlign w:val="center"/>
          </w:tcPr>
          <w:p>
            <w:pPr>
              <w:pStyle w:val="TableContents"/>
              <w:bidi w:val="0"/>
              <w:spacing w:before="0" w:after="0"/>
              <w:jc w:val="right"/>
              <w:rPr>
                <w:spacing w:val="0"/>
              </w:rPr>
            </w:pPr>
            <w:r>
              <w:rPr>
                <w:spacing w:val="0"/>
              </w:rPr>
              <w:t>117,137,198</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0"/>
              <w:jc w:val="left"/>
              <w:rPr>
                <w:b/>
                <w:spacing w:val="0"/>
                <w:sz w:val="20"/>
              </w:rPr>
            </w:pPr>
            <w:r>
              <w:rPr>
                <w:b/>
                <w:spacing w:val="0"/>
                <w:sz w:val="20"/>
              </w:rPr>
              <w:t>Net income per share, basic</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b/>
                <w:spacing w:val="0"/>
              </w:rPr>
            </w:pPr>
            <w:r>
              <w:rPr>
                <w:b/>
                <w:spacing w:val="0"/>
              </w:rPr>
              <w:t>$</w:t>
            </w:r>
          </w:p>
        </w:tc>
        <w:tc>
          <w:tcPr>
            <w:tcW w:w="1444" w:type="dxa"/>
            <w:tcBorders/>
            <w:vAlign w:val="center"/>
          </w:tcPr>
          <w:p>
            <w:pPr>
              <w:pStyle w:val="TableContents"/>
              <w:bidi w:val="0"/>
              <w:spacing w:before="0" w:after="0"/>
              <w:jc w:val="right"/>
              <w:rPr>
                <w:b/>
                <w:spacing w:val="0"/>
              </w:rPr>
            </w:pPr>
            <w:r>
              <w:rPr>
                <w:b/>
                <w:spacing w:val="0"/>
              </w:rPr>
              <w:t>0.31</w:t>
            </w:r>
          </w:p>
        </w:tc>
        <w:tc>
          <w:tcPr>
            <w:tcW w:w="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b/>
                <w:spacing w:val="0"/>
              </w:rPr>
            </w:pPr>
            <w:r>
              <w:rPr>
                <w:b/>
                <w:spacing w:val="0"/>
              </w:rPr>
              <w:t>$</w:t>
            </w:r>
          </w:p>
        </w:tc>
        <w:tc>
          <w:tcPr>
            <w:tcW w:w="1499" w:type="dxa"/>
            <w:tcBorders/>
            <w:vAlign w:val="center"/>
          </w:tcPr>
          <w:p>
            <w:pPr>
              <w:pStyle w:val="TableContents"/>
              <w:bidi w:val="0"/>
              <w:spacing w:before="0" w:after="0"/>
              <w:jc w:val="right"/>
              <w:rPr>
                <w:b/>
                <w:spacing w:val="0"/>
              </w:rPr>
            </w:pPr>
            <w:r>
              <w:rPr>
                <w:b/>
                <w:spacing w:val="0"/>
              </w:rPr>
              <w:t>0.12</w:t>
            </w:r>
          </w:p>
        </w:tc>
        <w:tc>
          <w:tcPr>
            <w:tcW w:w="75" w:type="dxa"/>
            <w:tcBorders/>
            <w:vAlign w:val="center"/>
          </w:tcPr>
          <w:p>
            <w:pPr>
              <w:pStyle w:val="TableContents"/>
              <w:bidi w:val="0"/>
              <w:spacing w:before="0" w:after="0"/>
              <w:jc w:val="left"/>
              <w:rPr>
                <w:spacing w:val="0"/>
              </w:rPr>
            </w:pPr>
            <w:r>
              <w:rPr>
                <w:spacing w:val="0"/>
              </w:rPr>
              <w:t> </w:t>
            </w:r>
          </w:p>
        </w:tc>
      </w:tr>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8869" w:type="dxa"/>
            <w:gridSpan w:val="8"/>
            <w:tcBorders/>
            <w:shd w:fill="CCEEFF" w:val="clear"/>
            <w:vAlign w:val="center"/>
          </w:tcPr>
          <w:p>
            <w:pPr>
              <w:pStyle w:val="TableContents"/>
              <w:bidi w:val="0"/>
              <w:spacing w:before="0" w:after="0"/>
              <w:jc w:val="left"/>
              <w:rPr>
                <w:b/>
                <w:spacing w:val="0"/>
                <w:sz w:val="20"/>
              </w:rPr>
            </w:pPr>
            <w:r>
              <w:rPr>
                <w:b/>
                <w:spacing w:val="0"/>
                <w:sz w:val="20"/>
              </w:rPr>
              <w:t>Diluted net income per share:</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55" w:type="dxa"/>
            <w:tcBorders/>
            <w:shd w:fill="CCEEFF" w:val="clear"/>
            <w:vAlign w:val="center"/>
          </w:tcPr>
          <w:p>
            <w:pPr>
              <w:pStyle w:val="TableContents"/>
              <w:bidi w:val="0"/>
              <w:spacing w:before="0" w:after="0"/>
              <w:jc w:val="left"/>
              <w:rPr>
                <w:spacing w:val="0"/>
                <w:sz w:val="20"/>
              </w:rPr>
            </w:pPr>
            <w:r>
              <w:rPr>
                <w:spacing w:val="0"/>
                <w:sz w:val="20"/>
              </w:rPr>
              <w:t>Net income attributable to SOLV Energy, Inc., basic and diluted</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0"/>
              <w:jc w:val="left"/>
              <w:rPr>
                <w:spacing w:val="0"/>
              </w:rPr>
            </w:pPr>
            <w:r>
              <w:rPr>
                <w:spacing w:val="0"/>
              </w:rPr>
              <w:t>$</w:t>
            </w:r>
          </w:p>
        </w:tc>
        <w:tc>
          <w:tcPr>
            <w:tcW w:w="1444" w:type="dxa"/>
            <w:tcBorders/>
            <w:shd w:fill="CCEEFF" w:val="clear"/>
            <w:vAlign w:val="center"/>
          </w:tcPr>
          <w:p>
            <w:pPr>
              <w:pStyle w:val="TableContents"/>
              <w:bidi w:val="0"/>
              <w:spacing w:before="0" w:after="0"/>
              <w:jc w:val="right"/>
              <w:rPr>
                <w:spacing w:val="0"/>
              </w:rPr>
            </w:pPr>
            <w:r>
              <w:rPr>
                <w:spacing w:val="0"/>
              </w:rPr>
              <w:t>36,970</w:t>
            </w:r>
          </w:p>
        </w:tc>
        <w:tc>
          <w:tcPr>
            <w:tcW w:w="9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0"/>
              <w:jc w:val="left"/>
              <w:rPr>
                <w:spacing w:val="0"/>
              </w:rPr>
            </w:pPr>
            <w:r>
              <w:rPr>
                <w:spacing w:val="0"/>
              </w:rPr>
              <w:t>$</w:t>
            </w:r>
          </w:p>
        </w:tc>
        <w:tc>
          <w:tcPr>
            <w:tcW w:w="1499" w:type="dxa"/>
            <w:tcBorders/>
            <w:shd w:fill="CCEEFF" w:val="clear"/>
            <w:vAlign w:val="center"/>
          </w:tcPr>
          <w:p>
            <w:pPr>
              <w:pStyle w:val="TableContents"/>
              <w:bidi w:val="0"/>
              <w:spacing w:before="0" w:after="0"/>
              <w:jc w:val="right"/>
              <w:rPr>
                <w:spacing w:val="0"/>
              </w:rPr>
            </w:pPr>
            <w:r>
              <w:rPr>
                <w:spacing w:val="0"/>
              </w:rPr>
              <w:t>13,612</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5255" w:type="dxa"/>
            <w:tcBorders/>
            <w:vAlign w:val="center"/>
          </w:tcPr>
          <w:p>
            <w:pPr>
              <w:pStyle w:val="TableContents"/>
              <w:bidi w:val="0"/>
              <w:spacing w:before="0" w:after="0"/>
              <w:jc w:val="left"/>
              <w:rPr>
                <w:sz w:val="20"/>
              </w:rPr>
            </w:pPr>
            <w:r>
              <w:rPr>
                <w:sz w:val="20"/>
              </w:rPr>
              <w:t xml:space="preserve">Add: Net income attributable to </w:t>
            </w:r>
          </w:p>
          <w:p>
            <w:pPr>
              <w:pStyle w:val="TableContents"/>
              <w:bidi w:val="0"/>
              <w:spacing w:before="0" w:after="0"/>
              <w:jc w:val="left"/>
              <w:rPr>
                <w:spacing w:val="0"/>
                <w:sz w:val="20"/>
              </w:rPr>
            </w:pPr>
            <w:r>
              <w:rPr>
                <w:spacing w:val="0"/>
                <w:sz w:val="20"/>
              </w:rPr>
              <w:t>non-controlling</w:t>
            </w:r>
          </w:p>
          <w:p>
            <w:pPr>
              <w:pStyle w:val="TableContents"/>
              <w:bidi w:val="0"/>
              <w:spacing w:before="0" w:after="0"/>
              <w:jc w:val="left"/>
              <w:rPr>
                <w:sz w:val="20"/>
              </w:rPr>
            </w:pPr>
            <w:r>
              <w:rPr>
                <w:sz w:val="20"/>
              </w:rPr>
              <w:t xml:space="preserve">interests from </w:t>
              <w:br/>
              <w:t>assumed exchange of LLC Interests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spacing w:val="0"/>
              </w:rPr>
            </w:pPr>
            <w:r>
              <w:rPr>
                <w:spacing w:val="0"/>
              </w:rPr>
              <w:t> </w:t>
            </w:r>
          </w:p>
        </w:tc>
        <w:tc>
          <w:tcPr>
            <w:tcW w:w="1444" w:type="dxa"/>
            <w:tcBorders/>
            <w:vAlign w:val="center"/>
          </w:tcPr>
          <w:p>
            <w:pPr>
              <w:pStyle w:val="TableContents"/>
              <w:bidi w:val="0"/>
              <w:spacing w:before="0" w:after="0"/>
              <w:jc w:val="right"/>
              <w:rPr>
                <w:spacing w:val="0"/>
              </w:rPr>
            </w:pPr>
            <w:r>
              <w:rPr>
                <w:spacing w:val="0"/>
              </w:rPr>
              <w:t>29,863</w:t>
            </w:r>
          </w:p>
        </w:tc>
        <w:tc>
          <w:tcPr>
            <w:tcW w:w="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rPr>
            </w:pPr>
            <w:r>
              <w:rPr>
                <w:spacing w:val="0"/>
              </w:rPr>
              <w:t> </w:t>
            </w:r>
          </w:p>
        </w:tc>
        <w:tc>
          <w:tcPr>
            <w:tcW w:w="1499" w:type="dxa"/>
            <w:tcBorders/>
            <w:vAlign w:val="center"/>
          </w:tcPr>
          <w:p>
            <w:pPr>
              <w:pStyle w:val="TableContents"/>
              <w:bidi w:val="0"/>
              <w:spacing w:before="0" w:after="0"/>
              <w:jc w:val="righ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r>
      <w:tr>
        <w:trPr/>
        <w:tc>
          <w:tcPr>
            <w:tcW w:w="5255" w:type="dxa"/>
            <w:tcBorders/>
            <w:shd w:fill="CCEEFF" w:val="clear"/>
            <w:vAlign w:val="center"/>
          </w:tcPr>
          <w:p>
            <w:pPr>
              <w:pStyle w:val="TableContents"/>
              <w:bidi w:val="0"/>
              <w:spacing w:before="0" w:after="0"/>
              <w:jc w:val="left"/>
              <w:rPr>
                <w:sz w:val="20"/>
              </w:rPr>
            </w:pPr>
            <w:r>
              <w:rPr>
                <w:sz w:val="20"/>
              </w:rPr>
              <w:t>Less: Income tax expense on net income attributable to</w:t>
            </w:r>
          </w:p>
          <w:p>
            <w:pPr>
              <w:pStyle w:val="TableContents"/>
              <w:bidi w:val="0"/>
              <w:spacing w:before="0" w:after="0"/>
              <w:jc w:val="left"/>
              <w:rPr>
                <w:spacing w:val="0"/>
              </w:rPr>
            </w:pPr>
            <w:r>
              <w:rPr>
                <w:spacing w:val="0"/>
              </w:rPr>
              <w:t> </w:t>
            </w:r>
          </w:p>
          <w:p>
            <w:pPr>
              <w:pStyle w:val="TableContents"/>
              <w:bidi w:val="0"/>
              <w:spacing w:before="0" w:after="0"/>
              <w:jc w:val="left"/>
              <w:rPr>
                <w:spacing w:val="0"/>
                <w:sz w:val="20"/>
              </w:rPr>
            </w:pPr>
            <w:r>
              <w:rPr>
                <w:spacing w:val="0"/>
                <w:sz w:val="20"/>
              </w:rPr>
              <w:t>non-</w:t>
            </w:r>
          </w:p>
          <w:p>
            <w:pPr>
              <w:pStyle w:val="TableContents"/>
              <w:bidi w:val="0"/>
              <w:spacing w:before="0" w:after="0"/>
              <w:jc w:val="left"/>
              <w:rPr>
                <w:spacing w:val="0"/>
                <w:sz w:val="20"/>
              </w:rPr>
            </w:pPr>
            <w:r>
              <w:rPr>
                <w:spacing w:val="0"/>
                <w:sz w:val="20"/>
              </w:rPr>
              <w:t>controlling</w:t>
            </w:r>
          </w:p>
          <w:p>
            <w:pPr>
              <w:pStyle w:val="TableContents"/>
              <w:bidi w:val="0"/>
              <w:spacing w:before="0" w:after="0"/>
              <w:jc w:val="left"/>
              <w:rPr>
                <w:sz w:val="20"/>
              </w:rPr>
            </w:pPr>
            <w:r>
              <w:rPr>
                <w:sz w:val="20"/>
              </w:rPr>
              <w:t>interest at 22.5%</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0"/>
              <w:jc w:val="left"/>
              <w:rPr>
                <w:spacing w:val="0"/>
              </w:rPr>
            </w:pPr>
            <w:r>
              <w:rPr>
                <w:spacing w:val="0"/>
              </w:rPr>
              <w:t> </w:t>
            </w:r>
          </w:p>
        </w:tc>
        <w:tc>
          <w:tcPr>
            <w:tcW w:w="1444" w:type="dxa"/>
            <w:tcBorders/>
            <w:shd w:fill="CCEEFF" w:val="clear"/>
            <w:vAlign w:val="center"/>
          </w:tcPr>
          <w:p>
            <w:pPr>
              <w:pStyle w:val="TableContents"/>
              <w:bidi w:val="0"/>
              <w:spacing w:before="0" w:after="0"/>
              <w:jc w:val="right"/>
              <w:rPr>
                <w:spacing w:val="0"/>
              </w:rPr>
            </w:pPr>
            <w:r>
              <w:rPr>
                <w:spacing w:val="0"/>
              </w:rPr>
              <w:t>(6,719</w:t>
            </w:r>
          </w:p>
        </w:tc>
        <w:tc>
          <w:tcPr>
            <w:tcW w:w="95" w:type="dxa"/>
            <w:tcBorders/>
            <w:shd w:fill="CCEEFF" w:val="clear"/>
            <w:vAlign w:val="center"/>
          </w:tcPr>
          <w:p>
            <w:pPr>
              <w:pStyle w:val="TableContents"/>
              <w:bidi w:val="0"/>
              <w:spacing w:before="0" w:after="0"/>
              <w:jc w:val="left"/>
              <w:rPr>
                <w:spacing w:val="0"/>
              </w:rPr>
            </w:pPr>
            <w:r>
              <w:rPr>
                <w:spacing w:val="0"/>
              </w:rPr>
              <w:t>)</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0"/>
              <w:jc w:val="left"/>
              <w:rPr>
                <w:spacing w:val="0"/>
              </w:rPr>
            </w:pPr>
            <w:r>
              <w:rPr>
                <w:spacing w:val="0"/>
              </w:rPr>
              <w:t> </w:t>
            </w:r>
          </w:p>
        </w:tc>
        <w:tc>
          <w:tcPr>
            <w:tcW w:w="1499" w:type="dxa"/>
            <w:tcBorders/>
            <w:shd w:fill="CCEEFF" w:val="clear"/>
            <w:vAlign w:val="center"/>
          </w:tcPr>
          <w:p>
            <w:pPr>
              <w:pStyle w:val="TableContents"/>
              <w:bidi w:val="0"/>
              <w:spacing w:before="0" w:after="0"/>
              <w:jc w:val="right"/>
              <w:rPr>
                <w:spacing w:val="0"/>
              </w:rPr>
            </w:pPr>
            <w:r>
              <w:rPr>
                <w:spacing w:val="0"/>
              </w:rPr>
              <w:t>— </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0"/>
              <w:jc w:val="left"/>
              <w:rPr>
                <w:spacing w:val="0"/>
                <w:sz w:val="20"/>
              </w:rPr>
            </w:pPr>
            <w:r>
              <w:rPr>
                <w:spacing w:val="0"/>
                <w:sz w:val="20"/>
              </w:rPr>
              <w:t>Net income attributable to SOLV Energy, Inc., diluted</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spacing w:val="0"/>
              </w:rPr>
            </w:pPr>
            <w:r>
              <w:rPr>
                <w:spacing w:val="0"/>
              </w:rPr>
              <w:t>$</w:t>
            </w:r>
          </w:p>
        </w:tc>
        <w:tc>
          <w:tcPr>
            <w:tcW w:w="1444" w:type="dxa"/>
            <w:tcBorders/>
            <w:vAlign w:val="center"/>
          </w:tcPr>
          <w:p>
            <w:pPr>
              <w:pStyle w:val="TableContents"/>
              <w:bidi w:val="0"/>
              <w:spacing w:before="0" w:after="0"/>
              <w:jc w:val="right"/>
              <w:rPr>
                <w:spacing w:val="0"/>
              </w:rPr>
            </w:pPr>
            <w:r>
              <w:rPr>
                <w:spacing w:val="0"/>
              </w:rPr>
              <w:t>60,114</w:t>
            </w:r>
          </w:p>
        </w:tc>
        <w:tc>
          <w:tcPr>
            <w:tcW w:w="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rPr>
            </w:pPr>
            <w:r>
              <w:rPr>
                <w:spacing w:val="0"/>
              </w:rPr>
              <w:t>$</w:t>
            </w:r>
          </w:p>
        </w:tc>
        <w:tc>
          <w:tcPr>
            <w:tcW w:w="1499" w:type="dxa"/>
            <w:tcBorders/>
            <w:vAlign w:val="center"/>
          </w:tcPr>
          <w:p>
            <w:pPr>
              <w:pStyle w:val="TableContents"/>
              <w:bidi w:val="0"/>
              <w:spacing w:before="0" w:after="0"/>
              <w:jc w:val="right"/>
              <w:rPr>
                <w:spacing w:val="0"/>
              </w:rPr>
            </w:pPr>
            <w:r>
              <w:rPr>
                <w:spacing w:val="0"/>
              </w:rPr>
              <w:t>13,612</w:t>
            </w:r>
          </w:p>
        </w:tc>
        <w:tc>
          <w:tcPr>
            <w:tcW w:w="75" w:type="dxa"/>
            <w:tcBorders/>
            <w:vAlign w:val="center"/>
          </w:tcPr>
          <w:p>
            <w:pPr>
              <w:pStyle w:val="TableContents"/>
              <w:bidi w:val="0"/>
              <w:spacing w:before="0" w:after="0"/>
              <w:jc w:val="left"/>
              <w:rPr>
                <w:spacing w:val="0"/>
              </w:rPr>
            </w:pPr>
            <w:r>
              <w:rPr>
                <w:spacing w:val="0"/>
              </w:rPr>
              <w:t> </w:t>
            </w:r>
          </w:p>
        </w:tc>
      </w:tr>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jc w:val="left"/>
              <w:rPr>
                <w:spacing w:val="0"/>
                <w:sz w:val="20"/>
              </w:rPr>
            </w:pPr>
            <w:r>
              <w:rPr>
                <w:spacing w:val="0"/>
                <w:sz w:val="20"/>
              </w:rPr>
              <w:t>Denominator:</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444"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255" w:type="dxa"/>
            <w:tcBorders/>
            <w:vAlign w:val="center"/>
          </w:tcPr>
          <w:p>
            <w:pPr>
              <w:pStyle w:val="TableContents"/>
              <w:bidi w:val="0"/>
              <w:spacing w:before="0" w:after="0"/>
              <w:jc w:val="left"/>
              <w:rPr>
                <w:spacing w:val="0"/>
                <w:sz w:val="20"/>
              </w:rPr>
            </w:pPr>
            <w:r>
              <w:rPr>
                <w:spacing w:val="0"/>
                <w:sz w:val="20"/>
              </w:rPr>
              <w:t>Weighted average shares of common stock outstanding, basic</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spacing w:val="0"/>
              </w:rPr>
            </w:pPr>
            <w:r>
              <w:rPr>
                <w:spacing w:val="0"/>
              </w:rPr>
              <w:t> </w:t>
            </w:r>
          </w:p>
        </w:tc>
        <w:tc>
          <w:tcPr>
            <w:tcW w:w="1444" w:type="dxa"/>
            <w:tcBorders/>
            <w:vAlign w:val="center"/>
          </w:tcPr>
          <w:p>
            <w:pPr>
              <w:pStyle w:val="TableContents"/>
              <w:bidi w:val="0"/>
              <w:spacing w:before="0" w:after="0"/>
              <w:jc w:val="right"/>
              <w:rPr>
                <w:spacing w:val="0"/>
              </w:rPr>
            </w:pPr>
            <w:r>
              <w:rPr>
                <w:spacing w:val="0"/>
              </w:rPr>
              <w:t>118,080,650</w:t>
            </w:r>
          </w:p>
        </w:tc>
        <w:tc>
          <w:tcPr>
            <w:tcW w:w="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rPr>
            </w:pPr>
            <w:r>
              <w:rPr>
                <w:spacing w:val="0"/>
              </w:rPr>
              <w:t> </w:t>
            </w:r>
          </w:p>
        </w:tc>
        <w:tc>
          <w:tcPr>
            <w:tcW w:w="1499" w:type="dxa"/>
            <w:tcBorders/>
            <w:vAlign w:val="center"/>
          </w:tcPr>
          <w:p>
            <w:pPr>
              <w:pStyle w:val="TableContents"/>
              <w:bidi w:val="0"/>
              <w:spacing w:before="0" w:after="0"/>
              <w:jc w:val="right"/>
              <w:rPr>
                <w:spacing w:val="0"/>
              </w:rPr>
            </w:pPr>
            <w:r>
              <w:rPr>
                <w:spacing w:val="0"/>
              </w:rPr>
              <w:t>117,137,198</w:t>
            </w:r>
          </w:p>
        </w:tc>
        <w:tc>
          <w:tcPr>
            <w:tcW w:w="75" w:type="dxa"/>
            <w:tcBorders/>
            <w:vAlign w:val="center"/>
          </w:tcPr>
          <w:p>
            <w:pPr>
              <w:pStyle w:val="TableContents"/>
              <w:bidi w:val="0"/>
              <w:spacing w:before="0" w:after="0"/>
              <w:jc w:val="left"/>
              <w:rPr>
                <w:spacing w:val="0"/>
              </w:rPr>
            </w:pPr>
            <w:r>
              <w:rPr>
                <w:spacing w:val="0"/>
              </w:rPr>
              <w:t> </w:t>
            </w:r>
          </w:p>
        </w:tc>
      </w:tr>
      <w:tr>
        <w:trPr/>
        <w:tc>
          <w:tcPr>
            <w:tcW w:w="5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dilutive securities: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444"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255" w:type="dxa"/>
            <w:tcBorders/>
            <w:vAlign w:val="center"/>
          </w:tcPr>
          <w:p>
            <w:pPr>
              <w:pStyle w:val="TableContents"/>
              <w:bidi w:val="0"/>
              <w:spacing w:before="0" w:after="0"/>
              <w:jc w:val="left"/>
              <w:rPr>
                <w:spacing w:val="0"/>
                <w:sz w:val="20"/>
              </w:rPr>
            </w:pPr>
            <w:r>
              <w:rPr>
                <w:spacing w:val="0"/>
                <w:sz w:val="20"/>
              </w:rPr>
              <w:t xml:space="preserve">Vested LLC Interests </w:t>
            </w:r>
          </w:p>
          <w:p>
            <w:pPr>
              <w:pStyle w:val="TableContents"/>
              <w:bidi w:val="0"/>
              <w:spacing w:before="0" w:after="0"/>
              <w:jc w:val="left"/>
              <w:rPr>
                <w:spacing w:val="0"/>
                <w:sz w:val="20"/>
              </w:rPr>
            </w:pPr>
            <w:r>
              <w:rPr>
                <w:spacing w:val="0"/>
                <w:sz w:val="20"/>
              </w:rPr>
              <w:t>a</w:t>
            </w:r>
          </w:p>
          <w:p>
            <w:pPr>
              <w:pStyle w:val="TableContents"/>
              <w:bidi w:val="0"/>
              <w:spacing w:before="0" w:after="0"/>
              <w:jc w:val="left"/>
              <w:rPr>
                <w:spacing w:val="0"/>
                <w:sz w:val="20"/>
              </w:rPr>
            </w:pPr>
            <w:r>
              <w:rPr>
                <w:spacing w:val="0"/>
                <w:sz w:val="20"/>
              </w:rPr>
              <w:t>ttributable to Continuing Equity Owners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spacing w:val="0"/>
              </w:rPr>
            </w:pPr>
            <w:r>
              <w:rPr>
                <w:spacing w:val="0"/>
              </w:rPr>
              <w:t> </w:t>
            </w:r>
          </w:p>
        </w:tc>
        <w:tc>
          <w:tcPr>
            <w:tcW w:w="1444" w:type="dxa"/>
            <w:tcBorders/>
            <w:vAlign w:val="center"/>
          </w:tcPr>
          <w:p>
            <w:pPr>
              <w:pStyle w:val="TableContents"/>
              <w:bidi w:val="0"/>
              <w:spacing w:before="0" w:after="0"/>
              <w:jc w:val="right"/>
              <w:rPr>
                <w:spacing w:val="0"/>
              </w:rPr>
            </w:pPr>
            <w:r>
              <w:rPr>
                <w:spacing w:val="0"/>
              </w:rPr>
              <w:t>78,400,204</w:t>
            </w:r>
          </w:p>
        </w:tc>
        <w:tc>
          <w:tcPr>
            <w:tcW w:w="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rPr>
            </w:pPr>
            <w:r>
              <w:rPr>
                <w:spacing w:val="0"/>
              </w:rPr>
              <w:t> </w:t>
            </w:r>
          </w:p>
        </w:tc>
        <w:tc>
          <w:tcPr>
            <w:tcW w:w="1499" w:type="dxa"/>
            <w:tcBorders/>
            <w:vAlign w:val="center"/>
          </w:tcPr>
          <w:p>
            <w:pPr>
              <w:pStyle w:val="TableContents"/>
              <w:bidi w:val="0"/>
              <w:spacing w:before="0" w:after="0"/>
              <w:jc w:val="right"/>
              <w:rPr>
                <w:spacing w:val="0"/>
              </w:rPr>
            </w:pPr>
            <w:r>
              <w:rPr>
                <w:spacing w:val="0"/>
              </w:rPr>
              <w:t>—</w:t>
            </w:r>
          </w:p>
        </w:tc>
        <w:tc>
          <w:tcPr>
            <w:tcW w:w="75" w:type="dxa"/>
            <w:tcBorders/>
            <w:vAlign w:val="center"/>
          </w:tcPr>
          <w:p>
            <w:pPr>
              <w:pStyle w:val="TableContents"/>
              <w:bidi w:val="0"/>
              <w:spacing w:before="0" w:after="0"/>
              <w:jc w:val="left"/>
              <w:rPr>
                <w:spacing w:val="0"/>
              </w:rPr>
            </w:pPr>
            <w:r>
              <w:rPr>
                <w:spacing w:val="0"/>
              </w:rPr>
              <w:t> </w:t>
            </w:r>
          </w:p>
        </w:tc>
      </w:tr>
      <w:tr>
        <w:trPr/>
        <w:tc>
          <w:tcPr>
            <w:tcW w:w="5255" w:type="dxa"/>
            <w:tcBorders/>
            <w:shd w:fill="CCEEFF" w:val="clear"/>
            <w:vAlign w:val="center"/>
          </w:tcPr>
          <w:p>
            <w:pPr>
              <w:pStyle w:val="TableContents"/>
              <w:bidi w:val="0"/>
              <w:spacing w:before="0" w:after="0"/>
              <w:jc w:val="left"/>
              <w:rPr>
                <w:spacing w:val="0"/>
                <w:sz w:val="20"/>
              </w:rPr>
            </w:pPr>
            <w:r>
              <w:rPr>
                <w:spacing w:val="0"/>
                <w:sz w:val="20"/>
              </w:rPr>
              <w:t xml:space="preserve">Unvested LLC Interests </w:t>
            </w:r>
          </w:p>
          <w:p>
            <w:pPr>
              <w:pStyle w:val="TableContents"/>
              <w:bidi w:val="0"/>
              <w:spacing w:before="0" w:after="0"/>
              <w:jc w:val="left"/>
              <w:rPr>
                <w:spacing w:val="0"/>
                <w:sz w:val="20"/>
              </w:rPr>
            </w:pPr>
            <w:r>
              <w:rPr>
                <w:spacing w:val="0"/>
                <w:sz w:val="20"/>
              </w:rPr>
              <w:t>a</w:t>
            </w:r>
          </w:p>
          <w:p>
            <w:pPr>
              <w:pStyle w:val="TableContents"/>
              <w:bidi w:val="0"/>
              <w:spacing w:before="0" w:after="0"/>
              <w:jc w:val="left"/>
              <w:rPr>
                <w:spacing w:val="0"/>
                <w:sz w:val="20"/>
              </w:rPr>
            </w:pPr>
            <w:r>
              <w:rPr>
                <w:spacing w:val="0"/>
                <w:sz w:val="20"/>
              </w:rPr>
              <w:t>ttributable to Management Holdings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0"/>
              <w:jc w:val="left"/>
              <w:rPr>
                <w:spacing w:val="0"/>
              </w:rPr>
            </w:pPr>
            <w:r>
              <w:rPr>
                <w:spacing w:val="0"/>
              </w:rPr>
              <w:t> </w:t>
            </w:r>
          </w:p>
        </w:tc>
        <w:tc>
          <w:tcPr>
            <w:tcW w:w="1444" w:type="dxa"/>
            <w:tcBorders/>
            <w:shd w:fill="CCEEFF" w:val="clear"/>
            <w:vAlign w:val="center"/>
          </w:tcPr>
          <w:p>
            <w:pPr>
              <w:pStyle w:val="TableContents"/>
              <w:bidi w:val="0"/>
              <w:spacing w:before="0" w:after="0"/>
              <w:jc w:val="right"/>
              <w:rPr>
                <w:spacing w:val="0"/>
              </w:rPr>
            </w:pPr>
            <w:r>
              <w:rPr>
                <w:spacing w:val="0"/>
              </w:rPr>
              <w:t>5,088,760</w:t>
            </w:r>
          </w:p>
        </w:tc>
        <w:tc>
          <w:tcPr>
            <w:tcW w:w="9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0"/>
              <w:jc w:val="left"/>
              <w:rPr>
                <w:spacing w:val="0"/>
              </w:rPr>
            </w:pPr>
            <w:r>
              <w:rPr>
                <w:spacing w:val="0"/>
              </w:rPr>
              <w:t> </w:t>
            </w:r>
          </w:p>
        </w:tc>
        <w:tc>
          <w:tcPr>
            <w:tcW w:w="1499" w:type="dxa"/>
            <w:tcBorders/>
            <w:shd w:fill="CCEEFF" w:val="clear"/>
            <w:vAlign w:val="center"/>
          </w:tcPr>
          <w:p>
            <w:pPr>
              <w:pStyle w:val="TableContents"/>
              <w:bidi w:val="0"/>
              <w:spacing w:before="0" w:after="0"/>
              <w:jc w:val="right"/>
              <w:rPr>
                <w:spacing w:val="0"/>
              </w:rPr>
            </w:pPr>
            <w:r>
              <w:rPr>
                <w:spacing w:val="0"/>
              </w:rPr>
              <w:t>5,021,202</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5255" w:type="dxa"/>
            <w:tcBorders/>
            <w:vAlign w:val="center"/>
          </w:tcPr>
          <w:p>
            <w:pPr>
              <w:pStyle w:val="TableContents"/>
              <w:bidi w:val="0"/>
              <w:spacing w:before="0" w:after="0"/>
              <w:jc w:val="left"/>
              <w:rPr>
                <w:spacing w:val="0"/>
                <w:sz w:val="20"/>
              </w:rPr>
            </w:pPr>
            <w:r>
              <w:rPr>
                <w:spacing w:val="0"/>
                <w:sz w:val="20"/>
              </w:rPr>
              <w:t>Restricted Stock Awards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spacing w:val="0"/>
              </w:rPr>
            </w:pPr>
            <w:r>
              <w:rPr>
                <w:spacing w:val="0"/>
              </w:rPr>
              <w:t> </w:t>
            </w:r>
          </w:p>
        </w:tc>
        <w:tc>
          <w:tcPr>
            <w:tcW w:w="1444" w:type="dxa"/>
            <w:tcBorders/>
            <w:vAlign w:val="center"/>
          </w:tcPr>
          <w:p>
            <w:pPr>
              <w:pStyle w:val="TableContents"/>
              <w:bidi w:val="0"/>
              <w:spacing w:before="0" w:after="0"/>
              <w:jc w:val="right"/>
              <w:rPr>
                <w:spacing w:val="0"/>
              </w:rPr>
            </w:pPr>
            <w:r>
              <w:rPr>
                <w:spacing w:val="0"/>
              </w:rPr>
              <w:t>82,874</w:t>
            </w:r>
          </w:p>
        </w:tc>
        <w:tc>
          <w:tcPr>
            <w:tcW w:w="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rPr>
            </w:pPr>
            <w:r>
              <w:rPr>
                <w:spacing w:val="0"/>
              </w:rPr>
              <w:t> </w:t>
            </w:r>
          </w:p>
        </w:tc>
        <w:tc>
          <w:tcPr>
            <w:tcW w:w="1499" w:type="dxa"/>
            <w:tcBorders/>
            <w:vAlign w:val="center"/>
          </w:tcPr>
          <w:p>
            <w:pPr>
              <w:pStyle w:val="TableContents"/>
              <w:bidi w:val="0"/>
              <w:spacing w:before="0" w:after="0"/>
              <w:jc w:val="right"/>
              <w:rPr>
                <w:spacing w:val="0"/>
              </w:rPr>
            </w:pPr>
            <w:r>
              <w:rPr>
                <w:spacing w:val="0"/>
              </w:rPr>
              <w:t>69,307</w:t>
            </w:r>
          </w:p>
        </w:tc>
        <w:tc>
          <w:tcPr>
            <w:tcW w:w="75" w:type="dxa"/>
            <w:tcBorders/>
            <w:vAlign w:val="center"/>
          </w:tcPr>
          <w:p>
            <w:pPr>
              <w:pStyle w:val="TableContents"/>
              <w:bidi w:val="0"/>
              <w:spacing w:before="0" w:after="0"/>
              <w:jc w:val="left"/>
              <w:rPr>
                <w:spacing w:val="0"/>
              </w:rPr>
            </w:pPr>
            <w:r>
              <w:rPr>
                <w:spacing w:val="0"/>
              </w:rPr>
              <w:t> </w:t>
            </w:r>
          </w:p>
        </w:tc>
      </w:tr>
      <w:tr>
        <w:trPr/>
        <w:tc>
          <w:tcPr>
            <w:tcW w:w="5255" w:type="dxa"/>
            <w:tcBorders/>
            <w:shd w:fill="CCEEFF" w:val="clear"/>
            <w:vAlign w:val="center"/>
          </w:tcPr>
          <w:p>
            <w:pPr>
              <w:pStyle w:val="TableContents"/>
              <w:bidi w:val="0"/>
              <w:spacing w:before="0" w:after="0"/>
              <w:jc w:val="left"/>
              <w:rPr>
                <w:spacing w:val="0"/>
                <w:sz w:val="20"/>
              </w:rPr>
            </w:pPr>
            <w:r>
              <w:rPr>
                <w:spacing w:val="0"/>
                <w:sz w:val="20"/>
              </w:rPr>
              <w:t>Stock Options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0"/>
              <w:jc w:val="left"/>
              <w:rPr>
                <w:spacing w:val="0"/>
              </w:rPr>
            </w:pPr>
            <w:r>
              <w:rPr>
                <w:spacing w:val="0"/>
              </w:rPr>
              <w:t> </w:t>
            </w:r>
          </w:p>
        </w:tc>
        <w:tc>
          <w:tcPr>
            <w:tcW w:w="1444" w:type="dxa"/>
            <w:tcBorders/>
            <w:shd w:fill="CCEEFF" w:val="clear"/>
            <w:vAlign w:val="center"/>
          </w:tcPr>
          <w:p>
            <w:pPr>
              <w:pStyle w:val="TableContents"/>
              <w:bidi w:val="0"/>
              <w:spacing w:before="0" w:after="0"/>
              <w:jc w:val="right"/>
              <w:rPr>
                <w:spacing w:val="0"/>
              </w:rPr>
            </w:pPr>
            <w:r>
              <w:rPr>
                <w:spacing w:val="0"/>
              </w:rPr>
              <w:t>30,075</w:t>
            </w:r>
          </w:p>
        </w:tc>
        <w:tc>
          <w:tcPr>
            <w:tcW w:w="9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0"/>
              <w:jc w:val="left"/>
              <w:rPr>
                <w:spacing w:val="0"/>
              </w:rPr>
            </w:pPr>
            <w:r>
              <w:rPr>
                <w:spacing w:val="0"/>
              </w:rPr>
              <w:t> </w:t>
            </w:r>
          </w:p>
        </w:tc>
        <w:tc>
          <w:tcPr>
            <w:tcW w:w="1499" w:type="dxa"/>
            <w:tcBorders/>
            <w:shd w:fill="CCEEFF" w:val="clear"/>
            <w:vAlign w:val="center"/>
          </w:tcPr>
          <w:p>
            <w:pPr>
              <w:pStyle w:val="TableContents"/>
              <w:bidi w:val="0"/>
              <w:spacing w:before="0" w:after="0"/>
              <w:jc w:val="right"/>
              <w:rPr>
                <w:spacing w:val="0"/>
              </w:rPr>
            </w:pPr>
            <w:r>
              <w:rPr>
                <w:spacing w:val="0"/>
              </w:rPr>
              <w:t>19,689</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5255" w:type="dxa"/>
            <w:tcBorders/>
            <w:vAlign w:val="center"/>
          </w:tcPr>
          <w:p>
            <w:pPr>
              <w:pStyle w:val="TableContents"/>
              <w:bidi w:val="0"/>
              <w:spacing w:before="0" w:after="0"/>
              <w:jc w:val="left"/>
              <w:rPr>
                <w:spacing w:val="0"/>
                <w:sz w:val="20"/>
              </w:rPr>
            </w:pPr>
            <w:r>
              <w:rPr>
                <w:spacing w:val="0"/>
                <w:sz w:val="20"/>
              </w:rPr>
              <w:t>Weighted averages shares of common stock outstanding, diluted</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spacing w:val="0"/>
              </w:rPr>
            </w:pPr>
            <w:r>
              <w:rPr>
                <w:spacing w:val="0"/>
              </w:rPr>
              <w:t> </w:t>
            </w:r>
          </w:p>
        </w:tc>
        <w:tc>
          <w:tcPr>
            <w:tcW w:w="1444" w:type="dxa"/>
            <w:tcBorders/>
            <w:vAlign w:val="center"/>
          </w:tcPr>
          <w:p>
            <w:pPr>
              <w:pStyle w:val="TableContents"/>
              <w:bidi w:val="0"/>
              <w:spacing w:before="0" w:after="0"/>
              <w:jc w:val="right"/>
              <w:rPr>
                <w:spacing w:val="0"/>
              </w:rPr>
            </w:pPr>
            <w:r>
              <w:rPr>
                <w:spacing w:val="0"/>
              </w:rPr>
              <w:t>201,682,563</w:t>
            </w:r>
          </w:p>
        </w:tc>
        <w:tc>
          <w:tcPr>
            <w:tcW w:w="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rPr>
            </w:pPr>
            <w:r>
              <w:rPr>
                <w:spacing w:val="0"/>
              </w:rPr>
              <w:t> </w:t>
            </w:r>
          </w:p>
        </w:tc>
        <w:tc>
          <w:tcPr>
            <w:tcW w:w="1499" w:type="dxa"/>
            <w:tcBorders/>
            <w:vAlign w:val="center"/>
          </w:tcPr>
          <w:p>
            <w:pPr>
              <w:pStyle w:val="TableContents"/>
              <w:bidi w:val="0"/>
              <w:spacing w:before="0" w:after="0"/>
              <w:jc w:val="right"/>
              <w:rPr>
                <w:spacing w:val="0"/>
              </w:rPr>
            </w:pPr>
            <w:r>
              <w:rPr>
                <w:spacing w:val="0"/>
              </w:rPr>
              <w:t>122,247,396</w:t>
            </w:r>
          </w:p>
        </w:tc>
        <w:tc>
          <w:tcPr>
            <w:tcW w:w="75" w:type="dxa"/>
            <w:tcBorders/>
            <w:vAlign w:val="center"/>
          </w:tcPr>
          <w:p>
            <w:pPr>
              <w:pStyle w:val="TableContents"/>
              <w:bidi w:val="0"/>
              <w:spacing w:before="0" w:after="0"/>
              <w:jc w:val="left"/>
              <w:rPr>
                <w:spacing w:val="0"/>
              </w:rPr>
            </w:pPr>
            <w:r>
              <w:rPr>
                <w:spacing w:val="0"/>
              </w:rPr>
              <w:t> </w:t>
            </w:r>
          </w:p>
        </w:tc>
      </w:tr>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jc w:val="left"/>
              <w:rPr>
                <w:b/>
                <w:spacing w:val="0"/>
                <w:sz w:val="20"/>
              </w:rPr>
            </w:pPr>
            <w:r>
              <w:rPr>
                <w:b/>
                <w:spacing w:val="0"/>
                <w:sz w:val="20"/>
              </w:rPr>
              <w:t>Net income per share, diluted</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0"/>
              <w:jc w:val="left"/>
              <w:rPr>
                <w:b/>
                <w:spacing w:val="0"/>
              </w:rPr>
            </w:pPr>
            <w:r>
              <w:rPr>
                <w:b/>
                <w:spacing w:val="0"/>
              </w:rPr>
              <w:t>$</w:t>
            </w:r>
          </w:p>
        </w:tc>
        <w:tc>
          <w:tcPr>
            <w:tcW w:w="1444" w:type="dxa"/>
            <w:tcBorders/>
            <w:shd w:fill="CCEEFF" w:val="clear"/>
            <w:vAlign w:val="center"/>
          </w:tcPr>
          <w:p>
            <w:pPr>
              <w:pStyle w:val="TableContents"/>
              <w:bidi w:val="0"/>
              <w:spacing w:before="0" w:after="0"/>
              <w:jc w:val="right"/>
              <w:rPr>
                <w:b/>
                <w:spacing w:val="0"/>
              </w:rPr>
            </w:pPr>
            <w:r>
              <w:rPr>
                <w:b/>
                <w:spacing w:val="0"/>
              </w:rPr>
              <w:t>0.30</w:t>
            </w:r>
          </w:p>
        </w:tc>
        <w:tc>
          <w:tcPr>
            <w:tcW w:w="9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0"/>
              <w:jc w:val="left"/>
              <w:rPr>
                <w:b/>
                <w:spacing w:val="0"/>
              </w:rPr>
            </w:pPr>
            <w:r>
              <w:rPr>
                <w:b/>
                <w:spacing w:val="0"/>
              </w:rPr>
              <w:t>$</w:t>
            </w:r>
          </w:p>
        </w:tc>
        <w:tc>
          <w:tcPr>
            <w:tcW w:w="1499" w:type="dxa"/>
            <w:tcBorders/>
            <w:shd w:fill="CCEEFF" w:val="clear"/>
            <w:vAlign w:val="center"/>
          </w:tcPr>
          <w:p>
            <w:pPr>
              <w:pStyle w:val="TableContents"/>
              <w:bidi w:val="0"/>
              <w:spacing w:before="0" w:after="0"/>
              <w:jc w:val="right"/>
              <w:rPr>
                <w:b/>
                <w:spacing w:val="0"/>
              </w:rPr>
            </w:pPr>
            <w:r>
              <w:rPr>
                <w:b/>
                <w:spacing w:val="0"/>
              </w:rPr>
              <w:t>0.11</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spacing w:val="0"/>
          <w:sz w:val="20"/>
        </w:rPr>
      </w:pPr>
      <w:r>
        <w:rPr>
          <w:spacing w:val="0"/>
          <w:sz w:val="20"/>
        </w:rPr>
        <w:t xml:space="preserve">The calculation of diluted net income per share for the three and six months ended June 30, 2026 excludes the restricted stock units granted under the 2026 Plan because their inclusion in the calculation would be anti-dilutive. </w:t>
      </w:r>
    </w:p>
    <w:p>
      <w:pPr>
        <w:pStyle w:val="TextBody"/>
        <w:bidi w:val="0"/>
        <w:spacing w:before="240" w:after="0"/>
        <w:jc w:val="left"/>
        <w:rPr>
          <w:spacing w:val="0"/>
          <w:sz w:val="20"/>
        </w:rPr>
      </w:pPr>
      <w:r>
        <w:rPr>
          <w:spacing w:val="0"/>
          <w:sz w:val="20"/>
        </w:rPr>
        <w:t xml:space="preserve">The following securities were excluded from the computation of diluted net income per share for the period presented because their effect on net income per share would have been anti-dilutive: </w:t>
      </w:r>
    </w:p>
    <w:p>
      <w:pPr>
        <w:pStyle w:val="TextBody"/>
        <w:bidi w:val="0"/>
        <w:spacing w:before="0" w:after="0"/>
        <w:ind w:left="0" w:right="0" w:hanging="0"/>
        <w:jc w:val="left"/>
        <w:rPr>
          <w:spacing w:val="0"/>
        </w:rPr>
      </w:pPr>
      <w:r>
        <w:rPr>
          <w:spacing w:val="0"/>
        </w:rPr>
        <w:t> </w:t>
      </w:r>
    </w:p>
    <w:tbl>
      <w:tblPr>
        <w:tblW w:w="6990" w:type="dxa"/>
        <w:jc w:val="left"/>
        <w:tblInd w:w="0" w:type="dxa"/>
        <w:tblLayout w:type="fixed"/>
        <w:tblCellMar>
          <w:top w:w="0" w:type="dxa"/>
          <w:left w:w="0" w:type="dxa"/>
          <w:bottom w:w="0" w:type="dxa"/>
          <w:right w:w="0" w:type="dxa"/>
        </w:tblCellMar>
      </w:tblPr>
      <w:tblGrid>
        <w:gridCol w:w="3335"/>
        <w:gridCol w:w="120"/>
        <w:gridCol w:w="130"/>
        <w:gridCol w:w="1480"/>
        <w:gridCol w:w="60"/>
        <w:gridCol w:w="120"/>
        <w:gridCol w:w="99"/>
        <w:gridCol w:w="1571"/>
        <w:gridCol w:w="75"/>
      </w:tblGrid>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w:t>
              <w:br/>
              <w:t>Ended June 30,</w:t>
              <w:b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Period from</w:t>
              <w:br/>
              <w:t>February 12,</w:t>
              <w:br/>
              <w:t>2026 to June 30,</w:t>
              <w:br/>
              <w:t>2026</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jc w:val="left"/>
              <w:rPr>
                <w:sz w:val="20"/>
              </w:rPr>
            </w:pPr>
            <w:r>
              <w:rPr>
                <w:sz w:val="20"/>
              </w:rPr>
              <w:t xml:space="preserve">Vested LLC Interests </w:t>
            </w:r>
          </w:p>
          <w:p>
            <w:pPr>
              <w:pStyle w:val="TableContents"/>
              <w:bidi w:val="0"/>
              <w:spacing w:before="0" w:after="0"/>
              <w:jc w:val="left"/>
              <w:rPr>
                <w:spacing w:val="0"/>
                <w:sz w:val="20"/>
              </w:rPr>
            </w:pPr>
            <w:r>
              <w:rPr>
                <w:spacing w:val="0"/>
                <w:sz w:val="20"/>
              </w:rPr>
              <w:t>a</w:t>
            </w:r>
          </w:p>
          <w:p>
            <w:pPr>
              <w:pStyle w:val="TableContents"/>
              <w:bidi w:val="0"/>
              <w:spacing w:before="0" w:after="0"/>
              <w:jc w:val="left"/>
              <w:rPr>
                <w:sz w:val="20"/>
              </w:rPr>
            </w:pPr>
            <w:r>
              <w:rPr>
                <w:sz w:val="20"/>
              </w:rPr>
              <w:t>ttributable to Continuing Equity Owners</w:t>
            </w:r>
          </w:p>
        </w:tc>
        <w:tc>
          <w:tcPr>
            <w:tcW w:w="120" w:type="dxa"/>
            <w:tcBorders/>
            <w:shd w:fill="CCEEFF" w:val="clear"/>
            <w:vAlign w:val="center"/>
          </w:tcPr>
          <w:p>
            <w:pPr>
              <w:pStyle w:val="TableContents"/>
              <w:bidi w:val="0"/>
              <w:spacing w:before="0" w:after="0"/>
              <w:jc w:val="left"/>
              <w:rPr/>
            </w:pPr>
            <w:r>
              <w:rPr/>
              <w:t> </w:t>
            </w:r>
          </w:p>
        </w:tc>
        <w:tc>
          <w:tcPr>
            <w:tcW w:w="130" w:type="dxa"/>
            <w:tcBorders/>
            <w:shd w:fill="CCEEFF" w:val="clear"/>
            <w:vAlign w:val="center"/>
          </w:tcPr>
          <w:p>
            <w:pPr>
              <w:pStyle w:val="TableContents"/>
              <w:bidi w:val="0"/>
              <w:spacing w:before="0" w:after="0"/>
              <w:jc w:val="left"/>
              <w:rPr>
                <w:spacing w:val="0"/>
              </w:rPr>
            </w:pPr>
            <w:r>
              <w:rPr>
                <w:spacing w:val="0"/>
              </w:rPr>
              <w:t> </w:t>
            </w:r>
          </w:p>
        </w:tc>
        <w:tc>
          <w:tcPr>
            <w:tcW w:w="1480" w:type="dxa"/>
            <w:tcBorders/>
            <w:shd w:fill="CCEEFF" w:val="clear"/>
            <w:vAlign w:val="center"/>
          </w:tcPr>
          <w:p>
            <w:pPr>
              <w:pStyle w:val="TableContents"/>
              <w:bidi w:val="0"/>
              <w:spacing w:lineRule="atLeast" w:line="200" w:before="0" w:after="0"/>
              <w:jc w:val="right"/>
              <w:rPr>
                <w:spacing w:val="0"/>
              </w:rPr>
            </w:pPr>
            <w:r>
              <w:rPr>
                <w:spacing w:val="0"/>
              </w:rPr>
              <w:t>— </w:t>
            </w:r>
          </w:p>
        </w:tc>
        <w:tc>
          <w:tcPr>
            <w:tcW w:w="60" w:type="dxa"/>
            <w:tcBorders/>
            <w:shd w:fill="CCEEFF" w:val="clear"/>
            <w:vAlign w:val="center"/>
          </w:tcPr>
          <w:p>
            <w:pPr>
              <w:pStyle w:val="TableContents"/>
              <w:bidi w:val="0"/>
              <w:spacing w:lineRule="atLeast" w:line="200" w:before="0" w:after="0"/>
              <w:jc w:val="left"/>
              <w:rPr>
                <w:spacing w:val="0"/>
              </w:rPr>
            </w:pPr>
            <w:r>
              <w:rPr>
                <w:spacing w:val="0"/>
              </w:rPr>
              <w:t> </w:t>
            </w:r>
          </w:p>
        </w:tc>
        <w:tc>
          <w:tcPr>
            <w:tcW w:w="120" w:type="dxa"/>
            <w:tcBorders/>
            <w:shd w:fill="CCEEFF" w:val="clear"/>
            <w:vAlign w:val="center"/>
          </w:tcPr>
          <w:p>
            <w:pPr>
              <w:pStyle w:val="TableContents"/>
              <w:bidi w:val="0"/>
              <w:spacing w:lineRule="atLeast" w:line="200" w:before="0" w:after="0"/>
              <w:jc w:val="left"/>
              <w:rPr>
                <w:spacing w:val="0"/>
              </w:rPr>
            </w:pPr>
            <w:r>
              <w:rPr>
                <w:spacing w:val="0"/>
              </w:rPr>
              <w:t> </w:t>
            </w:r>
          </w:p>
        </w:tc>
        <w:tc>
          <w:tcPr>
            <w:tcW w:w="99" w:type="dxa"/>
            <w:tcBorders/>
            <w:shd w:fill="CCEEFF" w:val="clear"/>
            <w:vAlign w:val="center"/>
          </w:tcPr>
          <w:p>
            <w:pPr>
              <w:pStyle w:val="TableContents"/>
              <w:bidi w:val="0"/>
              <w:spacing w:lineRule="atLeast" w:line="200" w:before="0" w:after="0"/>
              <w:jc w:val="left"/>
              <w:rPr>
                <w:spacing w:val="0"/>
              </w:rPr>
            </w:pPr>
            <w:r>
              <w:rPr>
                <w:spacing w:val="0"/>
              </w:rPr>
              <w:t> </w:t>
            </w:r>
          </w:p>
        </w:tc>
        <w:tc>
          <w:tcPr>
            <w:tcW w:w="1571" w:type="dxa"/>
            <w:tcBorders/>
            <w:shd w:fill="CCEEFF" w:val="clear"/>
            <w:vAlign w:val="center"/>
          </w:tcPr>
          <w:p>
            <w:pPr>
              <w:pStyle w:val="TableContents"/>
              <w:bidi w:val="0"/>
              <w:spacing w:lineRule="atLeast" w:line="200" w:before="0" w:after="0"/>
              <w:jc w:val="right"/>
              <w:rPr>
                <w:spacing w:val="0"/>
                <w:sz w:val="20"/>
              </w:rPr>
            </w:pPr>
            <w:r>
              <w:rPr>
                <w:spacing w:val="0"/>
                <w:sz w:val="20"/>
              </w:rPr>
              <w:t>72,718,537</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335" w:type="dxa"/>
            <w:tcBorders/>
            <w:vAlign w:val="center"/>
          </w:tcPr>
          <w:p>
            <w:pPr>
              <w:pStyle w:val="TableContents"/>
              <w:bidi w:val="0"/>
              <w:spacing w:before="0" w:after="0"/>
              <w:jc w:val="left"/>
              <w:rPr>
                <w:spacing w:val="0"/>
                <w:sz w:val="20"/>
              </w:rPr>
            </w:pPr>
            <w:r>
              <w:rPr>
                <w:spacing w:val="0"/>
                <w:sz w:val="20"/>
              </w:rPr>
              <w:t>Restricted Stock Units</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jc w:val="left"/>
              <w:rPr>
                <w:spacing w:val="0"/>
              </w:rPr>
            </w:pPr>
            <w:r>
              <w:rPr>
                <w:spacing w:val="0"/>
              </w:rPr>
              <w:t> </w:t>
            </w:r>
          </w:p>
        </w:tc>
        <w:tc>
          <w:tcPr>
            <w:tcW w:w="1480" w:type="dxa"/>
            <w:tcBorders/>
            <w:vAlign w:val="center"/>
          </w:tcPr>
          <w:p>
            <w:pPr>
              <w:pStyle w:val="TableContents"/>
              <w:bidi w:val="0"/>
              <w:spacing w:before="0" w:after="0"/>
              <w:jc w:val="right"/>
              <w:rPr>
                <w:spacing w:val="0"/>
              </w:rPr>
            </w:pPr>
            <w:r>
              <w:rPr>
                <w:spacing w:val="0"/>
              </w:rPr>
              <w:t>45,814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rPr>
            </w:pPr>
            <w:r>
              <w:rPr>
                <w:spacing w:val="0"/>
              </w:rPr>
              <w:t> </w:t>
            </w:r>
          </w:p>
        </w:tc>
        <w:tc>
          <w:tcPr>
            <w:tcW w:w="1571" w:type="dxa"/>
            <w:tcBorders/>
            <w:vAlign w:val="center"/>
          </w:tcPr>
          <w:p>
            <w:pPr>
              <w:pStyle w:val="TableContents"/>
              <w:bidi w:val="0"/>
              <w:spacing w:before="0" w:after="0"/>
              <w:jc w:val="right"/>
              <w:rPr>
                <w:spacing w:val="0"/>
              </w:rPr>
            </w:pPr>
            <w:r>
              <w:rPr>
                <w:spacing w:val="0"/>
              </w:rPr>
              <w:t>45,814</w:t>
            </w:r>
          </w:p>
        </w:tc>
        <w:tc>
          <w:tcPr>
            <w:tcW w:w="75" w:type="dxa"/>
            <w:tcBorders/>
            <w:vAlign w:val="center"/>
          </w:tcPr>
          <w:p>
            <w:pPr>
              <w:pStyle w:val="TableContents"/>
              <w:bidi w:val="0"/>
              <w:spacing w:before="0" w:after="0"/>
              <w:jc w:val="left"/>
              <w:rPr>
                <w:spacing w:val="0"/>
              </w:rPr>
            </w:pPr>
            <w:r>
              <w:rPr>
                <w:spacing w:val="0"/>
              </w:rPr>
              <w:t> </w:t>
            </w:r>
          </w:p>
        </w:tc>
      </w:tr>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3280" w:type="dxa"/>
        <w:jc w:val="left"/>
        <w:tblInd w:w="0" w:type="dxa"/>
        <w:tblLayout w:type="fixed"/>
        <w:tblCellMar>
          <w:top w:w="0" w:type="dxa"/>
          <w:left w:w="0" w:type="dxa"/>
          <w:bottom w:w="0" w:type="dxa"/>
          <w:right w:w="0" w:type="dxa"/>
        </w:tblCellMar>
      </w:tblPr>
      <w:tblGrid>
        <w:gridCol w:w="425"/>
        <w:gridCol w:w="2855"/>
      </w:tblGrid>
      <w:tr>
        <w:trPr/>
        <w:tc>
          <w:tcPr>
            <w:tcW w:w="425" w:type="dxa"/>
            <w:tcBorders/>
            <w:vAlign w:val="center"/>
          </w:tcPr>
          <w:p>
            <w:pPr>
              <w:pStyle w:val="TableContents"/>
              <w:bidi w:val="0"/>
              <w:spacing w:before="0" w:after="0"/>
              <w:jc w:val="left"/>
              <w:rPr>
                <w:b/>
                <w:spacing w:val="0"/>
              </w:rPr>
            </w:pPr>
            <w:r>
              <w:rPr>
                <w:b/>
                <w:spacing w:val="0"/>
              </w:rPr>
              <w:t>(12)</w:t>
            </w:r>
          </w:p>
        </w:tc>
        <w:tc>
          <w:tcPr>
            <w:tcW w:w="2855" w:type="dxa"/>
            <w:tcBorders/>
            <w:vAlign w:val="center"/>
          </w:tcPr>
          <w:p>
            <w:pPr>
              <w:pStyle w:val="TableContents"/>
              <w:bidi w:val="0"/>
              <w:spacing w:before="0" w:after="0"/>
              <w:jc w:val="left"/>
              <w:rPr>
                <w:b/>
                <w:spacing w:val="0"/>
                <w:sz w:val="20"/>
              </w:rPr>
            </w:pPr>
            <w:r>
              <w:rPr>
                <w:b/>
                <w:spacing w:val="0"/>
                <w:sz w:val="20"/>
              </w:rPr>
              <w:t xml:space="preserve">Commitments and Contingencies </w:t>
            </w:r>
          </w:p>
        </w:tc>
      </w:tr>
    </w:tbl>
    <w:p>
      <w:pPr>
        <w:pStyle w:val="TextBody"/>
        <w:bidi w:val="0"/>
        <w:spacing w:before="120" w:after="0"/>
        <w:jc w:val="left"/>
        <w:rPr>
          <w:b/>
          <w:i/>
          <w:spacing w:val="0"/>
          <w:sz w:val="20"/>
        </w:rPr>
      </w:pPr>
      <w:r>
        <w:rPr>
          <w:b/>
          <w:i/>
          <w:spacing w:val="0"/>
          <w:sz w:val="20"/>
        </w:rPr>
        <w:t xml:space="preserve">Legal Proceedings </w:t>
      </w:r>
    </w:p>
    <w:p>
      <w:pPr>
        <w:pStyle w:val="TextBody"/>
        <w:bidi w:val="0"/>
        <w:spacing w:before="120" w:after="0"/>
        <w:jc w:val="left"/>
        <w:rPr>
          <w:spacing w:val="0"/>
          <w:sz w:val="20"/>
        </w:rPr>
      </w:pPr>
      <w:r>
        <w:rPr>
          <w:spacing w:val="0"/>
          <w:sz w:val="20"/>
        </w:rPr>
        <w:t xml:space="preserve">From time to time, we are involved in various lawsuits, claims, inquiries and other regulatory and compliance matters, most of which are routine to the nature of our business. </w:t>
      </w:r>
    </w:p>
    <w:p>
      <w:pPr>
        <w:pStyle w:val="TextBody"/>
        <w:bidi w:val="0"/>
        <w:spacing w:before="240" w:after="0"/>
        <w:jc w:val="left"/>
        <w:rPr>
          <w:spacing w:val="0"/>
          <w:sz w:val="20"/>
        </w:rPr>
      </w:pPr>
      <w:r>
        <w:rPr>
          <w:spacing w:val="0"/>
          <w:sz w:val="20"/>
        </w:rPr>
        <w:t xml:space="preserve">Additional lawsuits, claims, inquiries and other regulatory and compliance matters could arise in the future. The range of expenses for resolving any future matters would be assessed as they arise; until then, a range of potential expenses for such resolution cannot be determined.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26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Based upon current information, we concluded that the impact of the resolution of these matters would not be, individually or in the aggregate, material to our financial position, results of operations or cash flows.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Warranties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provide warranties for EPC and O&amp;M projects, guaranteeing the work performed against defects in equipment, materials, design, or workmanship. The length of the warranty period is generally two years. Materials and equipment used in construction are either provided by the customers or warranted against defects by suppliers. The warranty claims that we historically received have not been substantial. </w:t>
      </w:r>
    </w:p>
    <w:p>
      <w:pPr>
        <w:pStyle w:val="TextBody"/>
        <w:bidi w:val="0"/>
        <w:spacing w:before="240" w:after="0"/>
        <w:jc w:val="left"/>
        <w:rPr>
          <w:rFonts w:ascii="Times New Roman" w:hAnsi="Times New Roman"/>
          <w:sz w:val="20"/>
        </w:rPr>
      </w:pPr>
      <w:r>
        <w:rPr>
          <w:rFonts w:ascii="Times New Roman" w:hAnsi="Times New Roman"/>
          <w:sz w:val="20"/>
        </w:rPr>
        <w:t xml:space="preserve">See Note 15 –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Details of Certain Accounts</w:t>
      </w:r>
    </w:p>
    <w:p>
      <w:pPr>
        <w:pStyle w:val="TextBody"/>
        <w:bidi w:val="0"/>
        <w:spacing w:before="240" w:after="0"/>
        <w:jc w:val="left"/>
        <w:rPr>
          <w:rFonts w:ascii="Times New Roman" w:hAnsi="Times New Roman"/>
          <w:sz w:val="20"/>
        </w:rPr>
      </w:pPr>
      <w:r>
        <w:rPr>
          <w:rFonts w:ascii="Times New Roman" w:hAnsi="Times New Roman"/>
          <w:sz w:val="20"/>
        </w:rPr>
        <w:t xml:space="preserve">for warranty reserves recorded on the condensed consolidated balance sheets.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Tariffs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February 2026, the U.S. Supreme Court issued a ruling invalidating certain tariffs previously imposed under the International Emergency Economic Powers Act (IEEPA). We are evaluating the impacts of these developments on our results of operations, as well as more recent changes regarding tariffs. We will continue to monitor developments on tariff policy and evaluate any changes to the applicability of tariffs to our business as they occur. As of June 30, 2026, we have not recorded any impact for potential recovery of tariff-related costs as the processes related to such recovery remain uncertain. </w:t>
      </w:r>
    </w:p>
    <w:p>
      <w:pPr>
        <w:pStyle w:val="TextBody"/>
        <w:bidi w:val="0"/>
        <w:spacing w:before="0" w:after="0"/>
        <w:jc w:val="left"/>
        <w:rPr>
          <w:spacing w:val="0"/>
        </w:rPr>
      </w:pPr>
      <w:r>
        <w:rPr>
          <w:spacing w:val="0"/>
        </w:rPr>
        <w:t> </w:t>
      </w:r>
    </w:p>
    <w:tbl>
      <w:tblPr>
        <w:tblW w:w="2830" w:type="dxa"/>
        <w:jc w:val="left"/>
        <w:tblInd w:w="0" w:type="dxa"/>
        <w:tblLayout w:type="fixed"/>
        <w:tblCellMar>
          <w:top w:w="0" w:type="dxa"/>
          <w:left w:w="0" w:type="dxa"/>
          <w:bottom w:w="0" w:type="dxa"/>
          <w:right w:w="0" w:type="dxa"/>
        </w:tblCellMar>
      </w:tblPr>
      <w:tblGrid>
        <w:gridCol w:w="425"/>
        <w:gridCol w:w="2405"/>
      </w:tblGrid>
      <w:tr>
        <w:trPr/>
        <w:tc>
          <w:tcPr>
            <w:tcW w:w="425" w:type="dxa"/>
            <w:tcBorders/>
            <w:vAlign w:val="center"/>
          </w:tcPr>
          <w:p>
            <w:pPr>
              <w:pStyle w:val="TableContents"/>
              <w:bidi w:val="0"/>
              <w:spacing w:before="0" w:after="0"/>
              <w:jc w:val="left"/>
              <w:rPr>
                <w:b/>
                <w:spacing w:val="0"/>
              </w:rPr>
            </w:pPr>
            <w:r>
              <w:rPr>
                <w:b/>
                <w:spacing w:val="0"/>
              </w:rPr>
              <w:t>(13)</w:t>
            </w:r>
          </w:p>
        </w:tc>
        <w:tc>
          <w:tcPr>
            <w:tcW w:w="24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Related Party Transactions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Transactions with a Minority Investor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Prior to the IPO and the related liquidation of SOLV Energy Parent Holdings LP, on December 20, 2025, SOLV Energy Parent Holdings LP redeemed the units held by a minority investor in exchange for a $112,500 note secured by a first priority lien on all of SOLV Energy Parent Holdings LP’s assets, including its equity interests in Holdings. The note was subsequently settled in January 2026 using cash on hand distributed upstream to SOLV Energy Parent Holdings LP from Holdings.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Transactions with American Securities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were party to certain management consulting agreements with American Securities (“Consulting Agreements”), pursuant to which American Securities agreed to provide us certain management and legal services. We were required to pay American Securities an annual fee to $3,000, payable in equal quarterly cash installments. The Consulting Agreements were terminated in connection with the consummation of the IPO and Reorganization, and no further amounts are payable to American Securities. Payments made under the consulting agreements, including reimbursable expenses, were $0 and $750 during the three and six months ended June 30, 2026, respectively, and $1,204 and $1,954 during the three and six months ended June 30, 2025, respectively. These amounts are included in “Selling, general and administrative expenses”.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In connection with the redemption of the minority investor units noted above, SOLV Energy, LLC entered into a loan agreement, dated as of January 5, 2026, with affiliated funds of American Securities. The loan agreement was terminated on February 12, 2026 in connection with the IPO.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Secondary Offering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In June 2026, a secondary public offering was completed with certain selling stockholders for 8,853,170 shares of our Class A common stock. We did not receive any proceeds from the sale of our Class A common stock by the selling stockholders. We bore the costs associated with the sale of shares of Class A common stock by the selling stockholders, other than underwriting discounts and commissions from the shares sold by the selling stockholders, which were approximately $1,273 and were included in “Selling, general and administrative expenses”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0" w:after="0"/>
        <w:jc w:val="left"/>
        <w:rPr>
          <w:spacing w:val="0"/>
        </w:rPr>
      </w:pPr>
      <w:r>
        <w:rPr>
          <w:spacing w:val="0"/>
        </w:rPr>
        <w:t> </w:t>
      </w:r>
    </w:p>
    <w:tbl>
      <w:tblPr>
        <w:tblW w:w="2455" w:type="dxa"/>
        <w:jc w:val="left"/>
        <w:tblInd w:w="0" w:type="dxa"/>
        <w:tblLayout w:type="fixed"/>
        <w:tblCellMar>
          <w:top w:w="0" w:type="dxa"/>
          <w:left w:w="0" w:type="dxa"/>
          <w:bottom w:w="0" w:type="dxa"/>
          <w:right w:w="0" w:type="dxa"/>
        </w:tblCellMar>
      </w:tblPr>
      <w:tblGrid>
        <w:gridCol w:w="425"/>
        <w:gridCol w:w="2030"/>
      </w:tblGrid>
      <w:tr>
        <w:trPr/>
        <w:tc>
          <w:tcPr>
            <w:tcW w:w="425" w:type="dxa"/>
            <w:tcBorders/>
            <w:vAlign w:val="center"/>
          </w:tcPr>
          <w:p>
            <w:pPr>
              <w:pStyle w:val="TableContents"/>
              <w:bidi w:val="0"/>
              <w:spacing w:before="0" w:after="0"/>
              <w:jc w:val="left"/>
              <w:rPr>
                <w:b/>
                <w:spacing w:val="0"/>
              </w:rPr>
            </w:pPr>
            <w:r>
              <w:rPr>
                <w:b/>
                <w:spacing w:val="0"/>
              </w:rPr>
              <w:t>(14)</w:t>
            </w:r>
          </w:p>
        </w:tc>
        <w:tc>
          <w:tcPr>
            <w:tcW w:w="20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Business Combinations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SDI Acquisition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8, 2025, we acquired 100% of the ownership interests in SDI, a solar predrill and pile foundation installation contractor based in Sacramento, California. The aggregate consideration for the acquisition was approximately $16,941, of which approximately $11,154 was paid in cash at closing and $5,500 is deferred and payable on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one-year</w:t>
      </w:r>
    </w:p>
    <w:p>
      <w:pPr>
        <w:pStyle w:val="TextBody"/>
        <w:bidi w:val="0"/>
        <w:spacing w:before="120" w:after="0"/>
        <w:jc w:val="left"/>
        <w:rPr>
          <w:rFonts w:ascii="Times New Roman" w:hAnsi="Times New Roman"/>
          <w:sz w:val="20"/>
        </w:rPr>
      </w:pPr>
      <w:r>
        <w:rPr>
          <w:rFonts w:ascii="Times New Roman" w:hAnsi="Times New Roman"/>
          <w:sz w:val="20"/>
        </w:rPr>
        <w:t xml:space="preserve">anniversary of the acquisition. On January 8, 2026, we settled the remaining $5,500 deferred acquisition payment obligation.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share</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amounts</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unaudited</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Our condensed consolidated financial statements include SDI’s revenue and net income which were immaterial for the three and six months ended June 30, 2026 and 2025. Pro forma financial information has not been presented for the SDI acquisition as the impact to our condensed consolidated financial statements was not material.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Spartan Acquisition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June 13, 2025, we acquired 100% of the equity interests of Spartan for an approximate acquisition purchase price of $67,006, which was paid in cash at closing. Spartan specializes in providing services related to infrastructure development and investment, specifically Spartan self-performs electrical transmission construction services and provides procurement and subcontracting engineering services.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We recorded provisional amounts for certain acquired assets and liabilities as the valuations were not complete as of the acquisition date. During the three months ended June 30, 2026, we finalized the allocation of the purchase consideration to the acquired assets and liabilities and recorded adjustments of $3,600 to intangible assets and $1,142 to deferred taxes, with the corresponding $2,458 adjustment recorded to goodwill.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condensed consolidated financial statements include Spartan’s revenue and net income which were immaterial for the three and six months ended June 30, 2026 and 2025. Pro forma financial information has not been presented for the Spartan acquisition as the impact to our condensed consolidated financial statements was not material. </w:t>
      </w:r>
    </w:p>
    <w:p>
      <w:pPr>
        <w:pStyle w:val="TextBody"/>
        <w:bidi w:val="0"/>
        <w:spacing w:before="0" w:after="0"/>
        <w:jc w:val="left"/>
        <w:rPr>
          <w:spacing w:val="0"/>
        </w:rPr>
      </w:pPr>
      <w:r>
        <w:rPr>
          <w:spacing w:val="0"/>
        </w:rPr>
        <w:t> </w:t>
      </w:r>
    </w:p>
    <w:tbl>
      <w:tblPr>
        <w:tblW w:w="2800" w:type="dxa"/>
        <w:jc w:val="left"/>
        <w:tblInd w:w="0" w:type="dxa"/>
        <w:tblLayout w:type="fixed"/>
        <w:tblCellMar>
          <w:top w:w="0" w:type="dxa"/>
          <w:left w:w="0" w:type="dxa"/>
          <w:bottom w:w="0" w:type="dxa"/>
          <w:right w:w="0" w:type="dxa"/>
        </w:tblCellMar>
      </w:tblPr>
      <w:tblGrid>
        <w:gridCol w:w="425"/>
        <w:gridCol w:w="2375"/>
      </w:tblGrid>
      <w:tr>
        <w:trPr/>
        <w:tc>
          <w:tcPr>
            <w:tcW w:w="425" w:type="dxa"/>
            <w:tcBorders/>
            <w:vAlign w:val="center"/>
          </w:tcPr>
          <w:p>
            <w:pPr>
              <w:pStyle w:val="TableContents"/>
              <w:bidi w:val="0"/>
              <w:spacing w:before="0" w:after="0"/>
              <w:jc w:val="left"/>
              <w:rPr>
                <w:b/>
                <w:spacing w:val="0"/>
              </w:rPr>
            </w:pPr>
            <w:r>
              <w:rPr>
                <w:b/>
                <w:spacing w:val="0"/>
              </w:rPr>
              <w:t>(15)</w:t>
            </w:r>
          </w:p>
        </w:tc>
        <w:tc>
          <w:tcPr>
            <w:tcW w:w="23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Details of Certain Accounts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Capitalized Project Development Costs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reconciliation of capitalized project development costs is as follows: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734"/>
        <w:gridCol w:w="120"/>
        <w:gridCol w:w="226"/>
        <w:gridCol w:w="1101"/>
        <w:gridCol w:w="250"/>
        <w:gridCol w:w="193"/>
        <w:gridCol w:w="226"/>
        <w:gridCol w:w="1102"/>
        <w:gridCol w:w="155"/>
        <w:gridCol w:w="120"/>
        <w:gridCol w:w="204"/>
        <w:gridCol w:w="994"/>
        <w:gridCol w:w="225"/>
        <w:gridCol w:w="174"/>
        <w:gridCol w:w="204"/>
        <w:gridCol w:w="997"/>
        <w:gridCol w:w="180"/>
      </w:tblGrid>
      <w:tr>
        <w:trPr/>
        <w:tc>
          <w:tcPr>
            <w:tcW w:w="37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73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98" w:type="dxa"/>
            <w:gridSpan w:val="6"/>
            <w:tcBorders/>
            <w:vAlign w:val="center"/>
          </w:tcPr>
          <w:p>
            <w:pPr>
              <w:pStyle w:val="TableContents"/>
              <w:bidi w:val="0"/>
              <w:spacing w:before="0" w:after="0"/>
              <w:jc w:val="center"/>
              <w:rPr>
                <w:b/>
                <w:spacing w:val="0"/>
              </w:rPr>
            </w:pPr>
            <w:r>
              <w:rPr>
                <w:b/>
                <w:spacing w:val="0"/>
              </w:rPr>
              <w:t>Three Months Ended June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8" w:type="dxa"/>
            <w:gridSpan w:val="6"/>
            <w:tcBorders/>
            <w:vAlign w:val="center"/>
          </w:tcPr>
          <w:p>
            <w:pPr>
              <w:pStyle w:val="TableContents"/>
              <w:bidi w:val="0"/>
              <w:spacing w:before="0" w:after="0"/>
              <w:jc w:val="center"/>
              <w:rPr>
                <w:b/>
                <w:spacing w:val="0"/>
              </w:rPr>
            </w:pPr>
            <w:r>
              <w:rPr>
                <w:b/>
                <w:spacing w:val="0"/>
              </w:rPr>
              <w:t>Six Months Ended June 30,</w:t>
            </w:r>
          </w:p>
        </w:tc>
        <w:tc>
          <w:tcPr>
            <w:tcW w:w="180" w:type="dxa"/>
            <w:tcBorders/>
            <w:vAlign w:val="center"/>
          </w:tcPr>
          <w:p>
            <w:pPr>
              <w:pStyle w:val="TableContents"/>
              <w:bidi w:val="0"/>
              <w:spacing w:before="0" w:after="283"/>
              <w:jc w:val="left"/>
              <w:rPr/>
            </w:pPr>
            <w:r>
              <w:rPr/>
              <w:t> </w:t>
            </w:r>
          </w:p>
        </w:tc>
      </w:tr>
      <w:tr>
        <w:trPr/>
        <w:tc>
          <w:tcPr>
            <w:tcW w:w="373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7" w:type="dxa"/>
            <w:gridSpan w:val="2"/>
            <w:tcBorders/>
            <w:vAlign w:val="center"/>
          </w:tcPr>
          <w:p>
            <w:pPr>
              <w:pStyle w:val="TableContents"/>
              <w:bidi w:val="0"/>
              <w:spacing w:before="0" w:after="0"/>
              <w:jc w:val="center"/>
              <w:rPr>
                <w:b/>
                <w:spacing w:val="0"/>
              </w:rPr>
            </w:pPr>
            <w:r>
              <w:rPr>
                <w:b/>
                <w:spacing w:val="0"/>
              </w:rPr>
              <w:t>2026</w:t>
            </w:r>
          </w:p>
        </w:tc>
        <w:tc>
          <w:tcPr>
            <w:tcW w:w="25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8" w:type="dxa"/>
            <w:gridSpan w:val="2"/>
            <w:tcBorders/>
            <w:vAlign w:val="center"/>
          </w:tcPr>
          <w:p>
            <w:pPr>
              <w:pStyle w:val="TableContents"/>
              <w:bidi w:val="0"/>
              <w:spacing w:before="0" w:after="0"/>
              <w:jc w:val="center"/>
              <w:rPr>
                <w:b/>
                <w:spacing w:val="0"/>
              </w:rPr>
            </w:pPr>
            <w:r>
              <w:rPr>
                <w:b/>
                <w:spacing w:val="0"/>
              </w:rPr>
              <w:t>2026</w:t>
            </w:r>
          </w:p>
        </w:tc>
        <w:tc>
          <w:tcPr>
            <w:tcW w:w="22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201" w:type="dxa"/>
            <w:gridSpan w:val="2"/>
            <w:tcBorders/>
            <w:vAlign w:val="center"/>
          </w:tcPr>
          <w:p>
            <w:pPr>
              <w:pStyle w:val="TableContents"/>
              <w:bidi w:val="0"/>
              <w:spacing w:before="0" w:after="0"/>
              <w:jc w:val="center"/>
              <w:rPr>
                <w:b/>
                <w:spacing w:val="0"/>
              </w:rPr>
            </w:pPr>
            <w:r>
              <w:rPr>
                <w:b/>
                <w:spacing w:val="0"/>
              </w:rPr>
              <w:t>2025</w:t>
            </w:r>
          </w:p>
        </w:tc>
        <w:tc>
          <w:tcPr>
            <w:tcW w:w="180" w:type="dxa"/>
            <w:tcBorders/>
            <w:vAlign w:val="center"/>
          </w:tcPr>
          <w:p>
            <w:pPr>
              <w:pStyle w:val="TableContents"/>
              <w:bidi w:val="0"/>
              <w:spacing w:before="0" w:after="283"/>
              <w:jc w:val="left"/>
              <w:rPr/>
            </w:pPr>
            <w:r>
              <w:rPr/>
              <w:t> </w:t>
            </w:r>
          </w:p>
        </w:tc>
      </w:tr>
      <w:tr>
        <w:trPr/>
        <w:tc>
          <w:tcPr>
            <w:tcW w:w="373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Capitalized project development costs, at beginning of period</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01" w:type="dxa"/>
            <w:tcBorders/>
            <w:shd w:fill="CCEEFF" w:val="clear"/>
            <w:vAlign w:val="center"/>
          </w:tcPr>
          <w:p>
            <w:pPr>
              <w:pStyle w:val="TableContents"/>
              <w:bidi w:val="0"/>
              <w:spacing w:before="0" w:after="283"/>
              <w:jc w:val="right"/>
              <w:rPr/>
            </w:pPr>
            <w:r>
              <w:rPr/>
              <w:t>13,297</w:t>
            </w:r>
          </w:p>
        </w:tc>
        <w:tc>
          <w:tcPr>
            <w:tcW w:w="25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26,463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17,734</w:t>
            </w:r>
          </w:p>
        </w:tc>
        <w:tc>
          <w:tcPr>
            <w:tcW w:w="225"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25,204</w:t>
            </w:r>
          </w:p>
        </w:tc>
        <w:tc>
          <w:tcPr>
            <w:tcW w:w="180" w:type="dxa"/>
            <w:tcBorders/>
            <w:shd w:fill="CCEEFF" w:val="clear"/>
            <w:vAlign w:val="center"/>
          </w:tcPr>
          <w:p>
            <w:pPr>
              <w:pStyle w:val="TableContents"/>
              <w:bidi w:val="0"/>
              <w:spacing w:before="0" w:after="283"/>
              <w:jc w:val="left"/>
              <w:rPr/>
            </w:pPr>
            <w:r>
              <w:rPr/>
              <w:t> </w:t>
            </w:r>
          </w:p>
        </w:tc>
      </w:tr>
      <w:tr>
        <w:trPr/>
        <w:tc>
          <w:tcPr>
            <w:tcW w:w="37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Costs (refunded) capitalized during the period</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(564</w:t>
            </w:r>
          </w:p>
        </w:tc>
        <w:tc>
          <w:tcPr>
            <w:tcW w:w="25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1,514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(1,062</w:t>
            </w:r>
          </w:p>
        </w:tc>
        <w:tc>
          <w:tcPr>
            <w:tcW w:w="22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1,514</w:t>
            </w:r>
          </w:p>
        </w:tc>
        <w:tc>
          <w:tcPr>
            <w:tcW w:w="180" w:type="dxa"/>
            <w:tcBorders/>
            <w:vAlign w:val="center"/>
          </w:tcPr>
          <w:p>
            <w:pPr>
              <w:pStyle w:val="TableContents"/>
              <w:bidi w:val="0"/>
              <w:spacing w:before="0" w:after="283"/>
              <w:jc w:val="left"/>
              <w:rPr/>
            </w:pPr>
            <w:r>
              <w:rPr/>
              <w:t> </w:t>
            </w:r>
          </w:p>
        </w:tc>
      </w:tr>
      <w:tr>
        <w:trPr/>
        <w:tc>
          <w:tcPr>
            <w:tcW w:w="37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Costs expensed from sale of projects during the period</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(9,058</w:t>
            </w:r>
          </w:p>
        </w:tc>
        <w:tc>
          <w:tcPr>
            <w:tcW w:w="25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(2,942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(9,058</w:t>
            </w:r>
          </w:p>
        </w:tc>
        <w:tc>
          <w:tcPr>
            <w:tcW w:w="225"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(1,683</w:t>
            </w:r>
          </w:p>
        </w:tc>
        <w:tc>
          <w:tcPr>
            <w:tcW w:w="180" w:type="dxa"/>
            <w:tcBorders/>
            <w:shd w:fill="CCEEFF" w:val="clear"/>
            <w:vAlign w:val="center"/>
          </w:tcPr>
          <w:p>
            <w:pPr>
              <w:pStyle w:val="TableContents"/>
              <w:bidi w:val="0"/>
              <w:spacing w:before="0" w:after="283"/>
              <w:jc w:val="left"/>
              <w:rPr/>
            </w:pPr>
            <w:r>
              <w:rPr/>
              <w:t>) </w:t>
            </w:r>
          </w:p>
        </w:tc>
      </w:tr>
      <w:tr>
        <w:trPr/>
        <w:tc>
          <w:tcPr>
            <w:tcW w:w="37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Impaired costs written off during the period</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(326</w:t>
            </w:r>
          </w:p>
        </w:tc>
        <w:tc>
          <w:tcPr>
            <w:tcW w:w="25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(752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(4,265</w:t>
            </w:r>
          </w:p>
        </w:tc>
        <w:tc>
          <w:tcPr>
            <w:tcW w:w="22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(752</w:t>
            </w:r>
          </w:p>
        </w:tc>
        <w:tc>
          <w:tcPr>
            <w:tcW w:w="180" w:type="dxa"/>
            <w:tcBorders/>
            <w:vAlign w:val="center"/>
          </w:tcPr>
          <w:p>
            <w:pPr>
              <w:pStyle w:val="TableContents"/>
              <w:bidi w:val="0"/>
              <w:spacing w:before="0" w:after="283"/>
              <w:jc w:val="left"/>
              <w:rPr/>
            </w:pPr>
            <w:r>
              <w:rPr/>
              <w:t>) </w:t>
            </w:r>
          </w:p>
        </w:tc>
      </w:tr>
      <w:tr>
        <w:trPr/>
        <w:tc>
          <w:tcPr>
            <w:tcW w:w="37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5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2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0" w:type="dxa"/>
            <w:tcBorders/>
            <w:vAlign w:val="center"/>
          </w:tcPr>
          <w:p>
            <w:pPr>
              <w:pStyle w:val="TableContents"/>
              <w:bidi w:val="0"/>
              <w:spacing w:before="0" w:after="283"/>
              <w:jc w:val="left"/>
              <w:rPr/>
            </w:pPr>
            <w:r>
              <w:rPr/>
              <w:t> </w:t>
            </w:r>
          </w:p>
        </w:tc>
      </w:tr>
      <w:tr>
        <w:trPr/>
        <w:tc>
          <w:tcPr>
            <w:tcW w:w="373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Capitalized project development costs, at end of period</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01" w:type="dxa"/>
            <w:tcBorders/>
            <w:shd w:fill="CCEEFF" w:val="clear"/>
            <w:vAlign w:val="center"/>
          </w:tcPr>
          <w:p>
            <w:pPr>
              <w:pStyle w:val="TableContents"/>
              <w:bidi w:val="0"/>
              <w:spacing w:before="0" w:after="283"/>
              <w:jc w:val="right"/>
              <w:rPr/>
            </w:pPr>
            <w:r>
              <w:rPr/>
              <w:t>3,349</w:t>
            </w:r>
          </w:p>
        </w:tc>
        <w:tc>
          <w:tcPr>
            <w:tcW w:w="25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24,283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3,349</w:t>
            </w:r>
          </w:p>
        </w:tc>
        <w:tc>
          <w:tcPr>
            <w:tcW w:w="225"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24,283</w:t>
            </w:r>
          </w:p>
        </w:tc>
        <w:tc>
          <w:tcPr>
            <w:tcW w:w="180" w:type="dxa"/>
            <w:tcBorders/>
            <w:shd w:fill="CCEEFF" w:val="clear"/>
            <w:vAlign w:val="center"/>
          </w:tcPr>
          <w:p>
            <w:pPr>
              <w:pStyle w:val="TableContents"/>
              <w:bidi w:val="0"/>
              <w:spacing w:before="0" w:after="283"/>
              <w:jc w:val="left"/>
              <w:rPr/>
            </w:pPr>
            <w:r>
              <w:rPr/>
              <w:t> </w:t>
            </w:r>
          </w:p>
        </w:tc>
      </w:tr>
      <w:tr>
        <w:trPr/>
        <w:tc>
          <w:tcPr>
            <w:tcW w:w="37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5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2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Prepaids and Other Current Assets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Prepaids and other current assets consisted of the following: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28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tbl>
      <w:tblPr>
        <w:tblW w:w="6885" w:type="dxa"/>
        <w:jc w:val="left"/>
        <w:tblInd w:w="0" w:type="dxa"/>
        <w:tblLayout w:type="fixed"/>
        <w:tblCellMar>
          <w:top w:w="0" w:type="dxa"/>
          <w:left w:w="0" w:type="dxa"/>
          <w:bottom w:w="0" w:type="dxa"/>
          <w:right w:w="0" w:type="dxa"/>
        </w:tblCellMar>
      </w:tblPr>
      <w:tblGrid>
        <w:gridCol w:w="3140"/>
        <w:gridCol w:w="120"/>
        <w:gridCol w:w="210"/>
        <w:gridCol w:w="1205"/>
        <w:gridCol w:w="60"/>
        <w:gridCol w:w="120"/>
        <w:gridCol w:w="333"/>
        <w:gridCol w:w="1622"/>
        <w:gridCol w:w="75"/>
      </w:tblGrid>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June 30,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2025</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Supplier deposits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54,561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43,485</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Materials inventory</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35,829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4,594</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Non-trade</w:t>
            </w:r>
          </w:p>
          <w:p>
            <w:pPr>
              <w:pStyle w:val="TableContents"/>
              <w:bidi w:val="0"/>
              <w:spacing w:before="0" w:after="0"/>
              <w:jc w:val="left"/>
              <w:rPr>
                <w:rFonts w:ascii="Times New Roman" w:hAnsi="Times New Roman"/>
                <w:sz w:val="20"/>
              </w:rPr>
            </w:pPr>
            <w:r>
              <w:rPr>
                <w:rFonts w:ascii="Times New Roman" w:hAnsi="Times New Roman"/>
                <w:sz w:val="20"/>
              </w:rPr>
              <w:t>receivables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3,473</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insurance</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10,301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2,942</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Rebates receivable</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2,495</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6,891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3,898</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prepaids and other current assets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110,231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60,887</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net consisted of the following: </w:t>
      </w:r>
    </w:p>
    <w:p>
      <w:pPr>
        <w:pStyle w:val="TextBody"/>
        <w:bidi w:val="0"/>
        <w:spacing w:before="0" w:after="0"/>
        <w:jc w:val="left"/>
        <w:rPr>
          <w:spacing w:val="0"/>
        </w:rPr>
      </w:pPr>
      <w:r>
        <w:rPr>
          <w:spacing w:val="0"/>
        </w:rPr>
        <w:t> </w:t>
      </w:r>
    </w:p>
    <w:tbl>
      <w:tblPr>
        <w:tblW w:w="8620" w:type="dxa"/>
        <w:jc w:val="left"/>
        <w:tblInd w:w="0" w:type="dxa"/>
        <w:tblLayout w:type="fixed"/>
        <w:tblCellMar>
          <w:top w:w="0" w:type="dxa"/>
          <w:left w:w="0" w:type="dxa"/>
          <w:bottom w:w="0" w:type="dxa"/>
          <w:right w:w="0" w:type="dxa"/>
        </w:tblCellMar>
      </w:tblPr>
      <w:tblGrid>
        <w:gridCol w:w="4685"/>
        <w:gridCol w:w="120"/>
        <w:gridCol w:w="210"/>
        <w:gridCol w:w="1205"/>
        <w:gridCol w:w="155"/>
        <w:gridCol w:w="120"/>
        <w:gridCol w:w="291"/>
        <w:gridCol w:w="1664"/>
        <w:gridCol w:w="170"/>
      </w:tblGrid>
      <w:tr>
        <w:trPr/>
        <w:tc>
          <w:tcPr>
            <w:tcW w:w="4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June 30, 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2025</w:t>
            </w:r>
          </w:p>
        </w:tc>
        <w:tc>
          <w:tcPr>
            <w:tcW w:w="17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Machinery and equipment</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94,378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80,022</w:t>
            </w:r>
          </w:p>
        </w:tc>
        <w:tc>
          <w:tcPr>
            <w:tcW w:w="17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Vehicles</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4,517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4,391</w:t>
            </w:r>
          </w:p>
        </w:tc>
        <w:tc>
          <w:tcPr>
            <w:tcW w:w="17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Vehicles under finance leases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72,116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56,724</w:t>
            </w:r>
          </w:p>
        </w:tc>
        <w:tc>
          <w:tcPr>
            <w:tcW w:w="17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Furniture and fixtures</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2,848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2,845</w:t>
            </w:r>
          </w:p>
        </w:tc>
        <w:tc>
          <w:tcPr>
            <w:tcW w:w="17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15,516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15,214</w:t>
            </w:r>
          </w:p>
        </w:tc>
        <w:tc>
          <w:tcPr>
            <w:tcW w:w="17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Computer equipment</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5,679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5,305</w:t>
            </w:r>
          </w:p>
        </w:tc>
        <w:tc>
          <w:tcPr>
            <w:tcW w:w="17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Construction in progress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5,244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3,340</w:t>
            </w:r>
          </w:p>
        </w:tc>
        <w:tc>
          <w:tcPr>
            <w:tcW w:w="17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Buildings and land</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467</w:t>
            </w:r>
          </w:p>
        </w:tc>
        <w:tc>
          <w:tcPr>
            <w:tcW w:w="170"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gross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200,775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168,308</w:t>
            </w:r>
          </w:p>
        </w:tc>
        <w:tc>
          <w:tcPr>
            <w:tcW w:w="17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Accumulated depreciation</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(78,520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(61,925</w:t>
            </w:r>
          </w:p>
        </w:tc>
        <w:tc>
          <w:tcPr>
            <w:tcW w:w="170"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 of accumulated depreciation</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122,255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106,383</w:t>
            </w:r>
          </w:p>
        </w:tc>
        <w:tc>
          <w:tcPr>
            <w:tcW w:w="17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depreciation expense included in “Cost of revenue” and “Selling, general and administrative expenses”: </w:t>
      </w:r>
    </w:p>
    <w:p>
      <w:pPr>
        <w:pStyle w:val="TextBody"/>
        <w:bidi w:val="0"/>
        <w:spacing w:before="0" w:after="0"/>
        <w:jc w:val="left"/>
        <w:rPr>
          <w:spacing w:val="0"/>
        </w:rPr>
      </w:pPr>
      <w:r>
        <w:rPr>
          <w:spacing w:val="0"/>
        </w:rPr>
        <w:t> </w:t>
      </w:r>
    </w:p>
    <w:tbl>
      <w:tblPr>
        <w:tblW w:w="7537" w:type="dxa"/>
        <w:jc w:val="left"/>
        <w:tblInd w:w="0" w:type="dxa"/>
        <w:tblLayout w:type="fixed"/>
        <w:tblCellMar>
          <w:top w:w="0" w:type="dxa"/>
          <w:left w:w="0" w:type="dxa"/>
          <w:bottom w:w="0" w:type="dxa"/>
          <w:right w:w="0" w:type="dxa"/>
        </w:tblCellMar>
      </w:tblPr>
      <w:tblGrid>
        <w:gridCol w:w="3650"/>
        <w:gridCol w:w="120"/>
        <w:gridCol w:w="142"/>
        <w:gridCol w:w="570"/>
        <w:gridCol w:w="61"/>
        <w:gridCol w:w="122"/>
        <w:gridCol w:w="142"/>
        <w:gridCol w:w="570"/>
        <w:gridCol w:w="60"/>
        <w:gridCol w:w="120"/>
        <w:gridCol w:w="146"/>
        <w:gridCol w:w="713"/>
        <w:gridCol w:w="62"/>
        <w:gridCol w:w="125"/>
        <w:gridCol w:w="146"/>
        <w:gridCol w:w="713"/>
        <w:gridCol w:w="75"/>
      </w:tblGrid>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7" w:type="dxa"/>
            <w:gridSpan w:val="6"/>
            <w:tcBorders/>
            <w:vAlign w:val="center"/>
          </w:tcPr>
          <w:p>
            <w:pPr>
              <w:pStyle w:val="TableContents"/>
              <w:bidi w:val="0"/>
              <w:spacing w:before="0" w:after="0"/>
              <w:jc w:val="center"/>
              <w:rPr>
                <w:b/>
                <w:spacing w:val="0"/>
              </w:rPr>
            </w:pPr>
            <w:r>
              <w:rPr>
                <w:b/>
                <w:spacing w:val="0"/>
              </w:rPr>
              <w:t>Three Months</w:t>
              <w:br/>
              <w:t>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5" w:type="dxa"/>
            <w:gridSpan w:val="6"/>
            <w:tcBorders/>
            <w:vAlign w:val="center"/>
          </w:tcPr>
          <w:p>
            <w:pPr>
              <w:pStyle w:val="TableContents"/>
              <w:bidi w:val="0"/>
              <w:spacing w:before="0" w:after="0"/>
              <w:jc w:val="center"/>
              <w:rPr>
                <w:b/>
                <w:spacing w:val="0"/>
              </w:rPr>
            </w:pPr>
            <w:r>
              <w:rPr>
                <w:b/>
                <w:spacing w:val="0"/>
              </w:rPr>
              <w:t>Six Months Ended</w:t>
              <w:br/>
              <w:t>June 30,</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2" w:type="dxa"/>
            <w:gridSpan w:val="2"/>
            <w:tcBorders/>
            <w:vAlign w:val="center"/>
          </w:tcPr>
          <w:p>
            <w:pPr>
              <w:pStyle w:val="TableContents"/>
              <w:bidi w:val="0"/>
              <w:spacing w:before="0" w:after="0"/>
              <w:jc w:val="center"/>
              <w:rPr>
                <w:b/>
                <w:spacing w:val="0"/>
              </w:rPr>
            </w:pPr>
            <w:r>
              <w:rPr>
                <w:b/>
                <w:spacing w:val="0"/>
              </w:rPr>
              <w:t>2026</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712"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0"/>
              <w:jc w:val="center"/>
              <w:rPr>
                <w:b/>
                <w:spacing w:val="0"/>
              </w:rPr>
            </w:pPr>
            <w:r>
              <w:rPr>
                <w:b/>
                <w:spacing w:val="0"/>
              </w:rPr>
              <w:t>2026</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revenue</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70" w:type="dxa"/>
            <w:tcBorders/>
            <w:shd w:fill="CCEEFF" w:val="clear"/>
            <w:vAlign w:val="center"/>
          </w:tcPr>
          <w:p>
            <w:pPr>
              <w:pStyle w:val="TableContents"/>
              <w:bidi w:val="0"/>
              <w:spacing w:before="0" w:after="283"/>
              <w:jc w:val="right"/>
              <w:rPr/>
            </w:pPr>
            <w:r>
              <w:rPr/>
              <w:t>8,512</w:t>
            </w:r>
          </w:p>
        </w:tc>
        <w:tc>
          <w:tcPr>
            <w:tcW w:w="61"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70" w:type="dxa"/>
            <w:tcBorders/>
            <w:shd w:fill="CCEEFF" w:val="clear"/>
            <w:vAlign w:val="center"/>
          </w:tcPr>
          <w:p>
            <w:pPr>
              <w:pStyle w:val="TableContents"/>
              <w:bidi w:val="0"/>
              <w:spacing w:before="0" w:after="283"/>
              <w:jc w:val="right"/>
              <w:rPr/>
            </w:pPr>
            <w:r>
              <w:rPr/>
              <w:t>6,128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16,407</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10,395</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pPr>
            <w:r>
              <w:rPr/>
              <w:t>966</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pPr>
            <w:r>
              <w:rPr/>
              <w:t>295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1,922</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1,832</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depreciation expense</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70" w:type="dxa"/>
            <w:tcBorders/>
            <w:shd w:fill="CCEEFF" w:val="clear"/>
            <w:vAlign w:val="center"/>
          </w:tcPr>
          <w:p>
            <w:pPr>
              <w:pStyle w:val="TableContents"/>
              <w:bidi w:val="0"/>
              <w:spacing w:before="0" w:after="283"/>
              <w:jc w:val="right"/>
              <w:rPr/>
            </w:pPr>
            <w:r>
              <w:rPr/>
              <w:t>9,478</w:t>
            </w:r>
          </w:p>
        </w:tc>
        <w:tc>
          <w:tcPr>
            <w:tcW w:w="61"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70" w:type="dxa"/>
            <w:tcBorders/>
            <w:shd w:fill="CCEEFF" w:val="clear"/>
            <w:vAlign w:val="center"/>
          </w:tcPr>
          <w:p>
            <w:pPr>
              <w:pStyle w:val="TableContents"/>
              <w:bidi w:val="0"/>
              <w:spacing w:before="0" w:after="283"/>
              <w:jc w:val="right"/>
              <w:rPr/>
            </w:pPr>
            <w:r>
              <w:rPr/>
              <w:t>6,423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18,329</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12,227</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29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Accounts Payable and Accrued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Accounts payable and accrued expenses consisted of the following: </w:t>
      </w:r>
    </w:p>
    <w:p>
      <w:pPr>
        <w:pStyle w:val="TextBody"/>
        <w:bidi w:val="0"/>
        <w:spacing w:before="0" w:after="0"/>
        <w:jc w:val="left"/>
        <w:rPr>
          <w:spacing w:val="0"/>
        </w:rPr>
      </w:pPr>
      <w:r>
        <w:rPr>
          <w:spacing w:val="0"/>
        </w:rPr>
        <w:t> </w:t>
      </w:r>
    </w:p>
    <w:tbl>
      <w:tblPr>
        <w:tblW w:w="7470" w:type="dxa"/>
        <w:jc w:val="left"/>
        <w:tblInd w:w="0" w:type="dxa"/>
        <w:tblLayout w:type="fixed"/>
        <w:tblCellMar>
          <w:top w:w="0" w:type="dxa"/>
          <w:left w:w="0" w:type="dxa"/>
          <w:bottom w:w="0" w:type="dxa"/>
          <w:right w:w="0" w:type="dxa"/>
        </w:tblCellMar>
      </w:tblPr>
      <w:tblGrid>
        <w:gridCol w:w="3725"/>
        <w:gridCol w:w="120"/>
        <w:gridCol w:w="210"/>
        <w:gridCol w:w="1205"/>
        <w:gridCol w:w="60"/>
        <w:gridCol w:w="120"/>
        <w:gridCol w:w="291"/>
        <w:gridCol w:w="1664"/>
        <w:gridCol w:w="75"/>
      </w:tblGrid>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June 30,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2025</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Vendor payables and accrued purchases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523,157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422,853</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compensation and benefits</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76,836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73,330</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Unit Appreciation Plan liability</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44,747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32,854</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Indirect taxes payable</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24,092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11,905</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professional services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5,884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8,580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warranty</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5,759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4,278</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acquisition consideration</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5,500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interest</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2,918</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accounts payable and accrued expenses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680,475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562,218</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Long-Term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Other long-term liabilities consisted of the following: </w:t>
      </w:r>
    </w:p>
    <w:p>
      <w:pPr>
        <w:pStyle w:val="TextBody"/>
        <w:bidi w:val="0"/>
        <w:spacing w:before="0" w:after="0"/>
        <w:jc w:val="left"/>
        <w:rPr>
          <w:spacing w:val="0"/>
        </w:rPr>
      </w:pPr>
      <w:r>
        <w:rPr>
          <w:spacing w:val="0"/>
        </w:rPr>
        <w:t> </w:t>
      </w:r>
    </w:p>
    <w:tbl>
      <w:tblPr>
        <w:tblW w:w="6360" w:type="dxa"/>
        <w:jc w:val="left"/>
        <w:tblInd w:w="0" w:type="dxa"/>
        <w:tblLayout w:type="fixed"/>
        <w:tblCellMar>
          <w:top w:w="0" w:type="dxa"/>
          <w:left w:w="0" w:type="dxa"/>
          <w:bottom w:w="0" w:type="dxa"/>
          <w:right w:w="0" w:type="dxa"/>
        </w:tblCellMar>
      </w:tblPr>
      <w:tblGrid>
        <w:gridCol w:w="2615"/>
        <w:gridCol w:w="120"/>
        <w:gridCol w:w="241"/>
        <w:gridCol w:w="1174"/>
        <w:gridCol w:w="60"/>
        <w:gridCol w:w="120"/>
        <w:gridCol w:w="333"/>
        <w:gridCol w:w="1622"/>
        <w:gridCol w:w="7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June 30,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2025</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Warranty reserves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8,119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6,300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liability</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6,150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5,339</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compensation liability</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5,343</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revenue</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1,215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1,362</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long-term liabilities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15,484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18,344</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2065" w:type="dxa"/>
        <w:jc w:val="left"/>
        <w:tblInd w:w="0" w:type="dxa"/>
        <w:tblLayout w:type="fixed"/>
        <w:tblCellMar>
          <w:top w:w="0" w:type="dxa"/>
          <w:left w:w="0" w:type="dxa"/>
          <w:bottom w:w="0" w:type="dxa"/>
          <w:right w:w="0" w:type="dxa"/>
        </w:tblCellMar>
      </w:tblPr>
      <w:tblGrid>
        <w:gridCol w:w="425"/>
        <w:gridCol w:w="1640"/>
      </w:tblGrid>
      <w:tr>
        <w:trPr/>
        <w:tc>
          <w:tcPr>
            <w:tcW w:w="425" w:type="dxa"/>
            <w:tcBorders/>
            <w:vAlign w:val="center"/>
          </w:tcPr>
          <w:p>
            <w:pPr>
              <w:pStyle w:val="TableContents"/>
              <w:bidi w:val="0"/>
              <w:spacing w:before="0" w:after="0"/>
              <w:jc w:val="left"/>
              <w:rPr>
                <w:b/>
                <w:spacing w:val="0"/>
              </w:rPr>
            </w:pPr>
            <w:r>
              <w:rPr>
                <w:b/>
                <w:spacing w:val="0"/>
              </w:rPr>
              <w:t>(16)</w:t>
            </w:r>
          </w:p>
        </w:tc>
        <w:tc>
          <w:tcPr>
            <w:tcW w:w="164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Subsequent Events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Acquisition of Roberson Waite Electric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On July 1, 2026, we completed the previously-announced acquisition of 100% of the ownership interest in Roberson Waite Electric (“Roberson Waite”) for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w:t>
      </w:r>
    </w:p>
    <w:p>
      <w:pPr>
        <w:pStyle w:val="TextBody"/>
        <w:bidi w:val="0"/>
        <w:spacing w:before="120" w:after="0"/>
        <w:jc w:val="left"/>
        <w:rPr>
          <w:rFonts w:ascii="Times New Roman" w:hAnsi="Times New Roman"/>
          <w:sz w:val="20"/>
        </w:rPr>
      </w:pPr>
      <w:r>
        <w:rPr>
          <w:rFonts w:ascii="Times New Roman" w:hAnsi="Times New Roman"/>
          <w:sz w:val="20"/>
        </w:rPr>
        <w:t>40,865</w:t>
      </w:r>
    </w:p>
    <w:p>
      <w:pPr>
        <w:pStyle w:val="TextBody"/>
        <w:bidi w:val="0"/>
        <w:spacing w:before="120" w:after="0"/>
        <w:jc w:val="left"/>
        <w:rPr>
          <w:rFonts w:ascii="Times New Roman" w:hAnsi="Times New Roman"/>
          <w:spacing w:val="0"/>
          <w:sz w:val="20"/>
        </w:rPr>
      </w:pPr>
      <w:r>
        <w:rPr>
          <w:rFonts w:ascii="Times New Roman" w:hAnsi="Times New Roman"/>
          <w:spacing w:val="0"/>
          <w:sz w:val="20"/>
        </w:rPr>
        <w:t>in cash at closing, subject to customary post-closing adjustments, and up to $</w:t>
      </w:r>
    </w:p>
    <w:p>
      <w:pPr>
        <w:pStyle w:val="TextBody"/>
        <w:bidi w:val="0"/>
        <w:spacing w:before="120" w:after="0"/>
        <w:jc w:val="left"/>
        <w:rPr>
          <w:rFonts w:ascii="Times New Roman" w:hAnsi="Times New Roman"/>
          <w:sz w:val="20"/>
        </w:rPr>
      </w:pPr>
      <w:r>
        <w:rPr>
          <w:rFonts w:ascii="Times New Roman" w:hAnsi="Times New Roman"/>
          <w:sz w:val="20"/>
        </w:rPr>
        <w:t>9,000</w:t>
      </w:r>
    </w:p>
    <w:p>
      <w:pPr>
        <w:pStyle w:val="TextBody"/>
        <w:bidi w:val="0"/>
        <w:spacing w:before="120" w:after="0"/>
        <w:jc w:val="left"/>
        <w:rPr>
          <w:rFonts w:ascii="Times New Roman" w:hAnsi="Times New Roman"/>
          <w:spacing w:val="0"/>
          <w:sz w:val="20"/>
        </w:rPr>
      </w:pPr>
      <w:r>
        <w:rPr>
          <w:rFonts w:ascii="Times New Roman" w:hAnsi="Times New Roman"/>
          <w:spacing w:val="0"/>
          <w:sz w:val="20"/>
        </w:rPr>
        <w:t>payable in subsequent years, subject to certain performance criteria. Roberson Waite is a California-based provider of utility substation construction, testing, commissioning, and related infrastructure services</w:t>
      </w:r>
    </w:p>
    <w:p>
      <w:pPr>
        <w:pStyle w:val="TextBody"/>
        <w:bidi w:val="0"/>
        <w:spacing w:before="120" w:after="0"/>
        <w:jc w:val="left"/>
        <w:rPr>
          <w:rFonts w:ascii="Times New Roman" w:hAnsi="Times New Roman"/>
          <w:spacing w:val="0"/>
          <w:sz w:val="20"/>
        </w:rPr>
      </w:pPr>
      <w:r>
        <w:rPr>
          <w:rFonts w:ascii="Times New Roman" w:hAnsi="Times New Roman"/>
          <w:spacing w:val="0"/>
          <w:sz w:val="20"/>
        </w:rPr>
        <w:t>.</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30 </w:t>
      </w:r>
    </w:p>
    <w:p>
      <w:pPr>
        <w:pStyle w:val="HorizontalLine"/>
        <w:pBdr>
          <w:bottom w:val="double" w:sz="2" w:space="0" w:color="808080"/>
        </w:pBdr>
        <w:bidi w:val="0"/>
        <w:spacing w:before="0" w:after="283"/>
        <w:jc w:val="left"/>
        <w:rPr/>
      </w:pPr>
      <w:r>
        <w:rPr/>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 w:name="toc152940_12"/>
      <w:bookmarkEnd w:id="7"/>
      <w:r>
        <w:rPr>
          <w:rFonts w:ascii="Times New Roman" w:hAnsi="Times New Roman"/>
          <w:b/>
          <w:sz w:val="20"/>
        </w:rPr>
        <w:t xml:space="preserve">ITEM 2. MANAGEMENT’S DISCUSSION AND ANALYSIS OF FINANCIAL CONDITION AND RESULTS OF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is a discussion and analysis of our financial condition and results of operations for the three and six months ended June 30, 2026, and should be read in conjunction with our unaudited consolidated financial statements and notes thereto included elsewhere in this Quarterly Report. This discussion and analysis contains forward-looking statements, including statements regarding industry outlook, our expectations for the future of our business and our liquidity and capital resources as well as other non-historical statements. These statements are based on current expectations and are subject to numerous risks and uncertainties, including but not limited to the risks and uncertainties described in this Quarterly Report, including the “Cautionary Note Regarding Forward-Looking Statements,” and “Item 1A. Risk Factors” in our Annual Report on Form 10-K for the year ended December 31, 2025. Our actual results may differ materially from those contained in or implied by these forward-looking statements. We disclaim any obligation to update any forward-looking statements to reflect events or circumstances after the date of such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leading provider of infrastructure services to the power industry, including engineering, procurement, construction, testing, commissioning, operations, maintenance and repowering. We specialize in designing, building and maintaining utility-scale solar and battery storage projects and related T&amp;D infrastructure. Our customers include project developers, independent power producers and utilities. Our new construction projects are typically executed over 12 to 18 months pursuant to LNTP agreements followed by a lump-sum EPC contract. We provide O&amp;M services pursuant to long-term contracts that typically obligate the customer to pay us a fixed fee for operations and routine preventative maintenance and additional fees for corrective maintenance on a time and materials basis.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results of operations discussed in this Quarterly Report are those of Holdings prior to the completion of the Transactions, including the IPO. As a result, the historical consolidated financial data may not give you an accurate indication of what our actual results would have been if the Transactions had been completed at the beginning of the periods presented or of what our future results of operations are likely to be. See “The Transactions” in our Annual Report on Form 10-K for the year ended December 31, 2025 and this Form 10-Q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Secondary Offering </w:t>
      </w:r>
    </w:p>
    <w:p>
      <w:pPr>
        <w:pStyle w:val="TextBody"/>
        <w:bidi w:val="0"/>
        <w:spacing w:before="120" w:after="0"/>
        <w:jc w:val="left"/>
        <w:rPr>
          <w:rFonts w:ascii="Times New Roman" w:hAnsi="Times New Roman"/>
          <w:sz w:val="20"/>
        </w:rPr>
      </w:pPr>
      <w:r>
        <w:rPr>
          <w:rFonts w:ascii="Times New Roman" w:hAnsi="Times New Roman"/>
          <w:sz w:val="20"/>
        </w:rPr>
        <w:t xml:space="preserve">On June 1, 2026, we completed a public secondary offering of 7,698,410 shares of our Class A common stock by affiliates of American Securities (the “selling stockholders”) and 7,301,590 shares of our Class A common stock by us at an offering price of $36.00 per share. We and the selling stockholders granted the underwriters, a 30-day option period to purchase up to an additional 2,250,000 shares of our Class A common stock. On June 4, 2026, the underwriters exercised their overallotment option in full to purchase the additional shares of our Class A common stock. We used all of the net proceeds from the offering paid to us to purchase LLC Interests from the Continuing Equity Owners, including our Sponsor, directors and, indirectly through the purchase of LLC Interests from Management Holdings, our executive officers at a price per LLC Interest equal to the public offering price of our Class A common stock less the underwriting discounts and commissions. We did not receive any proceeds from the sale of our Class A common stock by the selling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Factors Affecting Our Performance </w:t>
      </w:r>
    </w:p>
    <w:p>
      <w:pPr>
        <w:pStyle w:val="TextBody"/>
        <w:bidi w:val="0"/>
        <w:spacing w:before="120" w:after="0"/>
        <w:jc w:val="left"/>
        <w:rPr>
          <w:rFonts w:ascii="Times New Roman" w:hAnsi="Times New Roman"/>
          <w:sz w:val="20"/>
        </w:rPr>
      </w:pPr>
      <w:r>
        <w:rPr>
          <w:rFonts w:ascii="Times New Roman" w:hAnsi="Times New Roman"/>
          <w:sz w:val="20"/>
        </w:rPr>
        <w:t>Our revenues, profit, margins and other results of operations can be influenced by a variety of factors in any given period, including those described under the section entitled “Risk Factors” included elsewhere in this Quarterly Report and in our Annual Report on Form 10-K for the year ended December 31, 2025, and those factors have caused fluctuations in our results in the past and are expected to cause fluctuations in our results of operations in the future. For additional information, see “</w:t>
      </w:r>
      <w:r>
        <w:rPr>
          <w:rFonts w:ascii="Times New Roman" w:hAnsi="Times New Roman"/>
          <w:i/>
          <w:sz w:val="20"/>
        </w:rPr>
        <w:t xml:space="preserve">Part II, Item 7. Management’s Discussion and Analysis of Financial Condition and Results of Operations -Key Factors Affecting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Performance”</w:t>
      </w:r>
      <w:r>
        <w:rPr>
          <w:rFonts w:ascii="Times New Roman" w:hAnsi="Times New Roman"/>
          <w:sz w:val="20"/>
        </w:rPr>
        <w:t xml:space="preserve"> included in our Annual Report on Form 10-K for the year ended December 31, 2025. There have been no material changes to the factors since our Annual Report.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our financial highlights for the periods indicated: </w:t>
      </w:r>
    </w:p>
    <w:p>
      <w:pPr>
        <w:pStyle w:val="TextBody"/>
        <w:bidi w:val="0"/>
        <w:spacing w:before="0" w:after="0"/>
        <w:jc w:val="left"/>
        <w:rPr/>
      </w:pPr>
      <w:r>
        <w:rPr/>
        <w:t> </w:t>
      </w:r>
    </w:p>
    <w:tbl>
      <w:tblPr>
        <w:tblW w:w="6660" w:type="dxa"/>
        <w:jc w:val="left"/>
        <w:tblInd w:w="0" w:type="dxa"/>
        <w:tblLayout w:type="fixed"/>
        <w:tblCellMar>
          <w:top w:w="0" w:type="dxa"/>
          <w:left w:w="0" w:type="dxa"/>
          <w:bottom w:w="0" w:type="dxa"/>
          <w:right w:w="0" w:type="dxa"/>
        </w:tblCellMar>
      </w:tblPr>
      <w:tblGrid>
        <w:gridCol w:w="1835"/>
        <w:gridCol w:w="120"/>
        <w:gridCol w:w="150"/>
        <w:gridCol w:w="858"/>
        <w:gridCol w:w="64"/>
        <w:gridCol w:w="128"/>
        <w:gridCol w:w="150"/>
        <w:gridCol w:w="860"/>
        <w:gridCol w:w="60"/>
        <w:gridCol w:w="120"/>
        <w:gridCol w:w="140"/>
        <w:gridCol w:w="980"/>
        <w:gridCol w:w="60"/>
        <w:gridCol w:w="120"/>
        <w:gridCol w:w="140"/>
        <w:gridCol w:w="800"/>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(dollars in thousands)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28"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58" w:type="dxa"/>
            <w:tcBorders/>
            <w:vAlign w:val="center"/>
          </w:tcPr>
          <w:p>
            <w:pPr>
              <w:pStyle w:val="TableContents"/>
              <w:bidi w:val="0"/>
              <w:spacing w:before="0" w:after="283"/>
              <w:jc w:val="right"/>
              <w:rPr/>
            </w:pPr>
            <w:r>
              <w:rPr/>
              <w:t>951,243</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535,952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1,628,048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943,799</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139,613</w:t>
            </w:r>
          </w:p>
        </w:tc>
        <w:tc>
          <w:tcPr>
            <w:tcW w:w="6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113,061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258,686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172,160</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66,833</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44,632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39,419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44,130</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EBITDA(1)</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98,974</w:t>
            </w:r>
          </w:p>
        </w:tc>
        <w:tc>
          <w:tcPr>
            <w:tcW w:w="6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78,349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104,903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107,100</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EBITDA(1)</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117,480</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86,291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209,996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120,320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are non-GAAP financial measures. See “Key Performance Indicators and Non-GAAP Financial Measures” below for our definition of, and additional information about, EBITDA and Adjusted EBITDA, and for a reconciliation to net income, the most directly comparable U.S. GAAP financial measure.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Revenue disaggregated by job type </w:t>
      </w:r>
    </w:p>
    <w:p>
      <w:pPr>
        <w:pStyle w:val="TextBody"/>
        <w:bidi w:val="0"/>
        <w:spacing w:before="0" w:after="0"/>
        <w:jc w:val="left"/>
        <w:rPr/>
      </w:pPr>
      <w:r>
        <w:rPr/>
        <w:t> </w:t>
      </w:r>
    </w:p>
    <w:tbl>
      <w:tblPr>
        <w:tblW w:w="6898" w:type="dxa"/>
        <w:jc w:val="left"/>
        <w:tblInd w:w="0" w:type="dxa"/>
        <w:tblLayout w:type="fixed"/>
        <w:tblCellMar>
          <w:top w:w="0" w:type="dxa"/>
          <w:left w:w="0" w:type="dxa"/>
          <w:bottom w:w="0" w:type="dxa"/>
          <w:right w:w="0" w:type="dxa"/>
        </w:tblCellMar>
      </w:tblPr>
      <w:tblGrid>
        <w:gridCol w:w="2075"/>
        <w:gridCol w:w="120"/>
        <w:gridCol w:w="150"/>
        <w:gridCol w:w="858"/>
        <w:gridCol w:w="64"/>
        <w:gridCol w:w="128"/>
        <w:gridCol w:w="150"/>
        <w:gridCol w:w="858"/>
        <w:gridCol w:w="60"/>
        <w:gridCol w:w="120"/>
        <w:gridCol w:w="140"/>
        <w:gridCol w:w="980"/>
        <w:gridCol w:w="60"/>
        <w:gridCol w:w="120"/>
        <w:gridCol w:w="140"/>
        <w:gridCol w:w="800"/>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0"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(dollars in thousands)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28"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New construction(1)</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58" w:type="dxa"/>
            <w:tcBorders/>
            <w:vAlign w:val="center"/>
          </w:tcPr>
          <w:p>
            <w:pPr>
              <w:pStyle w:val="TableContents"/>
              <w:bidi w:val="0"/>
              <w:spacing w:before="0" w:after="283"/>
              <w:jc w:val="right"/>
              <w:rPr/>
            </w:pPr>
            <w:r>
              <w:rPr/>
              <w:t>913,122</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58" w:type="dxa"/>
            <w:tcBorders/>
            <w:vAlign w:val="center"/>
          </w:tcPr>
          <w:p>
            <w:pPr>
              <w:pStyle w:val="TableContents"/>
              <w:bidi w:val="0"/>
              <w:spacing w:before="0" w:after="283"/>
              <w:jc w:val="right"/>
              <w:rPr/>
            </w:pPr>
            <w:r>
              <w:rPr/>
              <w:t>486,155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1,563,855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863,316</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Existing infrastructure(2)</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27,970</w:t>
            </w:r>
          </w:p>
        </w:tc>
        <w:tc>
          <w:tcPr>
            <w:tcW w:w="6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36,401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52,934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62,909</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Other(3)</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10,151</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13,396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11,259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17,574</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858" w:type="dxa"/>
            <w:tcBorders/>
            <w:vAlign w:val="center"/>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85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58" w:type="dxa"/>
            <w:tcBorders/>
            <w:shd w:fill="CCEEFF" w:val="clear"/>
            <w:vAlign w:val="center"/>
          </w:tcPr>
          <w:p>
            <w:pPr>
              <w:pStyle w:val="TableContents"/>
              <w:bidi w:val="0"/>
              <w:spacing w:before="0" w:after="283"/>
              <w:jc w:val="right"/>
              <w:rPr/>
            </w:pPr>
            <w:r>
              <w:rPr/>
              <w:t>951,243</w:t>
            </w:r>
          </w:p>
        </w:tc>
        <w:tc>
          <w:tcPr>
            <w:tcW w:w="6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58" w:type="dxa"/>
            <w:tcBorders/>
            <w:shd w:fill="CCEEFF" w:val="clear"/>
            <w:vAlign w:val="center"/>
          </w:tcPr>
          <w:p>
            <w:pPr>
              <w:pStyle w:val="TableContents"/>
              <w:bidi w:val="0"/>
              <w:spacing w:before="0" w:after="283"/>
              <w:jc w:val="right"/>
              <w:rPr/>
            </w:pPr>
            <w:r>
              <w:rPr/>
              <w:t>535,952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1,628,048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943,799</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double" w:sz="6" w:space="1" w:color="000000"/>
              </w:pBdr>
              <w:bidi w:val="0"/>
              <w:spacing w:before="0" w:after="0"/>
              <w:jc w:val="left"/>
              <w:rPr/>
            </w:pPr>
            <w:r>
              <w:rPr/>
              <w:t> </w:t>
            </w:r>
          </w:p>
        </w:tc>
        <w:tc>
          <w:tcPr>
            <w:tcW w:w="858" w:type="dxa"/>
            <w:tcBorders/>
            <w:vAlign w:val="center"/>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double" w:sz="6" w:space="1" w:color="000000"/>
              </w:pBdr>
              <w:bidi w:val="0"/>
              <w:spacing w:before="0" w:after="0"/>
              <w:jc w:val="left"/>
              <w:rPr/>
            </w:pPr>
            <w:r>
              <w:rPr/>
              <w:t> </w:t>
            </w:r>
          </w:p>
        </w:tc>
        <w:tc>
          <w:tcPr>
            <w:tcW w:w="85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 for jobs involving the construction of a new solar, battery storage, T&amp;D or other projects pursuant to EPC contracts or LNTP agreements.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 from jobs involving maintaining, upgrading, repowering, or repairing existing solar, battery storage, T&amp;D or other projects pursuant to commercial agreements.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(3)</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development fees from the sale of projects we developed and sold to third parties and SDI small and large diameter drilling projects.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New construction revenue by project type </w:t>
      </w:r>
    </w:p>
    <w:p>
      <w:pPr>
        <w:pStyle w:val="TextBody"/>
        <w:bidi w:val="0"/>
        <w:spacing w:before="0" w:after="0"/>
        <w:jc w:val="left"/>
        <w:rPr/>
      </w:pPr>
      <w:r>
        <w:rPr/>
        <w:t> </w:t>
      </w:r>
    </w:p>
    <w:tbl>
      <w:tblPr>
        <w:tblW w:w="7873" w:type="dxa"/>
        <w:jc w:val="left"/>
        <w:tblInd w:w="0" w:type="dxa"/>
        <w:tblLayout w:type="fixed"/>
        <w:tblCellMar>
          <w:top w:w="0" w:type="dxa"/>
          <w:left w:w="0" w:type="dxa"/>
          <w:bottom w:w="0" w:type="dxa"/>
          <w:right w:w="0" w:type="dxa"/>
        </w:tblCellMar>
      </w:tblPr>
      <w:tblGrid>
        <w:gridCol w:w="3050"/>
        <w:gridCol w:w="120"/>
        <w:gridCol w:w="150"/>
        <w:gridCol w:w="858"/>
        <w:gridCol w:w="64"/>
        <w:gridCol w:w="128"/>
        <w:gridCol w:w="150"/>
        <w:gridCol w:w="858"/>
        <w:gridCol w:w="60"/>
        <w:gridCol w:w="120"/>
        <w:gridCol w:w="140"/>
        <w:gridCol w:w="980"/>
        <w:gridCol w:w="60"/>
        <w:gridCol w:w="120"/>
        <w:gridCol w:w="140"/>
        <w:gridCol w:w="800"/>
        <w:gridCol w:w="75"/>
      </w:tblGrid>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0"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(dollars in thousands)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28"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Solar PV / Solar PV + Battery Storage</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58" w:type="dxa"/>
            <w:tcBorders/>
            <w:vAlign w:val="center"/>
          </w:tcPr>
          <w:p>
            <w:pPr>
              <w:pStyle w:val="TableContents"/>
              <w:bidi w:val="0"/>
              <w:spacing w:before="0" w:after="283"/>
              <w:jc w:val="right"/>
              <w:rPr/>
            </w:pPr>
            <w:r>
              <w:rPr/>
              <w:t>851,945</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58" w:type="dxa"/>
            <w:tcBorders/>
            <w:vAlign w:val="center"/>
          </w:tcPr>
          <w:p>
            <w:pPr>
              <w:pStyle w:val="TableContents"/>
              <w:bidi w:val="0"/>
              <w:spacing w:before="0" w:after="283"/>
              <w:jc w:val="right"/>
              <w:rPr/>
            </w:pPr>
            <w:r>
              <w:rPr/>
              <w:t>437,050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1,429,282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787,216</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Standalone Battery Storage</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20,569</w:t>
            </w:r>
          </w:p>
        </w:tc>
        <w:tc>
          <w:tcPr>
            <w:tcW w:w="6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30,272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43,640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39,814</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T&amp;D</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40,608</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18,833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90,933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36,286</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858" w:type="dxa"/>
            <w:tcBorders/>
            <w:vAlign w:val="center"/>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85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58" w:type="dxa"/>
            <w:tcBorders/>
            <w:shd w:fill="CCEEFF" w:val="clear"/>
            <w:vAlign w:val="center"/>
          </w:tcPr>
          <w:p>
            <w:pPr>
              <w:pStyle w:val="TableContents"/>
              <w:bidi w:val="0"/>
              <w:spacing w:before="0" w:after="283"/>
              <w:jc w:val="right"/>
              <w:rPr/>
            </w:pPr>
            <w:r>
              <w:rPr/>
              <w:t>913,122</w:t>
            </w:r>
          </w:p>
        </w:tc>
        <w:tc>
          <w:tcPr>
            <w:tcW w:w="6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58" w:type="dxa"/>
            <w:tcBorders/>
            <w:shd w:fill="CCEEFF" w:val="clear"/>
            <w:vAlign w:val="center"/>
          </w:tcPr>
          <w:p>
            <w:pPr>
              <w:pStyle w:val="TableContents"/>
              <w:bidi w:val="0"/>
              <w:spacing w:before="0" w:after="283"/>
              <w:jc w:val="right"/>
              <w:rPr/>
            </w:pPr>
            <w:r>
              <w:rPr/>
              <w:t>486,155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1,563,855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863,316</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double" w:sz="6" w:space="1" w:color="000000"/>
              </w:pBdr>
              <w:bidi w:val="0"/>
              <w:spacing w:before="0" w:after="0"/>
              <w:jc w:val="left"/>
              <w:rPr/>
            </w:pPr>
            <w:r>
              <w:rPr/>
              <w:t> </w:t>
            </w:r>
          </w:p>
        </w:tc>
        <w:tc>
          <w:tcPr>
            <w:tcW w:w="858" w:type="dxa"/>
            <w:tcBorders/>
            <w:vAlign w:val="center"/>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double" w:sz="6" w:space="1" w:color="000000"/>
              </w:pBdr>
              <w:bidi w:val="0"/>
              <w:spacing w:before="0" w:after="0"/>
              <w:jc w:val="left"/>
              <w:rPr/>
            </w:pPr>
            <w:r>
              <w:rPr/>
              <w:t> </w:t>
            </w:r>
          </w:p>
        </w:tc>
        <w:tc>
          <w:tcPr>
            <w:tcW w:w="85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Backlog </w:t>
      </w:r>
    </w:p>
    <w:p>
      <w:pPr>
        <w:pStyle w:val="TextBody"/>
        <w:bidi w:val="0"/>
        <w:spacing w:before="120" w:after="0"/>
        <w:jc w:val="left"/>
        <w:rPr>
          <w:rFonts w:ascii="Times New Roman" w:hAnsi="Times New Roman"/>
          <w:sz w:val="20"/>
        </w:rPr>
      </w:pPr>
      <w:r>
        <w:rPr>
          <w:rFonts w:ascii="Times New Roman" w:hAnsi="Times New Roman"/>
          <w:sz w:val="20"/>
        </w:rPr>
        <w:t xml:space="preserve">For infrastructure services providers, backlog can be an indicator of future revenue. As of June 30, 2026 our Total Backlog was $8,860 million, which includes all Signed Backlog, Awarded Backlog, and Estimated Corrective Maintenance Backlog. </w:t>
      </w:r>
    </w:p>
    <w:p>
      <w:pPr>
        <w:pStyle w:val="TextBody"/>
        <w:bidi w:val="0"/>
        <w:spacing w:before="240" w:after="0"/>
        <w:jc w:val="left"/>
        <w:rPr>
          <w:rFonts w:ascii="Times New Roman" w:hAnsi="Times New Roman"/>
          <w:sz w:val="20"/>
        </w:rPr>
      </w:pPr>
      <w:r>
        <w:rPr>
          <w:rFonts w:ascii="Times New Roman" w:hAnsi="Times New Roman"/>
          <w:sz w:val="20"/>
        </w:rPr>
        <w:t>For a description of backlog categories, our methodology for determining backlog, and differences from remaining performance obligations, see “</w:t>
      </w:r>
      <w:r>
        <w:rPr>
          <w:rFonts w:ascii="Times New Roman" w:hAnsi="Times New Roman"/>
          <w:i/>
          <w:sz w:val="20"/>
        </w:rPr>
        <w:t>Part II, Item 7. Management’s Discussion and Analysis of Financial Condition and Results of Operations—Key Performance Indicators and Non-GAAP Financial Measures</w:t>
      </w:r>
      <w:r>
        <w:rPr>
          <w:rFonts w:ascii="Times New Roman" w:hAnsi="Times New Roman"/>
          <w:sz w:val="20"/>
        </w:rPr>
        <w:t xml:space="preserve">” in our Annual Report on Form 10-K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Backlog should not be considered a comprehensive indicator of future revenue, as a percentage of our revenue is derived from change orders and other revenues that are not included in our backlog. Additionally, any of our contracts may be terminated by our customers on relatively short notice and projects can also remain in backlog for extended periods of time as a result of customer delays, permitting or regulatory delays, equipment delays or project specific issues.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discussion of our results of operations for the three and six months ended June 30, 2026 and 2025 is set forth below. </w:t>
      </w:r>
    </w:p>
    <w:p>
      <w:pPr>
        <w:pStyle w:val="TextBody"/>
        <w:bidi w:val="0"/>
        <w:spacing w:before="240" w:after="0"/>
        <w:jc w:val="left"/>
        <w:rPr>
          <w:rFonts w:ascii="Times New Roman" w:hAnsi="Times New Roman"/>
          <w:i/>
          <w:sz w:val="20"/>
        </w:rPr>
      </w:pPr>
      <w:r>
        <w:rPr>
          <w:rFonts w:ascii="Times New Roman" w:hAnsi="Times New Roman"/>
          <w:i/>
          <w:sz w:val="20"/>
        </w:rPr>
        <w:t xml:space="preserve">Three Months Ended June 30, 2026 Compared to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consolidated results of operations for the three months ended June 30, 2026 and 2025, including as a percentage of revenue, as well as the dollar and percentage change from the prior year’s three months ended: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08"/>
        <w:gridCol w:w="120"/>
        <w:gridCol w:w="140"/>
        <w:gridCol w:w="800"/>
        <w:gridCol w:w="155"/>
        <w:gridCol w:w="60"/>
        <w:gridCol w:w="60"/>
        <w:gridCol w:w="560"/>
        <w:gridCol w:w="305"/>
        <w:gridCol w:w="60"/>
        <w:gridCol w:w="140"/>
        <w:gridCol w:w="800"/>
        <w:gridCol w:w="155"/>
        <w:gridCol w:w="60"/>
        <w:gridCol w:w="60"/>
        <w:gridCol w:w="560"/>
        <w:gridCol w:w="305"/>
        <w:gridCol w:w="60"/>
        <w:gridCol w:w="140"/>
        <w:gridCol w:w="800"/>
        <w:gridCol w:w="155"/>
        <w:gridCol w:w="60"/>
        <w:gridCol w:w="60"/>
        <w:gridCol w:w="560"/>
        <w:gridCol w:w="322"/>
      </w:tblGrid>
      <w:tr>
        <w:trPr/>
        <w:tc>
          <w:tcPr>
            <w:tcW w:w="37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70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22" w:type="dxa"/>
            <w:tcBorders/>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22"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(in thousands)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3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3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322" w:type="dxa"/>
            <w:tcBorders/>
            <w:shd w:fill="CCEEFF" w:val="clear"/>
            <w:vAlign w:val="center"/>
          </w:tcPr>
          <w:p>
            <w:pPr>
              <w:pStyle w:val="TableContents"/>
              <w:bidi w:val="0"/>
              <w:spacing w:before="0" w:after="283"/>
              <w:jc w:val="left"/>
              <w:rPr>
                <w:sz w:val="4"/>
                <w:szCs w:val="4"/>
              </w:rPr>
            </w:pPr>
            <w:r>
              <w:rPr>
                <w:sz w:val="4"/>
                <w:szCs w:val="4"/>
              </w:rPr>
            </w:r>
          </w:p>
        </w:tc>
      </w:tr>
      <w:tr>
        <w:trPr/>
        <w:tc>
          <w:tcPr>
            <w:tcW w:w="37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951,243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100.0</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535,952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100.0</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415,291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77.5</w:t>
            </w:r>
          </w:p>
        </w:tc>
        <w:tc>
          <w:tcPr>
            <w:tcW w:w="322"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811,630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85.3</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422,891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78.9</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388,739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91.9</w:t>
            </w:r>
          </w:p>
        </w:tc>
        <w:tc>
          <w:tcPr>
            <w:tcW w:w="322" w:type="dxa"/>
            <w:tcBorders/>
            <w:shd w:fill="CCEEFF" w:val="clear"/>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139,613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14.7</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113,061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21.1</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26,552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23.5</w:t>
            </w:r>
          </w:p>
        </w:tc>
        <w:tc>
          <w:tcPr>
            <w:tcW w:w="322"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expenses(2) (3)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52,649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5.5</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41,157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7.7</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11,492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27.9</w:t>
            </w:r>
          </w:p>
        </w:tc>
        <w:tc>
          <w:tcPr>
            <w:tcW w:w="322" w:type="dxa"/>
            <w:tcBorders/>
            <w:shd w:fill="CCEEFF" w:val="clear"/>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17,281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1.8</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13,768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2.6</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25.5</w:t>
            </w:r>
          </w:p>
        </w:tc>
        <w:tc>
          <w:tcPr>
            <w:tcW w:w="322" w:type="dxa"/>
            <w:tcBorders/>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69,930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7.4</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54,925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10.2</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15,005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27.3</w:t>
            </w:r>
          </w:p>
        </w:tc>
        <w:tc>
          <w:tcPr>
            <w:tcW w:w="322" w:type="dxa"/>
            <w:tcBorders/>
            <w:shd w:fill="CCEEFF" w:val="clear"/>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69,683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7.3</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58,136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10.8</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11,547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19.9</w:t>
            </w:r>
          </w:p>
        </w:tc>
        <w:tc>
          <w:tcPr>
            <w:tcW w:w="322"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NM</w:t>
            </w:r>
          </w:p>
        </w:tc>
        <w:tc>
          <w:tcPr>
            <w:tcW w:w="322" w:type="dxa"/>
            <w:tcBorders/>
            <w:shd w:fill="CCEEFF" w:val="clear"/>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0.1</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14,062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2.6</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(12,660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(90.0</w:t>
            </w:r>
          </w:p>
        </w:tc>
        <w:tc>
          <w:tcPr>
            <w:tcW w:w="322"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(0.2</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16.4</w:t>
            </w:r>
          </w:p>
        </w:tc>
        <w:tc>
          <w:tcPr>
            <w:tcW w:w="322" w:type="dxa"/>
            <w:tcBorders/>
            <w:shd w:fill="CCEEFF" w:val="clear"/>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loss,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(0.3</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NM</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NM</w:t>
            </w:r>
          </w:p>
        </w:tc>
        <w:tc>
          <w:tcPr>
            <w:tcW w:w="322" w:type="dxa"/>
            <w:tcBorders/>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72,656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7.6</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45,679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8.5</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26,977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59.1</w:t>
            </w:r>
          </w:p>
        </w:tc>
        <w:tc>
          <w:tcPr>
            <w:tcW w:w="322" w:type="dxa"/>
            <w:tcBorders/>
            <w:shd w:fill="CCEEFF" w:val="clear"/>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0.6</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0.2</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456.2</w:t>
            </w:r>
          </w:p>
        </w:tc>
        <w:tc>
          <w:tcPr>
            <w:tcW w:w="322" w:type="dxa"/>
            <w:tcBorders/>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66,833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7.0</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44,632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8.3</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22,201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49.7</w:t>
            </w:r>
          </w:p>
        </w:tc>
        <w:tc>
          <w:tcPr>
            <w:tcW w:w="322" w:type="dxa"/>
            <w:tcBorders/>
            <w:shd w:fill="CCEEFF" w:val="clear"/>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 and LLC members prior to IPO</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29,863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3.1</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0.1</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29,486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NM</w:t>
            </w:r>
          </w:p>
        </w:tc>
        <w:tc>
          <w:tcPr>
            <w:tcW w:w="322" w:type="dxa"/>
            <w:tcBorders/>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SOLV Energy, Inc.</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36,970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3.9</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44,255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8.3</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(7,285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(16.5</w:t>
            </w:r>
          </w:p>
        </w:tc>
        <w:tc>
          <w:tcPr>
            <w:tcW w:w="322" w:type="dxa"/>
            <w:tcBorders/>
            <w:shd w:fill="CCEEFF" w:val="clear"/>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16"/>
        </w:rPr>
      </w:pPr>
      <w:r>
        <w:rPr>
          <w:rFonts w:ascii="Times New Roman" w:hAnsi="Times New Roman"/>
          <w:sz w:val="16"/>
        </w:rPr>
        <w:t xml:space="preserve">(1) Includes non-cash compensation expense of $5.4 million and $— million for the three months ended June 30, 2026 and 2025, respectively. </w:t>
      </w:r>
    </w:p>
    <w:p>
      <w:pPr>
        <w:pStyle w:val="TextBody"/>
        <w:bidi w:val="0"/>
        <w:spacing w:before="240" w:after="0"/>
        <w:jc w:val="left"/>
        <w:rPr>
          <w:rFonts w:ascii="Times New Roman" w:hAnsi="Times New Roman"/>
          <w:sz w:val="16"/>
        </w:rPr>
      </w:pPr>
      <w:r>
        <w:rPr>
          <w:rFonts w:ascii="Times New Roman" w:hAnsi="Times New Roman"/>
          <w:sz w:val="16"/>
        </w:rPr>
        <w:t xml:space="preserve">(2) Includes non-cash compensation expense of $9.4 million and $1.3 million for the three months ended June 30, 2026 and 2025, respectively. </w:t>
      </w:r>
    </w:p>
    <w:p>
      <w:pPr>
        <w:pStyle w:val="TextBody"/>
        <w:bidi w:val="0"/>
        <w:spacing w:before="240" w:after="0"/>
        <w:jc w:val="left"/>
        <w:rPr>
          <w:rFonts w:ascii="Times New Roman" w:hAnsi="Times New Roman"/>
          <w:sz w:val="16"/>
        </w:rPr>
      </w:pPr>
      <w:r>
        <w:rPr>
          <w:rFonts w:ascii="Times New Roman" w:hAnsi="Times New Roman"/>
          <w:sz w:val="16"/>
        </w:rPr>
        <w:t xml:space="preserve">(3) Includes management fees paid to American Securities that are no longer being incurred following the IPO date, one-time IPO related costs, non-recurring transaction and integration costs inclusive of deferred compensation or earn-out structures to employees of acquired businesses that are not related to normal course compensation and are conditioned on post-closing service obligations, and other non-cash or non-recurring expenses. We recorded management fees, including reimbursable expenses, of $— and $1,204 for the three months ended June 30, 2026 and 2025, respectively. For the three months ended June 30, 2026, we recorded $4,745 related to transaction and integration costs, and non-capitalized IPO related costs. </w:t>
      </w:r>
    </w:p>
    <w:p>
      <w:pPr>
        <w:pStyle w:val="TextBody"/>
        <w:bidi w:val="0"/>
        <w:spacing w:before="240" w:after="0"/>
        <w:jc w:val="left"/>
        <w:rPr>
          <w:rFonts w:ascii="Times New Roman" w:hAnsi="Times New Roman"/>
          <w:sz w:val="16"/>
        </w:rPr>
      </w:pPr>
      <w:r>
        <w:rPr>
          <w:rFonts w:ascii="Times New Roman" w:hAnsi="Times New Roman"/>
          <w:sz w:val="16"/>
        </w:rPr>
        <w:t xml:space="preserve">NM – Percentage is not meaningful </w:t>
      </w:r>
    </w:p>
    <w:p>
      <w:pPr>
        <w:pStyle w:val="TextBody"/>
        <w:bidi w:val="0"/>
        <w:spacing w:before="12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increased by $415.3 million to $951.2 million for the three months ended June 30, 2026 compared to $536.0 million for the three months ended June 30, 2025, primarily driven by an increase in new construction and the contribution from acquisition of $427.0 million, offset by a decrease in existing infrastructure of $8.4 million attributable to a significant repair project in 2025 that did not recur in 2026 and a decrease of project development sales of $3.2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increased by $388.7 million to $811.6 million for the three months ended June 30, 2026 compared to $422.9 million for the three months ended June 30, 2025, in line with the increase in revenues. Gross profit as a percentage of revenue decreased for the three months ended June 30, 2026 as compared to the three months ended June 30, 2025 primarily due to project performance including contingency release from later stage projects, the impact from a significant repair project, and higher development sales, all during the three months ended June 30, 2025. Additional decreases in gross profit as a percentage of revenue related to the prospective 2026 classification of certain non-cash compensation and annual incentive compensation accruals in Cost of revenue rather than Selling, general and administrative expense.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expenses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79"/>
        <w:gridCol w:w="120"/>
        <w:gridCol w:w="140"/>
        <w:gridCol w:w="680"/>
        <w:gridCol w:w="60"/>
        <w:gridCol w:w="120"/>
        <w:gridCol w:w="60"/>
        <w:gridCol w:w="560"/>
        <w:gridCol w:w="275"/>
        <w:gridCol w:w="60"/>
        <w:gridCol w:w="140"/>
        <w:gridCol w:w="680"/>
        <w:gridCol w:w="60"/>
        <w:gridCol w:w="120"/>
        <w:gridCol w:w="60"/>
        <w:gridCol w:w="560"/>
        <w:gridCol w:w="275"/>
        <w:gridCol w:w="60"/>
        <w:gridCol w:w="140"/>
        <w:gridCol w:w="680"/>
        <w:gridCol w:w="155"/>
        <w:gridCol w:w="60"/>
        <w:gridCol w:w="60"/>
        <w:gridCol w:w="560"/>
        <w:gridCol w:w="341"/>
      </w:tblGrid>
      <w:tr>
        <w:trPr/>
        <w:tc>
          <w:tcPr>
            <w:tcW w:w="41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417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7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41" w:type="dxa"/>
            <w:tcBorders/>
            <w:vAlign w:val="center"/>
          </w:tcPr>
          <w:p>
            <w:pPr>
              <w:pStyle w:val="TableContents"/>
              <w:bidi w:val="0"/>
              <w:spacing w:before="0" w:after="283"/>
              <w:jc w:val="left"/>
              <w:rPr/>
            </w:pPr>
            <w:r>
              <w:rPr/>
              <w:t> </w:t>
            </w:r>
          </w:p>
        </w:tc>
      </w:tr>
      <w:tr>
        <w:trPr/>
        <w:tc>
          <w:tcPr>
            <w:tcW w:w="4179" w:type="dxa"/>
            <w:tcBorders/>
            <w:vAlign w:val="center"/>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w:t>
            </w:r>
          </w:p>
        </w:tc>
        <w:tc>
          <w:tcPr>
            <w:tcW w:w="120" w:type="dxa"/>
            <w:tcBorders/>
            <w:vAlign w:val="center"/>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41" w:type="dxa"/>
            <w:tcBorders/>
            <w:vAlign w:val="center"/>
          </w:tcPr>
          <w:p>
            <w:pPr>
              <w:pStyle w:val="TableContents"/>
              <w:bidi w:val="0"/>
              <w:spacing w:before="0" w:after="283"/>
              <w:jc w:val="left"/>
              <w:rPr/>
            </w:pPr>
            <w:r>
              <w:rPr/>
              <w:t> </w:t>
            </w:r>
          </w:p>
        </w:tc>
      </w:tr>
      <w:tr>
        <w:trPr/>
        <w:tc>
          <w:tcPr>
            <w:tcW w:w="417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52,649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41,157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11,492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341" w:type="dxa"/>
            <w:tcBorders/>
            <w:shd w:fill="CCEEFF" w:val="clear"/>
            <w:vAlign w:val="center"/>
          </w:tcPr>
          <w:p>
            <w:pPr>
              <w:pStyle w:val="TableContents"/>
              <w:bidi w:val="0"/>
              <w:spacing w:before="0" w:after="283"/>
              <w:jc w:val="left"/>
              <w:rPr/>
            </w:pPr>
            <w:r>
              <w:rPr/>
              <w:t>% </w:t>
            </w:r>
          </w:p>
        </w:tc>
      </w:tr>
      <w:tr>
        <w:trPr/>
        <w:tc>
          <w:tcPr>
            <w:tcW w:w="41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Non-cash compensation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9,418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8,158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71.0</w:t>
            </w:r>
          </w:p>
        </w:tc>
        <w:tc>
          <w:tcPr>
            <w:tcW w:w="341" w:type="dxa"/>
            <w:tcBorders/>
            <w:vAlign w:val="center"/>
          </w:tcPr>
          <w:p>
            <w:pPr>
              <w:pStyle w:val="TableContents"/>
              <w:bidi w:val="0"/>
              <w:spacing w:before="0" w:after="283"/>
              <w:jc w:val="left"/>
              <w:rPr/>
            </w:pPr>
            <w:r>
              <w:rPr/>
              <w:t>% </w:t>
            </w:r>
          </w:p>
        </w:tc>
      </w:tr>
      <w:tr>
        <w:trPr/>
        <w:tc>
          <w:tcPr>
            <w:tcW w:w="417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Transaction, integration, and non-capitalized IPO related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(0.9</w:t>
            </w:r>
          </w:p>
        </w:tc>
        <w:tc>
          <w:tcPr>
            <w:tcW w:w="341" w:type="dxa"/>
            <w:tcBorders/>
            <w:shd w:fill="CCEEFF" w:val="clear"/>
            <w:vAlign w:val="center"/>
          </w:tcPr>
          <w:p>
            <w:pPr>
              <w:pStyle w:val="TableContents"/>
              <w:bidi w:val="0"/>
              <w:spacing w:before="0" w:after="283"/>
              <w:jc w:val="left"/>
              <w:rPr/>
            </w:pPr>
            <w:r>
              <w:rPr/>
              <w:t>)% </w:t>
            </w:r>
          </w:p>
        </w:tc>
      </w:tr>
      <w:tr>
        <w:trPr/>
        <w:tc>
          <w:tcPr>
            <w:tcW w:w="41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41" w:type="dxa"/>
            <w:tcBorders/>
            <w:vAlign w:val="center"/>
          </w:tcPr>
          <w:p>
            <w:pPr>
              <w:pStyle w:val="TableContents"/>
              <w:bidi w:val="0"/>
              <w:spacing w:before="0" w:after="283"/>
              <w:jc w:val="left"/>
              <w:rPr/>
            </w:pPr>
            <w:r>
              <w:rPr/>
              <w:t> </w:t>
            </w:r>
          </w:p>
        </w:tc>
      </w:tr>
      <w:tr>
        <w:trPr/>
        <w:tc>
          <w:tcPr>
            <w:tcW w:w="41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Remaining selling, general and administrative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38,486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35,054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85.2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3,432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29.9</w:t>
            </w:r>
          </w:p>
        </w:tc>
        <w:tc>
          <w:tcPr>
            <w:tcW w:w="341" w:type="dxa"/>
            <w:tcBorders/>
            <w:vAlign w:val="center"/>
          </w:tcPr>
          <w:p>
            <w:pPr>
              <w:pStyle w:val="TableContents"/>
              <w:bidi w:val="0"/>
              <w:spacing w:before="0" w:after="283"/>
              <w:jc w:val="left"/>
              <w:rPr/>
            </w:pPr>
            <w:r>
              <w:rPr/>
              <w:t>% </w:t>
            </w:r>
          </w:p>
        </w:tc>
      </w:tr>
      <w:tr>
        <w:trPr/>
        <w:tc>
          <w:tcPr>
            <w:tcW w:w="41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34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increased by $11.5 million to $52.6 million for the three months ended June 30, 2026 compared to $41.2 million for the three months ended June 30, 2025. The increase was primarily driven by $8.2 million of higher non-cash compensation expense, including a $4.3 million increase related to modified legacy equity awards in connection with the IPO reorganization, a $2.6 million increase from restricted stock and stock option grants, and a $1.3 million increase in the fair value of the RUA liability due to changes in our stock price. The increase also reflected a $4.6 million investment in the organization to support administrative needs and new growth, and $2.4 million of non-recurring transaction and integration costs. These increases were partially offset by prospective 2026 classification of certain non-cash compensation and annual incentive compensation accruals in Cost of revenue rather than Selling, general and administrative expense, as well as lower costs incurred to prepare for the IPO in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Amortization expense increased by $3.5 million to $17.3 million for the three months ended June 30, 2026 compared to $13.8 million for the three months ended June 30, 2025, which was a result of amortization expense related to newly acquired intangible assets resulting from recent acquisitions.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decreased by $12.7 million to $1.4 million for the three months ended June 30, 2026 compared to $14.1 million for the three months ended June 30, 2025, which was primarily driven by lower interest expense as a result of the retirement of the Term Loans from proceeds from the IPO in February 2026.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loss,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increased by $2.5 million for the three months ended June 30, 2026, which was a result the remeasurement of our Tax Receivable Agreement liability.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increased by $4.8 million to $5.8 million for the three months ended June 30, 2026, compared to $1.0 million for the three months ended June 30, 2025. The increase primarily resulted from us becoming subject to U.S. federal, state and local income taxes on our allocable share of taxable income of Holdings following the IPO and Transactions, as well as from the impact of a one-time, non-cash stock-based compensation charge related to the modification of legacy equity awards that was not deductible for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Six Months Ended June 30, 2026 Compared to Six Months Ended June 30,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consolidated results of operations for the six months ended June 30, 2026 and 2025, including as a percentage of revenue, as well as the dollar and percentage change from the prior year’s six months ended: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35"/>
        <w:gridCol w:w="120"/>
        <w:gridCol w:w="140"/>
        <w:gridCol w:w="980"/>
        <w:gridCol w:w="155"/>
        <w:gridCol w:w="60"/>
        <w:gridCol w:w="60"/>
        <w:gridCol w:w="560"/>
        <w:gridCol w:w="303"/>
        <w:gridCol w:w="60"/>
        <w:gridCol w:w="140"/>
        <w:gridCol w:w="800"/>
        <w:gridCol w:w="155"/>
        <w:gridCol w:w="60"/>
        <w:gridCol w:w="60"/>
        <w:gridCol w:w="560"/>
        <w:gridCol w:w="303"/>
        <w:gridCol w:w="60"/>
        <w:gridCol w:w="140"/>
        <w:gridCol w:w="800"/>
        <w:gridCol w:w="155"/>
        <w:gridCol w:w="60"/>
        <w:gridCol w:w="60"/>
        <w:gridCol w:w="560"/>
        <w:gridCol w:w="319"/>
      </w:tblGrid>
      <w:tr>
        <w:trPr/>
        <w:tc>
          <w:tcPr>
            <w:tcW w:w="3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5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9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19"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19"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left"/>
              <w:rPr>
                <w:i/>
              </w:rPr>
            </w:pPr>
            <w:r>
              <w:rPr>
                <w:i/>
              </w:rPr>
              <w:t>(in thousands)</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1,628,048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943,799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684,249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72.5</w:t>
            </w:r>
          </w:p>
        </w:tc>
        <w:tc>
          <w:tcPr>
            <w:tcW w:w="319" w:type="dxa"/>
            <w:tcBorders/>
            <w:shd w:fill="CCEEFF" w:val="clear"/>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1,369,362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84.1</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771,639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81.8</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597,723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77.5</w:t>
            </w:r>
          </w:p>
        </w:tc>
        <w:tc>
          <w:tcPr>
            <w:tcW w:w="319"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258,686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15.9</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172,160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18.2</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86,526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50.3</w:t>
            </w:r>
          </w:p>
        </w:tc>
        <w:tc>
          <w:tcPr>
            <w:tcW w:w="319" w:type="dxa"/>
            <w:tcBorders/>
            <w:shd w:fill="CCEEFF" w:val="clear"/>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expenses(2) (3)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164,024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77,227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8.2</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86,797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112.4</w:t>
            </w:r>
          </w:p>
        </w:tc>
        <w:tc>
          <w:tcPr>
            <w:tcW w:w="319" w:type="dxa"/>
            <w:tcBorders/>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32,160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27,536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16.8</w:t>
            </w:r>
          </w:p>
        </w:tc>
        <w:tc>
          <w:tcPr>
            <w:tcW w:w="319" w:type="dxa"/>
            <w:tcBorders/>
            <w:shd w:fill="CCEEFF" w:val="clear"/>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196,184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12.1</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104,763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11.1</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91,421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87.3</w:t>
            </w:r>
          </w:p>
        </w:tc>
        <w:tc>
          <w:tcPr>
            <w:tcW w:w="319"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62,502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3.8</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67,397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7.1</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(7.3</w:t>
            </w:r>
          </w:p>
        </w:tc>
        <w:tc>
          <w:tcPr>
            <w:tcW w:w="319" w:type="dxa"/>
            <w:tcBorders/>
            <w:shd w:fill="CCEEFF" w:val="clear"/>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10,688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0.7</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10,688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NM</w:t>
            </w:r>
          </w:p>
        </w:tc>
        <w:tc>
          <w:tcPr>
            <w:tcW w:w="319" w:type="dxa"/>
            <w:tcBorders/>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0.5</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26,753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2.8</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(18,454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(69.0</w:t>
            </w:r>
          </w:p>
        </w:tc>
        <w:tc>
          <w:tcPr>
            <w:tcW w:w="319" w:type="dxa"/>
            <w:tcBorders/>
            <w:shd w:fill="CCEEFF" w:val="clear"/>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(0.2</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(4,855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(0.5</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(32.2</w:t>
            </w:r>
          </w:p>
        </w:tc>
        <w:tc>
          <w:tcPr>
            <w:tcW w:w="319" w:type="dxa"/>
            <w:tcBorders/>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loss,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(0.2</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0.0</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NM</w:t>
            </w:r>
          </w:p>
        </w:tc>
        <w:tc>
          <w:tcPr>
            <w:tcW w:w="319" w:type="dxa"/>
            <w:tcBorders/>
            <w:shd w:fill="CCEEFF" w:val="clear"/>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49,408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3.0</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45,439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4.8</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8.7</w:t>
            </w:r>
          </w:p>
        </w:tc>
        <w:tc>
          <w:tcPr>
            <w:tcW w:w="319" w:type="dxa"/>
            <w:tcBorders/>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0.6</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0.1</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8,680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663.1</w:t>
            </w:r>
          </w:p>
        </w:tc>
        <w:tc>
          <w:tcPr>
            <w:tcW w:w="319" w:type="dxa"/>
            <w:tcBorders/>
            <w:shd w:fill="CCEEFF" w:val="clear"/>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39,419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2.4</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44,130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4.7</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(10.7</w:t>
            </w:r>
          </w:p>
        </w:tc>
        <w:tc>
          <w:tcPr>
            <w:tcW w:w="319" w:type="dxa"/>
            <w:tcBorders/>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 and LLC members prior to IPO</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25,807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0.1</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25,218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NM</w:t>
            </w:r>
          </w:p>
        </w:tc>
        <w:tc>
          <w:tcPr>
            <w:tcW w:w="319" w:type="dxa"/>
            <w:tcBorders/>
            <w:shd w:fill="CCEEFF" w:val="clear"/>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SOLV Energy, Inc.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13,612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0.8</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43,541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4.6</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(29,929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(68.7</w:t>
            </w:r>
          </w:p>
        </w:tc>
        <w:tc>
          <w:tcPr>
            <w:tcW w:w="319"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non-cash compensation expense of $10.7 million and $— million for the six months ended June 30, 2026 and 2025,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(2)</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non-cash compensation expense of $69.0 million and $2.0 million for the six months ended June 30, 2026 and 2025, respectively, related primarily to the modification and accelerated vesting of legacy equity awards in connection with the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Management fees paid to American Securities that are no longer being incurred following the IPO date, one-time IPO related costs, non-recurring transaction and integration costs inclusive of deferred compensation or earn-out structures to employees of acquired businesses that are not related to normal course compensation and are conditioned on post-closing service obligations, and other non-cash or non-recurring expenses. We recorded management fees, including reimbursable expenses, of $750 and $1,954 for the six months ended June 30, 2026 and 2025, respectively. For the six months ended June 30, 2026, we recorded $11,237 related to transaction and integration costs, and noncapitalized IPO related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NM – Percentage is not meaningful </w:t>
      </w:r>
    </w:p>
    <w:p>
      <w:pPr>
        <w:pStyle w:val="TextBody"/>
        <w:bidi w:val="0"/>
        <w:spacing w:before="12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increased by $684.2 million to $1,628.0 million for the six months ended June 30, 2026 compared to $943.8 million for the six months ended June 30, 2025, which was primarily driven by an increase in new construction and the contribution from acquisition of $700.5 million, offset by a decrease in existing infrastructure of $10.0 million attributable to a significant repair project in 2025 that did not recur in 2026 and a decrease of development sales of $6.3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increased by $597.7 million to $1,369.4 million for the six months ended June 30, 2026 compared to $771.6 million for the six months ended June 30, 2025, in line with the increase in revenues. Gross profit as a percentage of revenue decreased for the six months ended June 30, 2026 as compared to the six months ended June 30, 2025 primarily due to project performance including contingency release from later stage projects, the impact from a significant repair project, and higher development sales, all during the six months ended June 30, 2025. Additional decreases in gross profit as a percentage of revenue related to the prospective 2026 classification of certain non-cash compensation and annual incentive compensation accruals in Cost of revenue rather than Selling, general and administrative expense.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expenses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45"/>
        <w:gridCol w:w="120"/>
        <w:gridCol w:w="140"/>
        <w:gridCol w:w="800"/>
        <w:gridCol w:w="60"/>
        <w:gridCol w:w="120"/>
        <w:gridCol w:w="60"/>
        <w:gridCol w:w="560"/>
        <w:gridCol w:w="275"/>
        <w:gridCol w:w="60"/>
        <w:gridCol w:w="140"/>
        <w:gridCol w:w="680"/>
        <w:gridCol w:w="60"/>
        <w:gridCol w:w="120"/>
        <w:gridCol w:w="60"/>
        <w:gridCol w:w="560"/>
        <w:gridCol w:w="275"/>
        <w:gridCol w:w="60"/>
        <w:gridCol w:w="140"/>
        <w:gridCol w:w="680"/>
        <w:gridCol w:w="60"/>
        <w:gridCol w:w="120"/>
        <w:gridCol w:w="60"/>
        <w:gridCol w:w="560"/>
        <w:gridCol w:w="290"/>
      </w:tblGrid>
      <w:tr>
        <w:trPr/>
        <w:tc>
          <w:tcPr>
            <w:tcW w:w="4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i/>
              </w:rPr>
            </w:pPr>
            <w:r>
              <w:rPr>
                <w:i/>
              </w:rPr>
              <w:t>(in thousands)</w:t>
            </w:r>
          </w:p>
        </w:tc>
        <w:tc>
          <w:tcPr>
            <w:tcW w:w="120" w:type="dxa"/>
            <w:tcBorders/>
            <w:vAlign w:val="center"/>
          </w:tcPr>
          <w:p>
            <w:pPr>
              <w:pStyle w:val="TableContents"/>
              <w:bidi w:val="0"/>
              <w:spacing w:before="0" w:after="283"/>
              <w:jc w:val="left"/>
              <w:rPr/>
            </w:pPr>
            <w:r>
              <w:rPr/>
              <w:t>  </w:t>
            </w:r>
          </w:p>
        </w:tc>
        <w:tc>
          <w:tcPr>
            <w:tcW w:w="17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164,024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77,227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86,797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9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Non-cash compensation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68,979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67,007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77.2</w:t>
            </w:r>
          </w:p>
        </w:tc>
        <w:tc>
          <w:tcPr>
            <w:tcW w:w="29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Transaction, integration, and non-capitalized IPO related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8,083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w:t>
            </w:r>
          </w:p>
        </w:tc>
        <w:tc>
          <w:tcPr>
            <w:tcW w:w="29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Remaining selling, general and administrative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83,808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67,172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16,636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19.2</w:t>
            </w:r>
          </w:p>
        </w:tc>
        <w:tc>
          <w:tcPr>
            <w:tcW w:w="29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increased by $86.8 million to $164.0 million for the six months ended June 30, 2026 compared to $77.2 million for the six months ended June 30, 2025. The increase was primarily driven by $67.0 million of higher non-cash compensation expense, including a $59.4 million increase related to modified legacy equity awards in the IPO reorganization, which included a $52.3 million one-time charge, a $4.1 million increase from restricted stock and stock option grants, and a $3.5 million increase in the fair value adjustment of the RUA liability due to changes in our stock price. The increase also reflected a $15.3 million investment in the organization to support administrative needs and new growth, and $4.8 million of non-recurring transaction and integration costs. These increases were partially offset by prospective 2026 classification of certain non-cash compensation and annual incentive compensation expense accruals in Cost of revenue rather than Selling, general and administrative expense, as well as lower costs incurred to prepare for the IPO in 2026. </w:t>
      </w:r>
    </w:p>
    <w:p>
      <w:pPr>
        <w:pStyle w:val="TextBody"/>
        <w:bidi w:val="0"/>
        <w:spacing w:before="360" w:after="0"/>
        <w:jc w:val="left"/>
        <w:rPr>
          <w:rFonts w:ascii="Times New Roman" w:hAnsi="Times New Roman"/>
          <w:i/>
          <w:sz w:val="20"/>
        </w:rPr>
      </w:pPr>
      <w:r>
        <w:rPr>
          <w:rFonts w:ascii="Times New Roman" w:hAnsi="Times New Roman"/>
          <w:i/>
          <w:sz w:val="20"/>
        </w:rPr>
        <w:t xml:space="preserve">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Amortization expense increased by $4.6 million to $32.2 million for the six months ended June 30, 2026 compared to $27.5 million for the six months ended June 30, 2025, which was a result of amortization expense related to newly acquired intangible assets resulting from recent acquisitions.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decreased by $18.5 million to $8.3 million for the six months ended June 30, 2026 compared to $26.8 million for the six months ended June 30, 2025, which was primarily driven by lower interest expense as a result of the retirement of the Term Loans from proceeds from the IPO in February 2026.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decreased by $1.6 million to $3.3 million for the six months ended June 30, 2026 compared to $4.9 million for the six months ended June 30, 2025, which was primarily a result of customer interest received from delayed payments of $2.6 million in 2025, partially offset by $1.0 million higher interest income on higher cash balances.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loss,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loss, net increased by $2.7 million to $2.6 million for the six months ended June 30, 2026 compared to a loss of $0.1 million for the six months ended June 30, 2025, primarily due to the remeasurement of our Tax Receivable Agreement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increased by $8.7 million to $10.0 million for the six months ended June 30, 2026, compared to $1.3 million for the six months ended June 30, 2025. The increase primarily resulted from us becoming subject to U.S. federal, state and local income taxes on our allocable share of taxable income of Holdings following the IPO and Transactions, as well as from the impact of a one-time, non-cash stock-based compensation charge related to the modification of legacy equity awards that was not deductible for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describes certain line items in our condensed consolidated statements of operations. There have been no material changes to the components of our results of operations described in </w:t>
      </w:r>
      <w:r>
        <w:rPr>
          <w:rFonts w:ascii="Times New Roman" w:hAnsi="Times New Roman"/>
          <w:i/>
          <w:sz w:val="20"/>
        </w:rPr>
        <w:t>Part II, Item 7. Management’s Discussion and Analysis of Financial Condition and Results of Operations</w:t>
      </w:r>
      <w:r>
        <w:rPr>
          <w:rFonts w:ascii="Times New Roman" w:hAnsi="Times New Roman"/>
          <w:sz w:val="20"/>
        </w:rPr>
        <w:t xml:space="preserve"> of our Annual Report on Form 10-K for the year ended December 31, 2025, except as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Non-controlling interest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our wholly-owned subsidiary was appointed as the sole managing member of Holdings pursuant to the SOLV Energy Holdings LLC Agreement. Because we indirectly manage and operate the business and control the strategic decisions and day-to-day operations of Holdings and also have a substantial financial interest in Holdings, we consolidate the financial results of Holdings, and a portion of our net income (loss) is allocated to the non-controlling interest to reflect the entitlement of the Continuing Equity Owners to a portion of Holdings’ net income (loss). We hold approximately 61.1% of the LLC Interests, and the remaining LLC Interests are held by the Continuing Equity Owners.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Our business was historically operated through Holdings, a limited liability company. For U.S. federal income tax purposes, Holdings was historically treated as an entity disregarded as separate from SOLV Energy Parent Holdings LP, a Delaware limited partnership that was a partnership for U.S. federal income tax purposes. As a disregarded entity, Holdings was not subject to U.S. federal income tax; however, historical income tax expense reflects certain state and local taxes, and Spartan Infrastructure, Inc. (a subsidiary of Holdings) is a corporation for U.S. federal income tax purposes that is subject to U.S. federal, state and local corporate income tax.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Transactions, Holdings became taxable as a partnership for U.S. federal income tax purposes (which will be a continuation of SOLV Energy Parent Holdings LP for U.S. federal income tax purposes) and SOLV Energy, Inc. acquired LLC Interests in Holdings. As a partnership for U.S. federal income tax purposes, Holdings will generally not be subject to U.S. federal income tax. As a result of its ownership of LLC Interests, SOLV Energy, Inc., which is a corporation for U.S. federal income tax purposes, is subject to U.S. federal, state and local income taxes with respect to its allocable share of any taxable income of Holdings and is taxed at the prevailing corporate tax rates. </w:t>
      </w:r>
    </w:p>
    <w:p>
      <w:pPr>
        <w:pStyle w:val="TextBody"/>
        <w:bidi w:val="0"/>
        <w:spacing w:before="360" w:after="0"/>
        <w:jc w:val="left"/>
        <w:rPr>
          <w:rFonts w:ascii="Times New Roman" w:hAnsi="Times New Roman"/>
          <w:b/>
          <w:sz w:val="20"/>
        </w:rPr>
      </w:pPr>
      <w:r>
        <w:rPr>
          <w:rFonts w:ascii="Times New Roman" w:hAnsi="Times New Roman"/>
          <w:b/>
          <w:sz w:val="20"/>
        </w:rPr>
        <w:t xml:space="preserve">Key Performance Indicators and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managing our business and assessing financial performance, we supplement the information provided by the consolidated financial statements with other financial and operating metrics. These operating metrics are utilized by our management to evaluate our business performance, identify trends affecting our business and facilitate long-term strategic planning. </w:t>
      </w:r>
    </w:p>
    <w:p>
      <w:pPr>
        <w:pStyle w:val="TextBody"/>
        <w:bidi w:val="0"/>
        <w:spacing w:before="360" w:after="0"/>
        <w:jc w:val="left"/>
        <w:rPr>
          <w:rFonts w:ascii="Times New Roman" w:hAnsi="Times New Roman"/>
          <w:i/>
          <w:sz w:val="20"/>
        </w:rPr>
      </w:pPr>
      <w:r>
        <w:rPr>
          <w:rFonts w:ascii="Times New Roman" w:hAnsi="Times New Roman"/>
          <w:i/>
          <w:sz w:val="20"/>
        </w:rPr>
        <w:t xml:space="preserve">Backlog </w:t>
      </w:r>
    </w:p>
    <w:p>
      <w:pPr>
        <w:pStyle w:val="TextBody"/>
        <w:bidi w:val="0"/>
        <w:spacing w:before="120" w:after="0"/>
        <w:jc w:val="left"/>
        <w:rPr>
          <w:rFonts w:ascii="Times New Roman" w:hAnsi="Times New Roman"/>
          <w:sz w:val="20"/>
        </w:rPr>
      </w:pPr>
      <w:r>
        <w:rPr>
          <w:rFonts w:ascii="Times New Roman" w:hAnsi="Times New Roman"/>
          <w:sz w:val="20"/>
        </w:rPr>
        <w:t xml:space="preserve">We use backlog to forecast our future capital needs and to identify future operating trends that may not otherwise be apparent. We present Total Backlog, which includes all Signed Backlog and Awarded Backlog, and Estimated Corrective Maintenance Backlog.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Backlog is a measure commonly used in our industry but not recognized under GAAP. We believe this measure enables management to more effectively forecast our future revenues and identify future operating trends that may not otherwise be apparent. We believe this measure is also useful for investors in forecasting our future results and comparing us to our competitors. Our methodology for determining backlog may not be comparable to the methodologies used by other companies. Additionally, backlog differs from the amount of the remaining performance obligations, which are described in Note 4—</w:t>
      </w:r>
      <w:r>
        <w:rPr>
          <w:rFonts w:ascii="Times New Roman" w:hAnsi="Times New Roman"/>
          <w:i/>
          <w:sz w:val="20"/>
        </w:rPr>
        <w:t>Revenue from Contracts with Customers</w:t>
      </w:r>
      <w:r>
        <w:rPr>
          <w:rFonts w:ascii="Times New Roman" w:hAnsi="Times New Roman"/>
          <w:sz w:val="20"/>
        </w:rPr>
        <w:t xml:space="preserve"> in the notes to the unaudited condensed consolidated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Gross Margin </w:t>
      </w:r>
    </w:p>
    <w:p>
      <w:pPr>
        <w:pStyle w:val="TextBody"/>
        <w:bidi w:val="0"/>
        <w:spacing w:before="120" w:after="0"/>
        <w:jc w:val="left"/>
        <w:rPr>
          <w:rFonts w:ascii="Times New Roman" w:hAnsi="Times New Roman"/>
          <w:sz w:val="20"/>
        </w:rPr>
      </w:pPr>
      <w:r>
        <w:rPr>
          <w:rFonts w:ascii="Times New Roman" w:hAnsi="Times New Roman"/>
          <w:sz w:val="20"/>
        </w:rPr>
        <w:t xml:space="preserve">Gross margin is defined as gross profit divided by total revenue. We use this metric because it provides insights into the profitability of our jobs and helps us make informed decisions about our cost management.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26"/>
        <w:gridCol w:w="120"/>
        <w:gridCol w:w="195"/>
        <w:gridCol w:w="1125"/>
        <w:gridCol w:w="386"/>
        <w:gridCol w:w="83"/>
        <w:gridCol w:w="195"/>
        <w:gridCol w:w="1129"/>
        <w:gridCol w:w="275"/>
        <w:gridCol w:w="60"/>
        <w:gridCol w:w="163"/>
        <w:gridCol w:w="1152"/>
        <w:gridCol w:w="322"/>
        <w:gridCol w:w="69"/>
        <w:gridCol w:w="163"/>
        <w:gridCol w:w="944"/>
        <w:gridCol w:w="298"/>
      </w:tblGrid>
      <w:tr>
        <w:trPr/>
        <w:tc>
          <w:tcPr>
            <w:tcW w:w="3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1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98" w:type="dxa"/>
            <w:tcBorders/>
            <w:vAlign w:val="center"/>
          </w:tcPr>
          <w:p>
            <w:pPr>
              <w:pStyle w:val="TableContents"/>
              <w:bidi w:val="0"/>
              <w:spacing w:before="0" w:after="283"/>
              <w:jc w:val="left"/>
              <w:rPr/>
            </w:pPr>
            <w:r>
              <w:rPr/>
              <w:t> </w:t>
            </w:r>
          </w:p>
        </w:tc>
      </w:tr>
      <w:tr>
        <w:trPr/>
        <w:tc>
          <w:tcPr>
            <w:tcW w:w="352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8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8" w:type="dxa"/>
            <w:tcBorders/>
            <w:vAlign w:val="center"/>
          </w:tcPr>
          <w:p>
            <w:pPr>
              <w:pStyle w:val="TableContents"/>
              <w:bidi w:val="0"/>
              <w:spacing w:before="0" w:after="283"/>
              <w:jc w:val="left"/>
              <w:rPr/>
            </w:pPr>
            <w:r>
              <w:rPr/>
              <w:t> </w:t>
            </w:r>
          </w:p>
        </w:tc>
      </w:tr>
      <w:tr>
        <w:trPr/>
        <w:tc>
          <w:tcPr>
            <w:tcW w:w="3526" w:type="dxa"/>
            <w:tcBorders/>
            <w:vAlign w:val="center"/>
          </w:tcPr>
          <w:p>
            <w:pPr>
              <w:pStyle w:val="TableContents"/>
              <w:bidi w:val="0"/>
              <w:spacing w:before="0" w:after="283"/>
              <w:jc w:val="left"/>
              <w:rPr>
                <w:i/>
              </w:rPr>
            </w:pPr>
            <w:r>
              <w:rPr>
                <w:i/>
              </w:rPr>
              <w:t>(in thousands, except for gross margin)</w:t>
            </w:r>
          </w:p>
        </w:tc>
        <w:tc>
          <w:tcPr>
            <w:tcW w:w="120" w:type="dxa"/>
            <w:tcBorders/>
            <w:vAlign w:val="center"/>
          </w:tcPr>
          <w:p>
            <w:pPr>
              <w:pStyle w:val="TableContents"/>
              <w:bidi w:val="0"/>
              <w:spacing w:before="0" w:after="283"/>
              <w:jc w:val="left"/>
              <w:rPr/>
            </w:pPr>
            <w:r>
              <w:rPr/>
              <w:t>  </w:t>
            </w:r>
          </w:p>
        </w:tc>
        <w:tc>
          <w:tcPr>
            <w:tcW w:w="1320" w:type="dxa"/>
            <w:gridSpan w:val="2"/>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24"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07" w:type="dxa"/>
            <w:gridSpan w:val="2"/>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r>
      <w:tr>
        <w:trPr/>
        <w:tc>
          <w:tcPr>
            <w:tcW w:w="352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951,243</w:t>
            </w:r>
          </w:p>
        </w:tc>
        <w:tc>
          <w:tcPr>
            <w:tcW w:w="38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535,952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52" w:type="dxa"/>
            <w:tcBorders/>
            <w:shd w:fill="CCEEFF" w:val="clear"/>
            <w:vAlign w:val="center"/>
          </w:tcPr>
          <w:p>
            <w:pPr>
              <w:pStyle w:val="TableContents"/>
              <w:bidi w:val="0"/>
              <w:spacing w:before="0" w:after="283"/>
              <w:jc w:val="right"/>
              <w:rPr/>
            </w:pPr>
            <w:r>
              <w:rPr/>
              <w:t>1,628,048</w:t>
            </w:r>
          </w:p>
        </w:tc>
        <w:tc>
          <w:tcPr>
            <w:tcW w:w="32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44" w:type="dxa"/>
            <w:tcBorders/>
            <w:shd w:fill="CCEEFF" w:val="clear"/>
            <w:vAlign w:val="center"/>
          </w:tcPr>
          <w:p>
            <w:pPr>
              <w:pStyle w:val="TableContents"/>
              <w:bidi w:val="0"/>
              <w:spacing w:before="0" w:after="283"/>
              <w:jc w:val="right"/>
              <w:rPr/>
            </w:pPr>
            <w:r>
              <w:rPr/>
              <w:t>943,799</w:t>
            </w:r>
          </w:p>
        </w:tc>
        <w:tc>
          <w:tcPr>
            <w:tcW w:w="298" w:type="dxa"/>
            <w:tcBorders/>
            <w:shd w:fill="CCEEFF" w:val="clear"/>
            <w:vAlign w:val="center"/>
          </w:tcPr>
          <w:p>
            <w:pPr>
              <w:pStyle w:val="TableContents"/>
              <w:bidi w:val="0"/>
              <w:spacing w:before="0" w:after="283"/>
              <w:jc w:val="left"/>
              <w:rPr/>
            </w:pPr>
            <w:r>
              <w:rPr/>
              <w:t> </w:t>
            </w:r>
          </w:p>
        </w:tc>
      </w:tr>
      <w:tr>
        <w:trPr/>
        <w:tc>
          <w:tcPr>
            <w:tcW w:w="35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811,630</w:t>
            </w:r>
          </w:p>
        </w:tc>
        <w:tc>
          <w:tcPr>
            <w:tcW w:w="38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422,891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right"/>
              <w:rPr/>
            </w:pPr>
            <w:r>
              <w:rPr/>
              <w:t>1,369,362</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771,639</w:t>
            </w:r>
          </w:p>
        </w:tc>
        <w:tc>
          <w:tcPr>
            <w:tcW w:w="298" w:type="dxa"/>
            <w:tcBorders/>
            <w:vAlign w:val="center"/>
          </w:tcPr>
          <w:p>
            <w:pPr>
              <w:pStyle w:val="TableContents"/>
              <w:bidi w:val="0"/>
              <w:spacing w:before="0" w:after="283"/>
              <w:jc w:val="left"/>
              <w:rPr/>
            </w:pPr>
            <w:r>
              <w:rPr/>
              <w:t> </w:t>
            </w:r>
          </w:p>
        </w:tc>
      </w:tr>
      <w:tr>
        <w:trPr/>
        <w:tc>
          <w:tcPr>
            <w:tcW w:w="3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125" w:type="dxa"/>
            <w:tcBorders/>
            <w:vAlign w:val="center"/>
          </w:tcPr>
          <w:p>
            <w:pPr>
              <w:pStyle w:val="TableContents"/>
              <w:pBdr>
                <w:top w:val="single" w:sz="2" w:space="1" w:color="000000"/>
              </w:pBdr>
              <w:bidi w:val="0"/>
              <w:spacing w:before="0" w:after="0"/>
              <w:jc w:val="left"/>
              <w:rPr/>
            </w:pPr>
            <w:r>
              <w:rPr/>
              <w:t> </w:t>
            </w:r>
          </w:p>
        </w:tc>
        <w:tc>
          <w:tcPr>
            <w:tcW w:w="38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129"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single" w:sz="2" w:space="1" w:color="000000"/>
              </w:pBdr>
              <w:bidi w:val="0"/>
              <w:spacing w:before="0" w:after="0"/>
              <w:jc w:val="left"/>
              <w:rPr/>
            </w:pPr>
            <w:r>
              <w:rPr/>
              <w:t> </w:t>
            </w:r>
          </w:p>
        </w:tc>
        <w:tc>
          <w:tcPr>
            <w:tcW w:w="1152" w:type="dxa"/>
            <w:tcBorders/>
            <w:vAlign w:val="center"/>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single" w:sz="2" w:space="1" w:color="000000"/>
              </w:pBdr>
              <w:bidi w:val="0"/>
              <w:spacing w:before="0" w:after="0"/>
              <w:jc w:val="left"/>
              <w:rPr/>
            </w:pPr>
            <w:r>
              <w:rPr/>
              <w:t> </w:t>
            </w:r>
          </w:p>
        </w:tc>
        <w:tc>
          <w:tcPr>
            <w:tcW w:w="944" w:type="dxa"/>
            <w:tcBorders/>
            <w:vAlign w:val="center"/>
          </w:tcPr>
          <w:p>
            <w:pPr>
              <w:pStyle w:val="TableContents"/>
              <w:pBdr>
                <w:top w:val="single" w:sz="2" w:space="1" w:color="000000"/>
              </w:pBdr>
              <w:bidi w:val="0"/>
              <w:spacing w:before="0" w:after="0"/>
              <w:jc w:val="left"/>
              <w:rPr/>
            </w:pPr>
            <w:r>
              <w:rPr/>
              <w:t> </w:t>
            </w:r>
          </w:p>
        </w:tc>
        <w:tc>
          <w:tcPr>
            <w:tcW w:w="298" w:type="dxa"/>
            <w:tcBorders/>
            <w:vAlign w:val="center"/>
          </w:tcPr>
          <w:p>
            <w:pPr>
              <w:pStyle w:val="TableContents"/>
              <w:bidi w:val="0"/>
              <w:spacing w:before="0" w:after="283"/>
              <w:jc w:val="left"/>
              <w:rPr/>
            </w:pPr>
            <w:r>
              <w:rPr/>
              <w:t> </w:t>
            </w:r>
          </w:p>
        </w:tc>
      </w:tr>
      <w:tr>
        <w:trPr/>
        <w:tc>
          <w:tcPr>
            <w:tcW w:w="352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139,613</w:t>
            </w:r>
          </w:p>
        </w:tc>
        <w:tc>
          <w:tcPr>
            <w:tcW w:w="38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113,061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52" w:type="dxa"/>
            <w:tcBorders/>
            <w:shd w:fill="CCEEFF" w:val="clear"/>
            <w:vAlign w:val="center"/>
          </w:tcPr>
          <w:p>
            <w:pPr>
              <w:pStyle w:val="TableContents"/>
              <w:bidi w:val="0"/>
              <w:spacing w:before="0" w:after="283"/>
              <w:jc w:val="right"/>
              <w:rPr/>
            </w:pPr>
            <w:r>
              <w:rPr/>
              <w:t>258,686</w:t>
            </w:r>
          </w:p>
        </w:tc>
        <w:tc>
          <w:tcPr>
            <w:tcW w:w="32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44" w:type="dxa"/>
            <w:tcBorders/>
            <w:shd w:fill="CCEEFF" w:val="clear"/>
            <w:vAlign w:val="center"/>
          </w:tcPr>
          <w:p>
            <w:pPr>
              <w:pStyle w:val="TableContents"/>
              <w:bidi w:val="0"/>
              <w:spacing w:before="0" w:after="283"/>
              <w:jc w:val="right"/>
              <w:rPr/>
            </w:pPr>
            <w:r>
              <w:rPr/>
              <w:t>172,160</w:t>
            </w:r>
          </w:p>
        </w:tc>
        <w:tc>
          <w:tcPr>
            <w:tcW w:w="298" w:type="dxa"/>
            <w:tcBorders/>
            <w:shd w:fill="CCEEFF" w:val="clear"/>
            <w:vAlign w:val="center"/>
          </w:tcPr>
          <w:p>
            <w:pPr>
              <w:pStyle w:val="TableContents"/>
              <w:bidi w:val="0"/>
              <w:spacing w:before="0" w:after="283"/>
              <w:jc w:val="left"/>
              <w:rPr/>
            </w:pPr>
            <w:r>
              <w:rPr/>
              <w:t> </w:t>
            </w:r>
          </w:p>
        </w:tc>
      </w:tr>
      <w:tr>
        <w:trPr/>
        <w:tc>
          <w:tcPr>
            <w:tcW w:w="35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14.7</w:t>
            </w:r>
          </w:p>
        </w:tc>
        <w:tc>
          <w:tcPr>
            <w:tcW w:w="38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right"/>
              <w:rPr/>
            </w:pPr>
            <w:r>
              <w:rPr/>
              <w:t>15.9</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18.2</w:t>
            </w:r>
          </w:p>
        </w:tc>
        <w:tc>
          <w:tcPr>
            <w:tcW w:w="29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EBITDA and 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financial measures determined in accordance with GAAP, we consider a variety of financial and operating measures in assessing the performance of our business. The key non-GAAP measures we use are EBITDA and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EBITDA represents net income (loss) before interest, income taxes, depreciation and amortization. Adjusted EBITDA is defined as EBITDA adjusted to exclude: (i) non-cash compensation expense; (ii) the (gain) or loss on the disposal of assets and the extinguishment of debt; (iii) the change in fair value of derivatives; (iv) the change in fair value of investments; (v) non-recurring private equity management fees; (vi) Tax Receivable Agreement liability remeasurements; and (vii) certain other items which we do not consider indicative of future operating performance such as one-time legal settlements not considered part of normal course business operations, transaction, integration, transition and other non-cash costs. We adjust for these items in our Adjusted EBITDA as our management believes these items would distort from their ability to efficiently view and assess core operating trends. </w:t>
      </w:r>
    </w:p>
    <w:p>
      <w:pPr>
        <w:pStyle w:val="TextBody"/>
        <w:bidi w:val="0"/>
        <w:spacing w:before="240" w:after="0"/>
        <w:jc w:val="left"/>
        <w:rPr>
          <w:rFonts w:ascii="Times New Roman" w:hAnsi="Times New Roman"/>
          <w:sz w:val="20"/>
        </w:rPr>
      </w:pPr>
      <w:r>
        <w:rPr>
          <w:rFonts w:ascii="Times New Roman" w:hAnsi="Times New Roman"/>
          <w:sz w:val="20"/>
        </w:rPr>
        <w:t xml:space="preserve">Our presentation of EBITDA and Adjusted EBITDA should not be construed to imply that our future results will be unaffected by these items. We present EBITDA and Adjusted EBITDA because we believe they provide a more complete understanding of the factors and trends affecting our business than GAAP measures alone. Our board of directors, management and investors use EBITDA and Adjusted EBITDA to assess our financial performance because such measures allow them to compare our operating performance on a consistent basis across periods by removing the effects of our capital structure (such as varying levels of interest expense), asset base (such as depreciation and amortization) and items outside the control of our management team (such as income taxes). </w:t>
      </w:r>
    </w:p>
    <w:p>
      <w:pPr>
        <w:pStyle w:val="TextBody"/>
        <w:bidi w:val="0"/>
        <w:spacing w:before="240" w:after="0"/>
        <w:jc w:val="left"/>
        <w:rPr>
          <w:rFonts w:ascii="Times New Roman" w:hAnsi="Times New Roman"/>
          <w:sz w:val="20"/>
        </w:rPr>
      </w:pPr>
      <w:r>
        <w:rPr>
          <w:rFonts w:ascii="Times New Roman" w:hAnsi="Times New Roman"/>
          <w:sz w:val="20"/>
        </w:rPr>
        <w:t xml:space="preserve">EBITDA and Adjusted EBITDA are not defined under GAAP. Our use of the terms EBITDA and Adjusted EBITDA may not be comparable to similarly titled measures of other companies in our industry and are not measures of performance calculated in accordance with GAAP. Our presentation of EBITDA and Adjusted EBITDA are intended as supplemental measures of our performance that are not required by, or presented in accordance with, GAAP. EBITDA and Adjusted EBITDA should not be considered as alternatives to operating income (loss), net income (loss), earnings per share, net sales, net income margin or any other performance measures derived in accordance with GAAP, or as measures of operating cash flows or liquidity.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EBITDA and Adjusted EBITDA have important limitations as analytical tools, and such measures should not be considered either in isolation or as a substitute for analyzing our results as reported under GAAP. Some of these limitations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do not reflect our interest expense or the cash requirements necessary to service interest or principal payments on our debt; </w:t>
            </w:r>
          </w:p>
        </w:tc>
      </w:tr>
    </w:tbl>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do not reflect our tax expenses or the cash requirements to pay our taxes;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have to be replaced in the future, and EBITDA and Adjusted EBITDA do not reflect any cash requirements for such replacements;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EBITDA and Adjusted EBITDA differently, limiting their usefulness as comparative measures.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evaluating EBITDA and Adjusted EBITDA, you should be aware that in the future we may incur expenses similar to those eliminated in this Quarterly Report.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reconciles the differences between Adjusted EBITDA and net income (loss), which is the most comparable GAAP measure: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36"/>
        <w:gridCol w:w="120"/>
        <w:gridCol w:w="218"/>
        <w:gridCol w:w="1248"/>
        <w:gridCol w:w="241"/>
        <w:gridCol w:w="93"/>
        <w:gridCol w:w="218"/>
        <w:gridCol w:w="1063"/>
        <w:gridCol w:w="155"/>
        <w:gridCol w:w="60"/>
        <w:gridCol w:w="184"/>
        <w:gridCol w:w="1061"/>
        <w:gridCol w:w="205"/>
        <w:gridCol w:w="79"/>
        <w:gridCol w:w="184"/>
        <w:gridCol w:w="1065"/>
        <w:gridCol w:w="175"/>
      </w:tblGrid>
      <w:tr>
        <w:trPr/>
        <w:tc>
          <w:tcPr>
            <w:tcW w:w="38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83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5" w:type="dxa"/>
            <w:tcBorders/>
            <w:vAlign w:val="center"/>
          </w:tcPr>
          <w:p>
            <w:pPr>
              <w:pStyle w:val="TableContents"/>
              <w:bidi w:val="0"/>
              <w:spacing w:before="0" w:after="283"/>
              <w:jc w:val="left"/>
              <w:rPr/>
            </w:pPr>
            <w:r>
              <w:rPr/>
              <w:t> </w:t>
            </w:r>
          </w:p>
        </w:tc>
      </w:tr>
      <w:tr>
        <w:trPr/>
        <w:tc>
          <w:tcPr>
            <w:tcW w:w="383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5" w:type="dxa"/>
            <w:tcBorders/>
            <w:vAlign w:val="center"/>
          </w:tcPr>
          <w:p>
            <w:pPr>
              <w:pStyle w:val="TableContents"/>
              <w:bidi w:val="0"/>
              <w:spacing w:before="0" w:after="283"/>
              <w:jc w:val="left"/>
              <w:rPr/>
            </w:pPr>
            <w:r>
              <w:rPr/>
              <w:t> </w:t>
            </w:r>
          </w:p>
        </w:tc>
      </w:tr>
      <w:tr>
        <w:trPr/>
        <w:tc>
          <w:tcPr>
            <w:tcW w:w="3836" w:type="dxa"/>
            <w:tcBorders/>
            <w:vAlign w:val="center"/>
          </w:tcPr>
          <w:p>
            <w:pPr>
              <w:pStyle w:val="TableContents"/>
              <w:bidi w:val="0"/>
              <w:spacing w:before="0" w:after="283"/>
              <w:jc w:val="left"/>
              <w:rPr>
                <w:i/>
              </w:rPr>
            </w:pPr>
            <w:r>
              <w:rPr>
                <w:i/>
              </w:rPr>
              <w:t>(in thousands)</w:t>
            </w:r>
          </w:p>
        </w:tc>
        <w:tc>
          <w:tcPr>
            <w:tcW w:w="120" w:type="dxa"/>
            <w:tcBorders/>
            <w:vAlign w:val="center"/>
          </w:tcPr>
          <w:p>
            <w:pPr>
              <w:pStyle w:val="TableContents"/>
              <w:bidi w:val="0"/>
              <w:spacing w:before="0" w:after="283"/>
              <w:jc w:val="left"/>
              <w:rPr/>
            </w:pPr>
            <w:r>
              <w:rPr/>
              <w:t>  </w:t>
            </w:r>
          </w:p>
        </w:tc>
        <w:tc>
          <w:tcPr>
            <w:tcW w:w="1466"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81"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5" w:type="dxa"/>
            <w:gridSpan w:val="2"/>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r>
      <w:tr>
        <w:trPr/>
        <w:tc>
          <w:tcPr>
            <w:tcW w:w="38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jc w:val="right"/>
              <w:rPr/>
            </w:pPr>
            <w:r>
              <w:rPr/>
              <w:t>66,833</w:t>
            </w:r>
          </w:p>
        </w:tc>
        <w:tc>
          <w:tcPr>
            <w:tcW w:w="24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44,632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39,419</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65" w:type="dxa"/>
            <w:tcBorders/>
            <w:shd w:fill="CCEEFF" w:val="clear"/>
            <w:vAlign w:val="center"/>
          </w:tcPr>
          <w:p>
            <w:pPr>
              <w:pStyle w:val="TableContents"/>
              <w:bidi w:val="0"/>
              <w:spacing w:before="0" w:after="283"/>
              <w:jc w:val="right"/>
              <w:rPr/>
            </w:pPr>
            <w:r>
              <w:rPr/>
              <w:t>44,130</w:t>
            </w:r>
          </w:p>
        </w:tc>
        <w:tc>
          <w:tcPr>
            <w:tcW w:w="175" w:type="dxa"/>
            <w:tcBorders/>
            <w:shd w:fill="CCEEFF" w:val="clear"/>
            <w:vAlign w:val="center"/>
          </w:tcPr>
          <w:p>
            <w:pPr>
              <w:pStyle w:val="TableContents"/>
              <w:bidi w:val="0"/>
              <w:spacing w:before="0" w:after="283"/>
              <w:jc w:val="left"/>
              <w:rPr/>
            </w:pPr>
            <w:r>
              <w:rPr/>
              <w:t> </w:t>
            </w:r>
          </w:p>
        </w:tc>
      </w:tr>
      <w:tr>
        <w:trPr/>
        <w:tc>
          <w:tcPr>
            <w:tcW w:w="3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1,402</w:t>
            </w:r>
          </w:p>
        </w:tc>
        <w:tc>
          <w:tcPr>
            <w:tcW w:w="24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14,062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8,299</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26,753</w:t>
            </w:r>
          </w:p>
        </w:tc>
        <w:tc>
          <w:tcPr>
            <w:tcW w:w="175" w:type="dxa"/>
            <w:tcBorders/>
            <w:vAlign w:val="center"/>
          </w:tcPr>
          <w:p>
            <w:pPr>
              <w:pStyle w:val="TableContents"/>
              <w:bidi w:val="0"/>
              <w:spacing w:before="0" w:after="283"/>
              <w:jc w:val="left"/>
              <w:rPr/>
            </w:pPr>
            <w:r>
              <w:rPr/>
              <w:t> </w:t>
            </w:r>
          </w:p>
        </w:tc>
      </w:tr>
      <w:tr>
        <w:trPr/>
        <w:tc>
          <w:tcPr>
            <w:tcW w:w="38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(1,843</w:t>
            </w:r>
          </w:p>
        </w:tc>
        <w:tc>
          <w:tcPr>
            <w:tcW w:w="24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(1,583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(3,293</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(4,855</w:t>
            </w:r>
          </w:p>
        </w:tc>
        <w:tc>
          <w:tcPr>
            <w:tcW w:w="175" w:type="dxa"/>
            <w:tcBorders/>
            <w:shd w:fill="CCEEFF" w:val="clear"/>
            <w:vAlign w:val="center"/>
          </w:tcPr>
          <w:p>
            <w:pPr>
              <w:pStyle w:val="TableContents"/>
              <w:bidi w:val="0"/>
              <w:spacing w:before="0" w:after="283"/>
              <w:jc w:val="left"/>
              <w:rPr/>
            </w:pPr>
            <w:r>
              <w:rPr/>
              <w:t>) </w:t>
            </w:r>
          </w:p>
        </w:tc>
      </w:tr>
      <w:tr>
        <w:trPr/>
        <w:tc>
          <w:tcPr>
            <w:tcW w:w="3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5,823</w:t>
            </w:r>
          </w:p>
        </w:tc>
        <w:tc>
          <w:tcPr>
            <w:tcW w:w="24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1,047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9,989</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1,309</w:t>
            </w:r>
          </w:p>
        </w:tc>
        <w:tc>
          <w:tcPr>
            <w:tcW w:w="175" w:type="dxa"/>
            <w:tcBorders/>
            <w:vAlign w:val="center"/>
          </w:tcPr>
          <w:p>
            <w:pPr>
              <w:pStyle w:val="TableContents"/>
              <w:bidi w:val="0"/>
              <w:spacing w:before="0" w:after="283"/>
              <w:jc w:val="left"/>
              <w:rPr/>
            </w:pPr>
            <w:r>
              <w:rPr/>
              <w:t> </w:t>
            </w:r>
          </w:p>
        </w:tc>
      </w:tr>
      <w:tr>
        <w:trPr/>
        <w:tc>
          <w:tcPr>
            <w:tcW w:w="38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26,759</w:t>
            </w:r>
          </w:p>
        </w:tc>
        <w:tc>
          <w:tcPr>
            <w:tcW w:w="24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20,191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50,489</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39,763</w:t>
            </w:r>
          </w:p>
        </w:tc>
        <w:tc>
          <w:tcPr>
            <w:tcW w:w="175" w:type="dxa"/>
            <w:tcBorders/>
            <w:shd w:fill="CCEEFF" w:val="clear"/>
            <w:vAlign w:val="center"/>
          </w:tcPr>
          <w:p>
            <w:pPr>
              <w:pStyle w:val="TableContents"/>
              <w:bidi w:val="0"/>
              <w:spacing w:before="0" w:after="283"/>
              <w:jc w:val="left"/>
              <w:rPr/>
            </w:pPr>
            <w:r>
              <w:rPr/>
              <w:t> </w:t>
            </w:r>
          </w:p>
        </w:tc>
      </w:tr>
      <w:tr>
        <w:trPr/>
        <w:tc>
          <w:tcPr>
            <w:tcW w:w="38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1248" w:type="dxa"/>
            <w:tcBorders/>
            <w:vAlign w:val="center"/>
          </w:tcPr>
          <w:p>
            <w:pPr>
              <w:pStyle w:val="TableContents"/>
              <w:pBdr>
                <w:top w:val="single" w:sz="2"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10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pBdr>
                <w:top w:val="single" w:sz="2" w:space="1" w:color="000000"/>
              </w:pBdr>
              <w:bidi w:val="0"/>
              <w:spacing w:before="0" w:after="0"/>
              <w:jc w:val="left"/>
              <w:rPr/>
            </w:pPr>
            <w:r>
              <w:rPr/>
              <w:t> </w:t>
            </w:r>
          </w:p>
        </w:tc>
        <w:tc>
          <w:tcPr>
            <w:tcW w:w="1061" w:type="dxa"/>
            <w:tcBorders/>
            <w:vAlign w:val="center"/>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4" w:type="dxa"/>
            <w:tcBorders/>
            <w:vAlign w:val="center"/>
          </w:tcPr>
          <w:p>
            <w:pPr>
              <w:pStyle w:val="TableContents"/>
              <w:pBdr>
                <w:top w:val="single" w:sz="2" w:space="1" w:color="000000"/>
              </w:pBdr>
              <w:bidi w:val="0"/>
              <w:spacing w:before="0" w:after="0"/>
              <w:jc w:val="left"/>
              <w:rPr/>
            </w:pPr>
            <w:r>
              <w:rPr/>
              <w:t> </w:t>
            </w:r>
          </w:p>
        </w:tc>
        <w:tc>
          <w:tcPr>
            <w:tcW w:w="1065" w:type="dxa"/>
            <w:tcBorders/>
            <w:vAlign w:val="center"/>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98,974</w:t>
            </w:r>
          </w:p>
        </w:tc>
        <w:tc>
          <w:tcPr>
            <w:tcW w:w="24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78,349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104,903</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107,100</w:t>
            </w:r>
          </w:p>
        </w:tc>
        <w:tc>
          <w:tcPr>
            <w:tcW w:w="175" w:type="dxa"/>
            <w:tcBorders/>
            <w:vAlign w:val="center"/>
          </w:tcPr>
          <w:p>
            <w:pPr>
              <w:pStyle w:val="TableContents"/>
              <w:bidi w:val="0"/>
              <w:spacing w:before="0" w:after="283"/>
              <w:jc w:val="left"/>
              <w:rPr/>
            </w:pPr>
            <w:r>
              <w:rPr/>
              <w:t> </w:t>
            </w:r>
          </w:p>
        </w:tc>
      </w:tr>
      <w:tr>
        <w:trPr/>
        <w:tc>
          <w:tcPr>
            <w:tcW w:w="38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14,796</w:t>
            </w:r>
          </w:p>
        </w:tc>
        <w:tc>
          <w:tcPr>
            <w:tcW w:w="24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1,260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79,670</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1,972</w:t>
            </w:r>
          </w:p>
        </w:tc>
        <w:tc>
          <w:tcPr>
            <w:tcW w:w="175" w:type="dxa"/>
            <w:tcBorders/>
            <w:shd w:fill="CCEEFF" w:val="clear"/>
            <w:vAlign w:val="center"/>
          </w:tcPr>
          <w:p>
            <w:pPr>
              <w:pStyle w:val="TableContents"/>
              <w:bidi w:val="0"/>
              <w:spacing w:before="0" w:after="283"/>
              <w:jc w:val="left"/>
              <w:rPr/>
            </w:pPr>
            <w:r>
              <w:rPr/>
              <w:t> </w:t>
            </w:r>
          </w:p>
        </w:tc>
      </w:tr>
      <w:tr>
        <w:trPr/>
        <w:tc>
          <w:tcPr>
            <w:tcW w:w="3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(Gain)/loss on the disposal of property and equipment</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(24</w:t>
            </w:r>
          </w:p>
        </w:tc>
        <w:tc>
          <w:tcPr>
            <w:tcW w:w="24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(34</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3</w:t>
            </w:r>
          </w:p>
        </w:tc>
        <w:tc>
          <w:tcPr>
            <w:tcW w:w="175" w:type="dxa"/>
            <w:tcBorders/>
            <w:vAlign w:val="center"/>
          </w:tcPr>
          <w:p>
            <w:pPr>
              <w:pStyle w:val="TableContents"/>
              <w:bidi w:val="0"/>
              <w:spacing w:before="0" w:after="283"/>
              <w:jc w:val="left"/>
              <w:rPr/>
            </w:pPr>
            <w:r>
              <w:rPr/>
              <w:t> </w:t>
            </w:r>
          </w:p>
        </w:tc>
      </w:tr>
      <w:tr>
        <w:trPr/>
        <w:tc>
          <w:tcPr>
            <w:tcW w:w="38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the extinguishment of debt</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10,688</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the fair value of derivative</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(1</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54</w:t>
            </w:r>
          </w:p>
        </w:tc>
        <w:tc>
          <w:tcPr>
            <w:tcW w:w="175" w:type="dxa"/>
            <w:tcBorders/>
            <w:vAlign w:val="center"/>
          </w:tcPr>
          <w:p>
            <w:pPr>
              <w:pStyle w:val="TableContents"/>
              <w:bidi w:val="0"/>
              <w:spacing w:before="0" w:after="283"/>
              <w:jc w:val="left"/>
              <w:rPr/>
            </w:pPr>
            <w:r>
              <w:rPr/>
              <w:t> </w:t>
            </w:r>
          </w:p>
        </w:tc>
      </w:tr>
      <w:tr>
        <w:trPr/>
        <w:tc>
          <w:tcPr>
            <w:tcW w:w="38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receivable agreement remeasurement</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(2,428</w:t>
            </w:r>
          </w:p>
        </w:tc>
        <w:tc>
          <w:tcPr>
            <w:tcW w:w="24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(2,428</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Non-recurring private equity management fees, transaction, integration and transition costs, and other non-cash costs(1)</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6,162</w:t>
            </w:r>
          </w:p>
        </w:tc>
        <w:tc>
          <w:tcPr>
            <w:tcW w:w="24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6,707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17,198</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11,191</w:t>
            </w:r>
          </w:p>
        </w:tc>
        <w:tc>
          <w:tcPr>
            <w:tcW w:w="175" w:type="dxa"/>
            <w:tcBorders/>
            <w:vAlign w:val="center"/>
          </w:tcPr>
          <w:p>
            <w:pPr>
              <w:pStyle w:val="TableContents"/>
              <w:bidi w:val="0"/>
              <w:spacing w:before="0" w:after="283"/>
              <w:jc w:val="left"/>
              <w:rPr/>
            </w:pPr>
            <w:r>
              <w:rPr/>
              <w:t> </w:t>
            </w:r>
          </w:p>
        </w:tc>
      </w:tr>
      <w:tr>
        <w:trPr/>
        <w:tc>
          <w:tcPr>
            <w:tcW w:w="38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1248" w:type="dxa"/>
            <w:tcBorders/>
            <w:vAlign w:val="center"/>
          </w:tcPr>
          <w:p>
            <w:pPr>
              <w:pStyle w:val="TableContents"/>
              <w:pBdr>
                <w:top w:val="single" w:sz="2"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10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pBdr>
                <w:top w:val="single" w:sz="2" w:space="1" w:color="000000"/>
              </w:pBdr>
              <w:bidi w:val="0"/>
              <w:spacing w:before="0" w:after="0"/>
              <w:jc w:val="left"/>
              <w:rPr/>
            </w:pPr>
            <w:r>
              <w:rPr/>
              <w:t> </w:t>
            </w:r>
          </w:p>
        </w:tc>
        <w:tc>
          <w:tcPr>
            <w:tcW w:w="1061" w:type="dxa"/>
            <w:tcBorders/>
            <w:vAlign w:val="center"/>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4" w:type="dxa"/>
            <w:tcBorders/>
            <w:vAlign w:val="center"/>
          </w:tcPr>
          <w:p>
            <w:pPr>
              <w:pStyle w:val="TableContents"/>
              <w:pBdr>
                <w:top w:val="single" w:sz="2" w:space="1" w:color="000000"/>
              </w:pBdr>
              <w:bidi w:val="0"/>
              <w:spacing w:before="0" w:after="0"/>
              <w:jc w:val="left"/>
              <w:rPr/>
            </w:pPr>
            <w:r>
              <w:rPr/>
              <w:t> </w:t>
            </w:r>
          </w:p>
        </w:tc>
        <w:tc>
          <w:tcPr>
            <w:tcW w:w="1065" w:type="dxa"/>
            <w:tcBorders/>
            <w:vAlign w:val="center"/>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8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jc w:val="right"/>
              <w:rPr/>
            </w:pPr>
            <w:r>
              <w:rPr/>
              <w:t>117,480</w:t>
            </w:r>
          </w:p>
        </w:tc>
        <w:tc>
          <w:tcPr>
            <w:tcW w:w="24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86,291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209,996</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65" w:type="dxa"/>
            <w:tcBorders/>
            <w:shd w:fill="CCEEFF" w:val="clear"/>
            <w:vAlign w:val="center"/>
          </w:tcPr>
          <w:p>
            <w:pPr>
              <w:pStyle w:val="TableContents"/>
              <w:bidi w:val="0"/>
              <w:spacing w:before="0" w:after="283"/>
              <w:jc w:val="right"/>
              <w:rPr/>
            </w:pPr>
            <w:r>
              <w:rPr/>
              <w:t>120,320</w:t>
            </w:r>
          </w:p>
        </w:tc>
        <w:tc>
          <w:tcPr>
            <w:tcW w:w="175" w:type="dxa"/>
            <w:tcBorders/>
            <w:shd w:fill="CCEEFF" w:val="clear"/>
            <w:vAlign w:val="center"/>
          </w:tcPr>
          <w:p>
            <w:pPr>
              <w:pStyle w:val="TableContents"/>
              <w:bidi w:val="0"/>
              <w:spacing w:before="0" w:after="283"/>
              <w:jc w:val="left"/>
              <w:rPr/>
            </w:pPr>
            <w:r>
              <w:rPr/>
              <w:t> </w:t>
            </w:r>
          </w:p>
        </w:tc>
      </w:tr>
      <w:tr>
        <w:trPr/>
        <w:tc>
          <w:tcPr>
            <w:tcW w:w="38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double" w:sz="6" w:space="1" w:color="000000"/>
              </w:pBdr>
              <w:bidi w:val="0"/>
              <w:spacing w:before="0" w:after="0"/>
              <w:jc w:val="left"/>
              <w:rPr/>
            </w:pPr>
            <w:r>
              <w:rPr/>
              <w:t> </w:t>
            </w:r>
          </w:p>
        </w:tc>
        <w:tc>
          <w:tcPr>
            <w:tcW w:w="1248" w:type="dxa"/>
            <w:tcBorders/>
            <w:vAlign w:val="center"/>
          </w:tcPr>
          <w:p>
            <w:pPr>
              <w:pStyle w:val="TableContents"/>
              <w:pBdr>
                <w:top w:val="double" w:sz="6"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double" w:sz="6" w:space="1" w:color="000000"/>
              </w:pBdr>
              <w:bidi w:val="0"/>
              <w:spacing w:before="0" w:after="0"/>
              <w:jc w:val="left"/>
              <w:rPr/>
            </w:pPr>
            <w:r>
              <w:rPr/>
              <w:t> </w:t>
            </w:r>
          </w:p>
        </w:tc>
        <w:tc>
          <w:tcPr>
            <w:tcW w:w="1063"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pBdr>
                <w:top w:val="double" w:sz="6" w:space="1" w:color="000000"/>
              </w:pBdr>
              <w:bidi w:val="0"/>
              <w:spacing w:before="0" w:after="0"/>
              <w:jc w:val="left"/>
              <w:rPr/>
            </w:pPr>
            <w:r>
              <w:rPr/>
              <w:t> </w:t>
            </w:r>
          </w:p>
        </w:tc>
        <w:tc>
          <w:tcPr>
            <w:tcW w:w="1061" w:type="dxa"/>
            <w:tcBorders/>
            <w:vAlign w:val="center"/>
          </w:tcPr>
          <w:p>
            <w:pPr>
              <w:pStyle w:val="TableContents"/>
              <w:pBdr>
                <w:top w:val="double" w:sz="6"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4" w:type="dxa"/>
            <w:tcBorders/>
            <w:vAlign w:val="center"/>
          </w:tcPr>
          <w:p>
            <w:pPr>
              <w:pStyle w:val="TableContents"/>
              <w:pBdr>
                <w:top w:val="double" w:sz="6" w:space="1" w:color="000000"/>
              </w:pBdr>
              <w:bidi w:val="0"/>
              <w:spacing w:before="0" w:after="0"/>
              <w:jc w:val="left"/>
              <w:rPr/>
            </w:pPr>
            <w:r>
              <w:rPr/>
              <w:t> </w:t>
            </w:r>
          </w:p>
        </w:tc>
        <w:tc>
          <w:tcPr>
            <w:tcW w:w="1065" w:type="dxa"/>
            <w:tcBorders/>
            <w:vAlign w:val="center"/>
          </w:tcPr>
          <w:p>
            <w:pPr>
              <w:pStyle w:val="TableContents"/>
              <w:pBdr>
                <w:top w:val="double" w:sz="6"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Consists of management fees paid to American Securities, that are no longer being incurred following the IPO date, one-time IPO related costs, non-recurring transaction and integration costs inclusive of deferred compensation or earn-out structures to employees of acquired businesses that are not related to normal course compensation and are conditioned on post-closing service obligations, and other non-cash or non-recurring expenses. We recorded management fees, including reimbursable expenses, of $— and $1,204 for the three months ended June 30, 2026 and 2025, respectively and $750 and $1,954 for the six months ended June 30, 2026 and 2025. For the three months ended June 30, 2026, we recorded $4,745 related to transaction and integration costs, and non-capitalized IPO related costs, and wrote-off $1,292 of capitalized development costs and other development assets included in cost of revenue related to activity from the historical development business no longer in service, which were offset by miscellaneous immaterial adjustments. For the six months ended June 30, 2026, we recorded $11,237 related to transaction and integration costs, and noncapitalized IPO related costs, and wrote-off $5,232 of capitalized development costs and other development assets included in cost of revenue related to activity from the historical development business no longer in service, which were offset by miscellaneous immaterial adjustments.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i/>
          <w:sz w:val="20"/>
        </w:rPr>
      </w:pPr>
      <w:r>
        <w:rPr>
          <w:rFonts w:ascii="Times New Roman" w:hAnsi="Times New Roman"/>
          <w:i/>
          <w:sz w:val="20"/>
        </w:rPr>
        <w:t xml:space="preserve">Sources and Uses of Liquidity </w:t>
      </w:r>
    </w:p>
    <w:p>
      <w:pPr>
        <w:pStyle w:val="TextBody"/>
        <w:bidi w:val="0"/>
        <w:spacing w:before="120" w:after="0"/>
        <w:jc w:val="left"/>
        <w:rPr>
          <w:rFonts w:ascii="Times New Roman" w:hAnsi="Times New Roman"/>
          <w:i/>
          <w:sz w:val="20"/>
        </w:rPr>
      </w:pPr>
      <w:r>
        <w:rPr>
          <w:rFonts w:ascii="Times New Roman" w:hAnsi="Times New Roman"/>
          <w:i/>
          <w:sz w:val="20"/>
        </w:rPr>
        <w:t xml:space="preserve">IPO and Subsequent Transactions </w:t>
      </w:r>
    </w:p>
    <w:p>
      <w:pPr>
        <w:pStyle w:val="TextBody"/>
        <w:bidi w:val="0"/>
        <w:spacing w:before="120" w:after="0"/>
        <w:jc w:val="left"/>
        <w:rPr>
          <w:rFonts w:ascii="Times New Roman" w:hAnsi="Times New Roman"/>
          <w:sz w:val="20"/>
        </w:rPr>
      </w:pPr>
      <w:r>
        <w:rPr>
          <w:rFonts w:ascii="Times New Roman" w:hAnsi="Times New Roman"/>
          <w:sz w:val="20"/>
        </w:rPr>
        <w:t xml:space="preserve">On February 12, 2026, we completed our IPO and received $552.5 million net proceeds from the sale of 23,575,000 shares of our Class A common stock at a price to the public of $25.00 per share. The net proceeds from our IPO were used to purchase 23,575,000 newly issued LLC Interests directly from Holdings at a price per unit equal to the IPO price per share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IPO, SOLV Energy Inc. caused Holdings to use the net proceeds received from the sale of LLC Interests to SOLV Energy, Inc. to repay in full approximately $405.6 million of amounts due upon repayment under the Term Loans, and the remainder for general corporate purposes, which could include growth initiatives, including potential merger and acquisition opportunities. Additionally, we have entered into the New Revolving Credit Facility with various lenders in an aggregate amount of approximately $200.0 million. </w:t>
      </w:r>
    </w:p>
    <w:p>
      <w:pPr>
        <w:pStyle w:val="TextBody"/>
        <w:bidi w:val="0"/>
        <w:spacing w:before="360" w:after="0"/>
        <w:jc w:val="left"/>
        <w:rPr>
          <w:rFonts w:ascii="Times New Roman" w:hAnsi="Times New Roman"/>
          <w:i/>
          <w:sz w:val="20"/>
        </w:rPr>
      </w:pPr>
      <w:r>
        <w:rPr>
          <w:rFonts w:ascii="Times New Roman" w:hAnsi="Times New Roman"/>
          <w:i/>
          <w:sz w:val="20"/>
        </w:rPr>
        <w:t xml:space="preserve">Sources and Uses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We have historically funded our operations and business activities primarily from cash flows from operating activities as well as borrowings under our Prior Credit Facilities. As of June 30, 2026, we had $364.0 million of cash, $186.6 million of undrawn availability under our New Revolving Credit Facility and $13.4 million in letters of credit issued and outstanding. We believe that our existing cash balances, cash flows from our operations and borrowings under our New Revolving Credit Facility will be sufficient to fund our operations for at least the next twelve months.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Liquidity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and have no material assets other than our ownership of LLC Interests. We have no independent means of generating revenue. The SOLV Energy Holdings LLC Agreement provides for the payment of certain distributions to the Continuing Equity Owners and to us in amounts sufficient to cover the income taxes imposed on such members with respect to the allocation of taxable income from Holdings as well as to cover our obligations under the Tax Receivable Agreement and other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Regarding the ability of Holdings to make distributions to us, the terms of our New Revolving Credit Facility contain covenants that may restrict Holdings or its subsidiaries from paying such distributions, subject to certain exceptions (including with respect to post-IPO public company expenses). Further, Holdings is generally prohibited under Delaware law from making a distribution to a member to the extent that, at the time of the distribution, after giving effect to the distribution, liabilities of Holdings (with certain exceptions) exceed the fair value of its assets.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Tax Receivable Agreement, we are required to make cash payments to the TRA Participants equal to 85% of the tax benefits, if any, that we actually realize (or in certain circumstances are deemed to realize), as a result of (i) our allocable share of existing tax basis acquired in connection with the Transactions; (ii) the utilization of certain tax attributes of the Blocker Companies (including net operating losses); (iii) tax basis adjustments resulting from future redemptions or exchanges of LLC Interests; and (iv) certain tax benefits (such as interest deductions) arising from payments made under the Tax Receivable Agreement. We expect the amount of cash payments that we will be required to make under the Tax Receivable Agreement will be significant. The actual amount and timing of any payments under the Tax Receivable Agreement will vary depending upon a number of factors, including the timing of redemptions or exchanges by the Continuing Equity Owners, the amount and timing of the taxable income we generate in the future, and the tax rates then applicable. Any payments made by us to the TRA Participants under the Tax Receivable Agreement will generally reduce the amount of overall cash flow that might have otherwise been available to us.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Holdings does not have sufficient funds to make distributions, our ability to declare and pay cash dividends will also be restricted or impaired.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in the event we declare any cash dividends, we intend to cause Holdings to make distributions to us in amounts sufficient to fund such cash dividends declared by us to our stockholders. Deterioration in the financial condition, earnings, or cash flow of Holdings for any reason could limit or impair its ability to pay such distributions. If we do not have sufficient funds to pay taxes or other liabilities or to fund our operations, we may have to borrow funds, which could materially adversely affect our liquidity and financial condition and subject us to various restrictions imposed by any such lenders. </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Part I—Item 1A. Risk Factors—Risks Related to Our Organizational Structure</w:t>
      </w:r>
      <w:r>
        <w:rPr>
          <w:rFonts w:ascii="Times New Roman" w:hAnsi="Times New Roman"/>
          <w:sz w:val="20"/>
        </w:rPr>
        <w:t>” and “</w:t>
      </w:r>
      <w:r>
        <w:rPr>
          <w:rFonts w:ascii="Times New Roman" w:hAnsi="Times New Roman"/>
          <w:i/>
          <w:sz w:val="20"/>
        </w:rPr>
        <w:t>Part III, Item 13. Certain Relationships and Related Transactions, and Director Independence</w:t>
      </w:r>
      <w:r>
        <w:rPr>
          <w:rFonts w:ascii="Times New Roman" w:hAnsi="Times New Roman"/>
          <w:sz w:val="20"/>
        </w:rPr>
        <w:t xml:space="preserve">” of our Annual Report on Form 10-K for the year ended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a summary of our consolidated statements of cash flows for the six months ended June 30, 2026 and 2025: </w:t>
      </w:r>
    </w:p>
    <w:p>
      <w:pPr>
        <w:pStyle w:val="TextBody"/>
        <w:bidi w:val="0"/>
        <w:spacing w:before="0" w:after="0"/>
        <w:jc w:val="left"/>
        <w:rPr/>
      </w:pPr>
      <w:r>
        <w:rPr/>
        <w:t> </w:t>
      </w:r>
    </w:p>
    <w:tbl>
      <w:tblPr>
        <w:tblW w:w="6493" w:type="dxa"/>
        <w:jc w:val="left"/>
        <w:tblInd w:w="0" w:type="dxa"/>
        <w:tblLayout w:type="fixed"/>
        <w:tblCellMar>
          <w:top w:w="0" w:type="dxa"/>
          <w:left w:w="0" w:type="dxa"/>
          <w:bottom w:w="0" w:type="dxa"/>
          <w:right w:w="0" w:type="dxa"/>
        </w:tblCellMar>
      </w:tblPr>
      <w:tblGrid>
        <w:gridCol w:w="3380"/>
        <w:gridCol w:w="120"/>
        <w:gridCol w:w="191"/>
        <w:gridCol w:w="1031"/>
        <w:gridCol w:w="211"/>
        <w:gridCol w:w="163"/>
        <w:gridCol w:w="191"/>
        <w:gridCol w:w="1036"/>
        <w:gridCol w:w="17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i/>
              </w:rPr>
            </w:pPr>
            <w:r>
              <w:rPr>
                <w:i/>
              </w:rPr>
              <w:t>(in thousands)</w:t>
            </w:r>
          </w:p>
        </w:tc>
        <w:tc>
          <w:tcPr>
            <w:tcW w:w="120" w:type="dxa"/>
            <w:tcBorders/>
            <w:vAlign w:val="center"/>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46,039</w:t>
            </w:r>
          </w:p>
        </w:tc>
        <w:tc>
          <w:tcPr>
            <w:tcW w:w="21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50,836</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(15,960</w:t>
            </w:r>
          </w:p>
        </w:tc>
        <w:tc>
          <w:tcPr>
            <w:tcW w:w="21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right"/>
              <w:rPr/>
            </w:pPr>
            <w:r>
              <w:rPr/>
              <w:t>(61,069</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(60,987</w:t>
            </w:r>
          </w:p>
        </w:tc>
        <w:tc>
          <w:tcPr>
            <w:tcW w:w="21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(34,333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flow provided by operating activities for the six months ended June 30, 2026 was a net cash inflow of $46.0 million, a decrease of $4.8 million as compared to a net cash inflow of $50.8 million for the six months ended June 30, 2025. This decrease was driven by higher net cash outflows of $95.7 million related to operating assets and liabilities, primarily supplier deposits and materials inventory, partially offset by a $90.9 million increase in net income after adjusting for non-cash items.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flow used in investing activities for the six months ended June 30, 2026 was a net cash outflow of $16.0 million, a decrease of $45.1 million as compared to a net cash outflow of $61.1 million for the six months ended June 30, 2025. This decrease was primarily driven by a $55.8 million decrease in cash paid for acquisitions, partially offset by a $10.6 million increase in capital expenditures.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flow used in financing activities for the six months ended June 30, 2026 was a net cash outflow of $61.0 million, an increase of $26.7 million as compared to a net cash outflow of $34.3 million for the six months ended June 30, 2025. This increase was primarily driven by the increase of term debt repayments from extinguishment of term debt of $403.2 million, repurchase of LLC interests of $291.7 million, increased distributions to members of Holdings of $112.6 million, $47.0 million of term debt and equipment financing borrowings in 2025, a $5.5 million increase for payment of deferred acquisition consideration, a $8.7 million increase in payments for equity and debt issuance costs, and a $2.2 million increase in the payment of finance leases and equipment financing, offset by net proceeds from issuance of Class A common stock of $844.2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Our unaudited interim Condensed Consolidated Financial Statements have been prepared in accordance with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please see our discussion included in our Annual Report on Form 10-K for the year ended December 31, 2025. There have been no material changes to our critical accounting estimates since our Annual Report, except as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Holdings was historically an entity disregarded as separate from SOLV Energy Parent Holdings LP for U.S. federal income tax purposes. In connection with the Transactions, Holdings became taxable as a partnership under the appropriate provisions of the Code and will be a continuation of SOLV Energy Parent Holdings LP for U.S. federal income tax purposes. Therefore, federal income taxes are payable by the unitholders and no provisions are made for federal income taxes with respect to income of Holdings in the consolidated financial statements. However, although various state and local income taxes are imposed on a “flow- through” basis and are thus payable by the unitholders, Holdings has historically been subject to certain state and local income taxes at the entity level. In addition, one or more subsidiaries of Holdings are corporations for U.S. federal income tax purposes that are subject to U.S. federal, state and local corporate income tax. </w:t>
      </w:r>
    </w:p>
    <w:p>
      <w:pPr>
        <w:pStyle w:val="TextBody"/>
        <w:bidi w:val="0"/>
        <w:spacing w:before="240" w:after="0"/>
        <w:jc w:val="left"/>
        <w:rPr>
          <w:rFonts w:ascii="Times New Roman" w:hAnsi="Times New Roman"/>
          <w:sz w:val="20"/>
        </w:rPr>
      </w:pPr>
      <w:r>
        <w:rPr>
          <w:rFonts w:ascii="Times New Roman" w:hAnsi="Times New Roman"/>
          <w:sz w:val="20"/>
        </w:rPr>
        <w:t xml:space="preserve">After the closing of the IPO, we became subject to U.S. federal, state and local income taxes with respect to our allocable share of any taxable income of Holdings and are taxed at the prevailing corporate tax rates. In addition to tax expenses, we may incur expenses related to our operations, plus expected payments under the Tax Receivable Agreement, which may be significant. We intend to cause Holdings to make distributions in an amount sufficient to allow us to pay our tax obligations and operating expenses, including distributions to fund any payments due under the Tax Receivable Agreement. We will account for the income tax effects and corresponding Tax Receivable Agreement’s effects resulting from future taxable exchanges or redemptions of LLC Interests held by Continuing Equity Owners and its permitted transferees by recognizing an increase in deferred tax assets, based on enacted tax rates at the date of the purchase or redemption. </w:t>
      </w:r>
    </w:p>
    <w:p>
      <w:pPr>
        <w:pStyle w:val="TextBody"/>
        <w:bidi w:val="0"/>
        <w:spacing w:before="240" w:after="0"/>
        <w:jc w:val="left"/>
        <w:rPr>
          <w:rFonts w:ascii="Times New Roman" w:hAnsi="Times New Roman"/>
          <w:sz w:val="20"/>
        </w:rPr>
      </w:pPr>
      <w:r>
        <w:rPr>
          <w:rFonts w:ascii="Times New Roman" w:hAnsi="Times New Roman"/>
          <w:sz w:val="20"/>
        </w:rPr>
        <w:t xml:space="preserve">Further, we evaluated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redemption and is expected to be accounted for as an adjustment to member’s equity, and the effects of changes in any of our estimates after this date will be included in net income (loss). Similarly, the effect of subsequent changes in the enacted tax rates will be included in net income (loss).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 </w:t>
      </w:r>
    </w:p>
    <w:p>
      <w:pPr>
        <w:pStyle w:val="TextBody"/>
        <w:bidi w:val="0"/>
        <w:spacing w:before="240" w:after="0"/>
        <w:jc w:val="left"/>
        <w:rPr>
          <w:rFonts w:ascii="Times New Roman" w:hAnsi="Times New Roman"/>
          <w:sz w:val="20"/>
        </w:rPr>
      </w:pPr>
      <w:r>
        <w:rPr>
          <w:rFonts w:ascii="Times New Roman" w:hAnsi="Times New Roman"/>
          <w:sz w:val="20"/>
        </w:rPr>
        <w:t xml:space="preserve">Under the provisions of ASC 740, </w:t>
      </w:r>
      <w:r>
        <w:rPr>
          <w:rFonts w:ascii="Times New Roman" w:hAnsi="Times New Roman"/>
          <w:i/>
          <w:sz w:val="20"/>
        </w:rPr>
        <w:t>Income Taxes</w:t>
      </w:r>
      <w:r>
        <w:rPr>
          <w:rFonts w:ascii="Times New Roman" w:hAnsi="Times New Roman"/>
          <w:sz w:val="20"/>
        </w:rPr>
        <w:t xml:space="preserve">,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Equity-Based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2026 Equity Incentive Plan, which was approved in connection with the IPO, provides for the issuance of equity-based awards, including stock options, stock appreciation rights, restricted stock, restricted stock units and other stock-based awards. We have granted equity instruments consisting of restricted stock awards (“RSAs”), restricted stock units (“RSUs”), stock options and restricted unit appreciation awards (“RUA”) to certain employees. We recognize non-cash compensation expense for equity awards over the requisite service period. The RSAs, RSUs, stock options and RUA vest following time-based vesting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fair value of each RUA is based on the cash amount a holder would receive upon the award’s vesting, which prior to the IPO was equal to the fair value of a Class A Unit of SOLV Energy Parent Holdings LP. The fair value of the Class A Units of SOLV Energy Parent Holdings LP was estimated using generally accepted equity valuation and allocation methods. Subsequent to the IPO, the fair value of RUA awards is derived from the fair market value of our Class A common stock on the settlement date. The RSAs are accounted for using a fair-value based method in which the fair values are determined by the stock price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Quarterly Report, all of the RUA awards have vested and the outstanding RUA awards will be settled in cash within 60 days following December 23, 2026, based on the fair market value of the Class A common stock on December 23, 2026. The amount that is payable to settle the RUA awards is approximately $44.7 million as of June 30, 2026 based on the fair market value of the Class A common stock thereon. </w:t>
      </w:r>
    </w:p>
    <w:p>
      <w:pPr>
        <w:pStyle w:val="TextBody"/>
        <w:bidi w:val="0"/>
        <w:spacing w:before="240" w:after="0"/>
        <w:jc w:val="left"/>
        <w:rPr>
          <w:rFonts w:ascii="Times New Roman" w:hAnsi="Times New Roman"/>
          <w:sz w:val="20"/>
        </w:rPr>
      </w:pPr>
      <w:r>
        <w:rPr>
          <w:rFonts w:ascii="Times New Roman" w:hAnsi="Times New Roman"/>
          <w:sz w:val="20"/>
        </w:rPr>
        <w:t xml:space="preserve">We use the Black-Scholes pricing model to estimate the fair value of the stock options. The Black-Scholes option pricing model requires the input of highly subjective assumptions including the risk-free interest rate, the expected volatility, the expected dividend yield, and the expected time to liquidity. The assumptions used to determine the fair value of the stock options represent our best estimates. These estimates involve inherent uncertainties and the application of management’s judgment. Non-cash compensation expense is based on awards ultimately expected to vest and is reduced for forfeitures as they occur. If factors change and different assumptions are used, our non-cash compensation expense could be materially different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had no off-balance sheet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See Note 3—</w:t>
      </w:r>
      <w:r>
        <w:rPr>
          <w:rFonts w:ascii="Times New Roman" w:hAnsi="Times New Roman"/>
          <w:i/>
          <w:sz w:val="20"/>
        </w:rPr>
        <w:t>Summary of Significant Accounting Policies</w:t>
      </w:r>
      <w:r>
        <w:rPr>
          <w:rFonts w:ascii="Times New Roman" w:hAnsi="Times New Roman"/>
          <w:sz w:val="20"/>
        </w:rPr>
        <w:t xml:space="preserve"> to our unaudited condensed consolidated financial statements included elsewhere in this Quarterly Report for information regarding new accounting pronouncements.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8" w:name="toc152940_13"/>
      <w:bookmarkEnd w:id="8"/>
      <w:r>
        <w:rPr>
          <w:rFonts w:ascii="Times New Roman" w:hAnsi="Times New Roman"/>
          <w:b/>
          <w:sz w:val="20"/>
        </w:rPr>
        <w:t xml:space="preserve">ITEM 3. 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from changes in interest rates and inflation. These market risks arise in the normal course of business. During the six months ended June 30, 2026, there have been no material changes to the information included under “Item 7A. Quantitative and Qualitative Disclosures About Market Risk” in our Annual Report on Form 10-K for the year ended December 31, 2025. </w:t>
      </w:r>
    </w:p>
    <w:p>
      <w:pPr>
        <w:pStyle w:val="TextBody"/>
        <w:bidi w:val="0"/>
        <w:spacing w:before="360" w:after="0"/>
        <w:jc w:val="left"/>
        <w:rPr>
          <w:rFonts w:ascii="Times New Roman" w:hAnsi="Times New Roman"/>
          <w:b/>
          <w:sz w:val="20"/>
        </w:rPr>
      </w:pPr>
      <w:bookmarkStart w:id="9" w:name="toc152940_14"/>
      <w:bookmarkEnd w:id="9"/>
      <w:r>
        <w:rPr>
          <w:rFonts w:ascii="Times New Roman" w:hAnsi="Times New Roman"/>
          <w:b/>
          <w:sz w:val="20"/>
        </w:rPr>
        <w:t xml:space="preserve">ITEM 4. CONTROLS AND PROCEDURES </w:t>
      </w:r>
    </w:p>
    <w:p>
      <w:pPr>
        <w:pStyle w:val="TextBody"/>
        <w:bidi w:val="0"/>
        <w:spacing w:before="120" w:after="0"/>
        <w:jc w:val="left"/>
        <w:rPr>
          <w:rFonts w:ascii="Times New Roman" w:hAnsi="Times New Roman"/>
          <w:b/>
          <w:sz w:val="20"/>
        </w:rPr>
      </w:pPr>
      <w:r>
        <w:rPr>
          <w:rFonts w:ascii="Times New Roman" w:hAnsi="Times New Roman"/>
          <w:b/>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(“CEO”) and Chief Financial Officer (“CFO”),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under the supervision and with the participation of our CEO and CFO, evaluated the effectiveness of our disclosure controls and procedures, as defined in Rules 13a-15(e) and 15(d)-15(e) of the Exchange Act, as of June 30, 2026. Based on such evaluation, our CEO and CFO have concluded that as of June 30, 2026, our disclosure controls and procedures were not effective due to the material weaknesses in our internal control over financial reporting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Previously Reported Material Weaknesses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described in “Item 9.A. Controls and Procedures” in our Annual Report on Form 10-K for the fiscal year ended December 31, 2025, our management identified material weaknesses in our internal control over financial reporting, which continue to exist as of June 30, 2026.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We identified the following material weaknesses in our internal control over financial reporting: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and implement appropriate controls, policies or procedures over the procure-to-pay process, including the recognition of liabilities incurred and prepayments at period-end. We also lacked appropriate controls around the vendor set-up process and approvals of transactions entered into with vendors as well as controls pertaining to completeness and accuracy of indirect tax accruals on purchases.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and operate effective controls over percentage-of-completion revenue recognition and disclosure, including controls over timely and accurate revenue cut-off, estimates to complete, identification of contracts, transaction price and transaction price allocated to unsatisfied performance obligation disclosures. Further, we did not have sufficient personnel with an appropriate level of technical accounting knowledge to review our revenue recognition conclusions.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or operate effective controls over the review of third-party analyses to determine fair value for purposes of goodwill impairment assessments, business combinations and equity award valuations, including review of significant assumptions and valuation methodologies.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or operate IT general controls related to user access, change management, segregation of duties, and system operations within all IT systems and applications deemed relevant to our financial reporting.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Considering the foregoing, we did not maintain sufficient resources to support effective internal control over financial reporting for the year ended December 31, 2025, including personnel with an appropriate level of technical accounting and public company reporting expertise. In addition, we did not select and develop effective control activities across relevant financial reporting processes, including control activities over technology and generation of data, did not establish and deploy adequate policies and procedures and did not adequately capture and communicate certain risks or impacts due to changes in risks to support the execution of control activities. Accordingly, management concluded that these deficiencies in entity level controls also constitute a material weakness. </w:t>
      </w:r>
    </w:p>
    <w:p>
      <w:pPr>
        <w:pStyle w:val="TextBody"/>
        <w:bidi w:val="0"/>
        <w:spacing w:before="240" w:after="0"/>
        <w:jc w:val="left"/>
        <w:rPr>
          <w:rFonts w:ascii="Times New Roman" w:hAnsi="Times New Roman"/>
          <w:sz w:val="20"/>
        </w:rPr>
      </w:pPr>
      <w:r>
        <w:rPr>
          <w:rFonts w:ascii="Times New Roman" w:hAnsi="Times New Roman"/>
          <w:sz w:val="20"/>
        </w:rPr>
        <w:t xml:space="preserve">Nonetheless, management believes that our consolidated financial statements included in this filing have been prepared in accordance with generally accepted accounting principles. Our CEO and CFO have certified that, based on such officer’s knowledge, the financial statements and other financial information included in this filing fairly present, in all material respects, our financial condition, results of operations and cash flows as of, and for, the periods presented. In addition, we developed and are implementing a remediation plan for the material weaknesses, as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Remediation Efforts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described in “Item 9.A. Controls and Procedures” in our Annual Report on Form 10-K for the fiscal year ended December 31, 2025, we take the remediation of the material weaknesses described above seriously and continue to take steps to establish effective internal control over financial reporting. We began implementing a remediation plan to address the material weaknesses identified in the prior year, and our management continues to be actively engaged in the remediation efforts. We have made progress in executing our remediation plan and are continuing to enhance our control environment, including through the following actions: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designing and documenting our internal control framework and implementing entity level, business process and IT controls. This includes formalizing and performing additional control activities across key financial reporting processes, including process-level and transaction-level controls in areas such as procure-to-pay, revenue recognition, fair value measurements and other significant estimates, period-end financial reporting, and IT General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enhancing our risk assessment procedures through the use of more formalized assessments that consider business risks relevant to financial reporting objectives, including identification of significant entities, accounts, processes and systems, and the relevant assertions, which are refreshed as changes in risk occur and communicating the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strengthening our internal communications around the importance of internal controls and establishing broader oversight responsibilities, including through the use of a formal executive-level Steering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continuing to hire and integrate additional personnel with technical accounting, information technology and public company reporting experience, including individuals with responsibility for the design, execution and review of internal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enhancing accounting policies and procedures to support the consistent execution, review and documentation of controls across key processes and significant accounting areas;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training and other internal communications to relevant personnel, including process owners and control owners regarding related responsibilities for the design, execution and documentation of internal controls including the generation of data;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implementing additional system capabilities related to procurement to improve process standardization, approvals, and documentation.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we believe these actions are improving our internal control over financial reporting, our remediation efforts are ongoing, and the material weaknesses described above will not be considered remediated until the applicable controls have been fully designed and implemented, have operated for a sufficient period of time, and management has concluded, through testing, that these controls are operating effectively.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Except for the remediation measures described above, 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Effectiveness of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A control system, no matter how well-designed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controls.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PART II - OTHER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ITEM 1. LEGAL PROCEEDINGS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non-monetary</w:t>
      </w:r>
    </w:p>
    <w:p>
      <w:pPr>
        <w:pStyle w:val="TextBody"/>
        <w:bidi w:val="0"/>
        <w:spacing w:before="120" w:after="0"/>
        <w:jc w:val="left"/>
        <w:rPr>
          <w:rFonts w:ascii="Times New Roman" w:hAnsi="Times New Roman"/>
          <w:sz w:val="20"/>
        </w:rPr>
      </w:pPr>
      <w:r>
        <w:rPr>
          <w:rFonts w:ascii="Times New Roman" w:hAnsi="Times New Roman"/>
          <w:sz w:val="20"/>
        </w:rPr>
        <w:t xml:space="preserve">sanctions or relief. We are not currently a party to any actions the outcome of which would, individually or in the aggregate, have a material adverse effect on our business, financial condition or results of operations if determined adversely to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ITEM 1A. RISK FACTORS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Our operations and financial results are subject to various risks and uncertainties, including but not limited to those described in “Item 1A. Risk Factors” in our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which could harm our business, reputation, financial condition, and operating results, and affect the trading price of our Class A common stock. There have been no material changes in the risks affecting the Company since the filing of our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ITEM 2. UNREGISTERED SALES OF EQUITY SECURITIES AND USE OF PROCEEDS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b/>
          <w:spacing w:val="0"/>
          <w:sz w:val="20"/>
        </w:rPr>
      </w:pPr>
      <w:r>
        <w:rPr>
          <w:rFonts w:ascii="Times New Roman" w:hAnsi="Times New Roman"/>
          <w:b/>
          <w:spacing w:val="0"/>
          <w:sz w:val="20"/>
        </w:rPr>
        <w:t xml:space="preserve">Use of Proceeds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net proceeds from the IPO were approximately $552.5 million. We used the net proceeds that we received from the IPO to purchase 23,575,000 LLC Interests from Holdings at a price per LLC Interest equal to the IPO price of our Class A common stock, less the underwriting discounts and commissions. In turn, we caused Holdings to use the net proceeds it received from us in connection with the IPO to repay in full approximately $405.6 million of amounts due upon repayment under the Term Loans, and, with respect to the remainder, for general corporate purposes. There has been no material change in the expected use of the net proceeds from the IPO.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ITEM 3. DEFAULTS UPON SENIOR SECURITIES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ITEM 4. MINE SAFETY DISCLOSURES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ITEM 5. OTHER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b/>
          <w:sz w:val="20"/>
        </w:rPr>
      </w:pPr>
      <w:r>
        <w:rPr>
          <w:rFonts w:ascii="Times New Roman" w:hAnsi="Times New Roman"/>
          <w:b/>
          <w:sz w:val="20"/>
        </w:rPr>
        <w:t xml:space="preserve">Rule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10b5-1</w:t>
      </w:r>
    </w:p>
    <w:p>
      <w:pPr>
        <w:pStyle w:val="TextBody"/>
        <w:bidi w:val="0"/>
        <w:spacing w:before="120" w:after="0"/>
        <w:jc w:val="left"/>
        <w:rPr>
          <w:rFonts w:ascii="Times New Roman" w:hAnsi="Times New Roman"/>
          <w:b/>
          <w:sz w:val="20"/>
        </w:rPr>
      </w:pPr>
      <w:r>
        <w:rPr>
          <w:rFonts w:ascii="Times New Roman" w:hAnsi="Times New Roman"/>
          <w:b/>
          <w:sz w:val="20"/>
        </w:rPr>
        <w:t xml:space="preserve">Trading Arrangements </w:t>
      </w:r>
    </w:p>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During the quarterly period ended June 30, 2026, no director or officer adopted or terminated a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240" w:after="0"/>
        <w:jc w:val="left"/>
        <w:rPr>
          <w:rFonts w:ascii="Times New Roman" w:hAnsi="Times New Roman"/>
          <w:sz w:val="20"/>
        </w:rPr>
      </w:pPr>
      <w:r>
        <w:rPr>
          <w:rFonts w:ascii="Times New Roman" w:hAnsi="Times New Roman"/>
          <w:sz w:val="20"/>
        </w:rPr>
        <w:t xml:space="preserve">trading arrangement” or </w:t>
      </w:r>
    </w:p>
    <w:p>
      <w:pPr>
        <w:pStyle w:val="TextBody"/>
        <w:bidi w:val="0"/>
        <w:spacing w:before="240" w:after="0"/>
        <w:jc w:val="left"/>
        <w:rPr>
          <w:spacing w:val="0"/>
        </w:rPr>
      </w:pPr>
      <w:r>
        <w:rPr>
          <w:spacing w:val="0"/>
        </w:rPr>
        <w:t>“</w:t>
      </w:r>
      <w:r>
        <w:rPr>
          <w:rFonts w:ascii="Times New Roman" w:hAnsi="Times New Roman"/>
          <w:spacing w:val="0"/>
          <w:sz w:val="20"/>
        </w:rPr>
        <w:t>non-Rule</w:t>
      </w:r>
    </w:p>
    <w:p>
      <w:pPr>
        <w:pStyle w:val="TextBody"/>
        <w:bidi w:val="0"/>
        <w:spacing w:before="24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240" w:after="0"/>
        <w:jc w:val="left"/>
        <w:rPr>
          <w:rFonts w:ascii="Times New Roman" w:hAnsi="Times New Roman"/>
          <w:sz w:val="20"/>
        </w:rPr>
      </w:pPr>
      <w:r>
        <w:rPr>
          <w:rFonts w:ascii="Times New Roman" w:hAnsi="Times New Roman"/>
          <w:sz w:val="20"/>
        </w:rPr>
        <w:t xml:space="preserve">trading arrangement,” as each term is defined in Item 408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S-K.</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0" w:name="toc152940_22"/>
      <w:bookmarkEnd w:id="10"/>
      <w:r>
        <w:rPr>
          <w:rFonts w:ascii="Times New Roman" w:hAnsi="Times New Roman"/>
          <w:b/>
          <w:sz w:val="20"/>
        </w:rPr>
        <w:t xml:space="preserve">ITEM 6.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Exhibit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3"/>
        <w:gridCol w:w="120"/>
        <w:gridCol w:w="9242"/>
      </w:tblGrid>
      <w:tr>
        <w:trPr/>
        <w:tc>
          <w:tcPr>
            <w:tcW w:w="8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42" w:type="dxa"/>
            <w:tcBorders/>
            <w:vAlign w:val="center"/>
          </w:tcPr>
          <w:p>
            <w:pPr>
              <w:pStyle w:val="TableContents"/>
              <w:bidi w:val="0"/>
              <w:spacing w:before="0" w:after="283"/>
              <w:jc w:val="left"/>
              <w:rPr>
                <w:sz w:val="4"/>
                <w:szCs w:val="4"/>
              </w:rPr>
            </w:pPr>
            <w:r>
              <w:rPr>
                <w:sz w:val="4"/>
                <w:szCs w:val="4"/>
              </w:rPr>
            </w:r>
          </w:p>
        </w:tc>
      </w:tr>
      <w:tr>
        <w:trPr/>
        <w:tc>
          <w:tcPr>
            <w:tcW w:w="84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24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r>
      <w:tr>
        <w:trPr/>
        <w:tc>
          <w:tcPr>
            <w:tcW w:w="843" w:type="dxa"/>
            <w:tcBorders/>
            <w:vAlign w:val="center"/>
          </w:tcPr>
          <w:p>
            <w:pPr>
              <w:pStyle w:val="TableContents"/>
              <w:bidi w:val="0"/>
              <w:spacing w:before="0" w:after="283"/>
              <w:jc w:val="left"/>
              <w:rPr>
                <w:sz w:val="4"/>
                <w:szCs w:val="4"/>
              </w:rPr>
            </w:pPr>
            <w:r>
              <w:rPr>
                <w:sz w:val="4"/>
                <w:szCs w:val="4"/>
              </w:rPr>
            </w:r>
          </w:p>
        </w:tc>
        <w:tc>
          <w:tcPr>
            <w:tcW w:w="9362" w:type="dxa"/>
            <w:gridSpan w:val="2"/>
            <w:tcBorders/>
            <w:vAlign w:val="center"/>
          </w:tcPr>
          <w:p>
            <w:pPr>
              <w:pStyle w:val="TableContents"/>
              <w:bidi w:val="0"/>
              <w:spacing w:before="0" w:after="283"/>
              <w:jc w:val="left"/>
              <w:rPr>
                <w:sz w:val="4"/>
                <w:szCs w:val="4"/>
              </w:rPr>
            </w:pPr>
            <w:r>
              <w:rPr>
                <w:sz w:val="4"/>
                <w:szCs w:val="4"/>
              </w:rPr>
            </w:r>
          </w:p>
        </w:tc>
      </w:tr>
      <w:tr>
        <w:trPr/>
        <w:tc>
          <w:tcPr>
            <w:tcW w:w="843"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hyperlink r:id="rId2">
              <w:r>
                <w:rPr>
                  <w:rStyle w:val="InternetLink"/>
                </w:rPr>
                <w:t xml:space="preserve">Amended and Restated Certificate of Incorporation of SOLV Energy , Inc. (incorporated by reference to Exhibit 3.1 to the Current Report on Form 10-K, filed on March 25, 2026) </w:t>
              </w:r>
            </w:hyperlink>
          </w:p>
        </w:tc>
      </w:tr>
      <w:tr>
        <w:trPr/>
        <w:tc>
          <w:tcPr>
            <w:tcW w:w="843" w:type="dxa"/>
            <w:tcBorders/>
            <w:vAlign w:val="center"/>
          </w:tcPr>
          <w:p>
            <w:pPr>
              <w:pStyle w:val="TableContents"/>
              <w:bidi w:val="0"/>
              <w:spacing w:before="0" w:after="283"/>
              <w:jc w:val="left"/>
              <w:rPr>
                <w:sz w:val="4"/>
                <w:szCs w:val="4"/>
              </w:rPr>
            </w:pPr>
            <w:r>
              <w:rPr>
                <w:sz w:val="4"/>
                <w:szCs w:val="4"/>
              </w:rPr>
            </w:r>
          </w:p>
        </w:tc>
        <w:tc>
          <w:tcPr>
            <w:tcW w:w="9362" w:type="dxa"/>
            <w:gridSpan w:val="2"/>
            <w:tcBorders/>
            <w:vAlign w:val="center"/>
          </w:tcPr>
          <w:p>
            <w:pPr>
              <w:pStyle w:val="TableContents"/>
              <w:bidi w:val="0"/>
              <w:spacing w:before="0" w:after="283"/>
              <w:jc w:val="left"/>
              <w:rPr>
                <w:sz w:val="4"/>
                <w:szCs w:val="4"/>
              </w:rPr>
            </w:pPr>
            <w:r>
              <w:rPr>
                <w:sz w:val="4"/>
                <w:szCs w:val="4"/>
              </w:rPr>
            </w:r>
          </w:p>
        </w:tc>
      </w:tr>
      <w:tr>
        <w:trPr/>
        <w:tc>
          <w:tcPr>
            <w:tcW w:w="843"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hyperlink r:id="rId3">
              <w:r>
                <w:rPr>
                  <w:rStyle w:val="InternetLink"/>
                </w:rPr>
                <w:t xml:space="preserve">Amended and Restated Bylaws of SOLV Energy , Inc. incorporated by reference to Exhibit 3.2 to the Current Report on Form 10-K, filed on March 25, 2026) </w:t>
              </w:r>
            </w:hyperlink>
          </w:p>
        </w:tc>
      </w:tr>
      <w:tr>
        <w:trPr/>
        <w:tc>
          <w:tcPr>
            <w:tcW w:w="843" w:type="dxa"/>
            <w:tcBorders/>
            <w:vAlign w:val="center"/>
          </w:tcPr>
          <w:p>
            <w:pPr>
              <w:pStyle w:val="TableContents"/>
              <w:bidi w:val="0"/>
              <w:spacing w:before="0" w:after="283"/>
              <w:jc w:val="left"/>
              <w:rPr>
                <w:sz w:val="4"/>
                <w:szCs w:val="4"/>
              </w:rPr>
            </w:pPr>
            <w:r>
              <w:rPr>
                <w:sz w:val="4"/>
                <w:szCs w:val="4"/>
              </w:rPr>
            </w:r>
          </w:p>
        </w:tc>
        <w:tc>
          <w:tcPr>
            <w:tcW w:w="9362" w:type="dxa"/>
            <w:gridSpan w:val="2"/>
            <w:tcBorders/>
            <w:vAlign w:val="center"/>
          </w:tcPr>
          <w:p>
            <w:pPr>
              <w:pStyle w:val="TableContents"/>
              <w:bidi w:val="0"/>
              <w:spacing w:before="0" w:after="283"/>
              <w:jc w:val="left"/>
              <w:rPr>
                <w:sz w:val="4"/>
                <w:szCs w:val="4"/>
              </w:rPr>
            </w:pPr>
            <w:r>
              <w:rPr>
                <w:sz w:val="4"/>
                <w:szCs w:val="4"/>
              </w:rPr>
            </w:r>
          </w:p>
        </w:tc>
      </w:tr>
      <w:tr>
        <w:trPr/>
        <w:tc>
          <w:tcPr>
            <w:tcW w:w="843"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hyperlink w:anchor="d152940dex101.htm">
              <w:r>
                <w:rPr>
                  <w:rStyle w:val="InternetLink"/>
                </w:rPr>
                <w:t xml:space="preserve">Form of Restricted Stock Unit Award Agreement </w:t>
              </w:r>
            </w:hyperlink>
          </w:p>
        </w:tc>
      </w:tr>
      <w:tr>
        <w:trPr/>
        <w:tc>
          <w:tcPr>
            <w:tcW w:w="843" w:type="dxa"/>
            <w:tcBorders/>
            <w:vAlign w:val="center"/>
          </w:tcPr>
          <w:p>
            <w:pPr>
              <w:pStyle w:val="TableContents"/>
              <w:bidi w:val="0"/>
              <w:spacing w:before="0" w:after="283"/>
              <w:jc w:val="left"/>
              <w:rPr>
                <w:sz w:val="4"/>
                <w:szCs w:val="4"/>
              </w:rPr>
            </w:pPr>
            <w:r>
              <w:rPr>
                <w:sz w:val="4"/>
                <w:szCs w:val="4"/>
              </w:rPr>
            </w:r>
          </w:p>
        </w:tc>
        <w:tc>
          <w:tcPr>
            <w:tcW w:w="9362" w:type="dxa"/>
            <w:gridSpan w:val="2"/>
            <w:tcBorders/>
            <w:vAlign w:val="center"/>
          </w:tcPr>
          <w:p>
            <w:pPr>
              <w:pStyle w:val="TableContents"/>
              <w:bidi w:val="0"/>
              <w:spacing w:before="0" w:after="283"/>
              <w:jc w:val="left"/>
              <w:rPr>
                <w:sz w:val="4"/>
                <w:szCs w:val="4"/>
              </w:rPr>
            </w:pPr>
            <w:r>
              <w:rPr>
                <w:sz w:val="4"/>
                <w:szCs w:val="4"/>
              </w:rPr>
            </w:r>
          </w:p>
        </w:tc>
      </w:tr>
      <w:tr>
        <w:trPr/>
        <w:tc>
          <w:tcPr>
            <w:tcW w:w="843" w:type="dxa"/>
            <w:tcBorders/>
            <w:vAlign w:val="center"/>
          </w:tcPr>
          <w:p>
            <w:pPr>
              <w:pStyle w:val="TableContents"/>
              <w:bidi w:val="0"/>
              <w:spacing w:before="0" w:after="283"/>
              <w:jc w:val="left"/>
              <w:rPr/>
            </w:pPr>
            <w:r>
              <w:rPr/>
              <w:t> </w:t>
            </w:r>
            <w:r>
              <w:rPr/>
              <w:t>31.1*</w:t>
            </w:r>
          </w:p>
        </w:tc>
        <w:tc>
          <w:tcPr>
            <w:tcW w:w="12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hyperlink w:anchor="d152940dex311.htm">
              <w:r>
                <w:rPr>
                  <w:rStyle w:val="InternetLink"/>
                </w:rPr>
                <w:t xml:space="preserve">Certification of Chief Executive Officer pursuant to Section 302 of the Sarbanes-Oxley Act of 2002. </w:t>
              </w:r>
            </w:hyperlink>
          </w:p>
        </w:tc>
      </w:tr>
      <w:tr>
        <w:trPr/>
        <w:tc>
          <w:tcPr>
            <w:tcW w:w="843" w:type="dxa"/>
            <w:tcBorders/>
            <w:vAlign w:val="center"/>
          </w:tcPr>
          <w:p>
            <w:pPr>
              <w:pStyle w:val="TableContents"/>
              <w:bidi w:val="0"/>
              <w:spacing w:before="0" w:after="283"/>
              <w:jc w:val="left"/>
              <w:rPr>
                <w:sz w:val="4"/>
                <w:szCs w:val="4"/>
              </w:rPr>
            </w:pPr>
            <w:r>
              <w:rPr>
                <w:sz w:val="4"/>
                <w:szCs w:val="4"/>
              </w:rPr>
            </w:r>
          </w:p>
        </w:tc>
        <w:tc>
          <w:tcPr>
            <w:tcW w:w="9362" w:type="dxa"/>
            <w:gridSpan w:val="2"/>
            <w:tcBorders/>
            <w:vAlign w:val="center"/>
          </w:tcPr>
          <w:p>
            <w:pPr>
              <w:pStyle w:val="TableContents"/>
              <w:bidi w:val="0"/>
              <w:spacing w:before="0" w:after="283"/>
              <w:jc w:val="left"/>
              <w:rPr>
                <w:sz w:val="4"/>
                <w:szCs w:val="4"/>
              </w:rPr>
            </w:pPr>
            <w:r>
              <w:rPr>
                <w:sz w:val="4"/>
                <w:szCs w:val="4"/>
              </w:rPr>
            </w:r>
          </w:p>
        </w:tc>
      </w:tr>
      <w:tr>
        <w:trPr/>
        <w:tc>
          <w:tcPr>
            <w:tcW w:w="843" w:type="dxa"/>
            <w:tcBorders/>
            <w:vAlign w:val="center"/>
          </w:tcPr>
          <w:p>
            <w:pPr>
              <w:pStyle w:val="TableContents"/>
              <w:bidi w:val="0"/>
              <w:spacing w:before="0" w:after="283"/>
              <w:jc w:val="left"/>
              <w:rPr/>
            </w:pPr>
            <w:r>
              <w:rPr/>
              <w:t> </w:t>
            </w:r>
            <w:r>
              <w:rPr/>
              <w:t>31.2*</w:t>
            </w:r>
          </w:p>
        </w:tc>
        <w:tc>
          <w:tcPr>
            <w:tcW w:w="12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hyperlink w:anchor="d152940dex312.htm">
              <w:r>
                <w:rPr>
                  <w:rStyle w:val="InternetLink"/>
                </w:rPr>
                <w:t xml:space="preserve">Certification of Chief Financial Officer pursuant to Section 302 of the Sarbanes-Oxley Act of 2002. </w:t>
              </w:r>
            </w:hyperlink>
          </w:p>
        </w:tc>
      </w:tr>
      <w:tr>
        <w:trPr/>
        <w:tc>
          <w:tcPr>
            <w:tcW w:w="843" w:type="dxa"/>
            <w:tcBorders/>
            <w:vAlign w:val="center"/>
          </w:tcPr>
          <w:p>
            <w:pPr>
              <w:pStyle w:val="TableContents"/>
              <w:bidi w:val="0"/>
              <w:spacing w:before="0" w:after="283"/>
              <w:jc w:val="left"/>
              <w:rPr>
                <w:sz w:val="4"/>
                <w:szCs w:val="4"/>
              </w:rPr>
            </w:pPr>
            <w:r>
              <w:rPr>
                <w:sz w:val="4"/>
                <w:szCs w:val="4"/>
              </w:rPr>
            </w:r>
          </w:p>
        </w:tc>
        <w:tc>
          <w:tcPr>
            <w:tcW w:w="9362" w:type="dxa"/>
            <w:gridSpan w:val="2"/>
            <w:tcBorders/>
            <w:vAlign w:val="center"/>
          </w:tcPr>
          <w:p>
            <w:pPr>
              <w:pStyle w:val="TableContents"/>
              <w:bidi w:val="0"/>
              <w:spacing w:before="0" w:after="283"/>
              <w:jc w:val="left"/>
              <w:rPr>
                <w:sz w:val="4"/>
                <w:szCs w:val="4"/>
              </w:rPr>
            </w:pPr>
            <w:r>
              <w:rPr>
                <w:sz w:val="4"/>
                <w:szCs w:val="4"/>
              </w:rPr>
            </w:r>
          </w:p>
        </w:tc>
      </w:tr>
      <w:tr>
        <w:trPr/>
        <w:tc>
          <w:tcPr>
            <w:tcW w:w="843" w:type="dxa"/>
            <w:tcBorders/>
            <w:vAlign w:val="center"/>
          </w:tcPr>
          <w:p>
            <w:pPr>
              <w:pStyle w:val="TableContents"/>
              <w:bidi w:val="0"/>
              <w:spacing w:before="0" w:after="283"/>
              <w:jc w:val="left"/>
              <w:rPr/>
            </w:pPr>
            <w:r>
              <w:rPr/>
              <w:t> </w:t>
            </w:r>
            <w:r>
              <w:rPr/>
              <w:t>32.1**</w:t>
            </w:r>
          </w:p>
        </w:tc>
        <w:tc>
          <w:tcPr>
            <w:tcW w:w="12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hyperlink w:anchor="d152940dex321.htm">
              <w:r>
                <w:rPr>
                  <w:rStyle w:val="InternetLink"/>
                </w:rPr>
                <w:t xml:space="preserve">Certifications of Chief Executive Officer pursuant to 18 U.S.C. Section 1350, as adopted pursuant to Section 906 of the Sarbanes-Oxley Act of 2002. </w:t>
              </w:r>
            </w:hyperlink>
          </w:p>
        </w:tc>
      </w:tr>
      <w:tr>
        <w:trPr/>
        <w:tc>
          <w:tcPr>
            <w:tcW w:w="843" w:type="dxa"/>
            <w:tcBorders/>
            <w:vAlign w:val="center"/>
          </w:tcPr>
          <w:p>
            <w:pPr>
              <w:pStyle w:val="TableContents"/>
              <w:bidi w:val="0"/>
              <w:spacing w:before="0" w:after="283"/>
              <w:jc w:val="left"/>
              <w:rPr>
                <w:sz w:val="4"/>
                <w:szCs w:val="4"/>
              </w:rPr>
            </w:pPr>
            <w:r>
              <w:rPr>
                <w:sz w:val="4"/>
                <w:szCs w:val="4"/>
              </w:rPr>
            </w:r>
          </w:p>
        </w:tc>
        <w:tc>
          <w:tcPr>
            <w:tcW w:w="9362" w:type="dxa"/>
            <w:gridSpan w:val="2"/>
            <w:tcBorders/>
            <w:vAlign w:val="center"/>
          </w:tcPr>
          <w:p>
            <w:pPr>
              <w:pStyle w:val="TableContents"/>
              <w:bidi w:val="0"/>
              <w:spacing w:before="0" w:after="283"/>
              <w:jc w:val="left"/>
              <w:rPr>
                <w:sz w:val="4"/>
                <w:szCs w:val="4"/>
              </w:rPr>
            </w:pPr>
            <w:r>
              <w:rPr>
                <w:sz w:val="4"/>
                <w:szCs w:val="4"/>
              </w:rPr>
            </w:r>
          </w:p>
        </w:tc>
      </w:tr>
      <w:tr>
        <w:trPr/>
        <w:tc>
          <w:tcPr>
            <w:tcW w:w="843" w:type="dxa"/>
            <w:tcBorders/>
            <w:vAlign w:val="center"/>
          </w:tcPr>
          <w:p>
            <w:pPr>
              <w:pStyle w:val="TableContents"/>
              <w:bidi w:val="0"/>
              <w:spacing w:before="0" w:after="283"/>
              <w:jc w:val="left"/>
              <w:rPr/>
            </w:pPr>
            <w:r>
              <w:rPr/>
              <w:t> </w:t>
            </w:r>
            <w:r>
              <w:rPr/>
              <w:t>32.2**</w:t>
            </w:r>
          </w:p>
        </w:tc>
        <w:tc>
          <w:tcPr>
            <w:tcW w:w="12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hyperlink w:anchor="d152940dex322.htm">
              <w:r>
                <w:rPr>
                  <w:rStyle w:val="InternetLink"/>
                </w:rPr>
                <w:t xml:space="preserve">Certifications of Chief Financial Officer pursuant to 18 U.S.C. Section 1350, as adopted pursuant to Section 906 of the Sarbanes-Oxley Act of 2002. </w:t>
              </w:r>
            </w:hyperlink>
          </w:p>
        </w:tc>
      </w:tr>
      <w:tr>
        <w:trPr/>
        <w:tc>
          <w:tcPr>
            <w:tcW w:w="843" w:type="dxa"/>
            <w:tcBorders/>
            <w:vAlign w:val="center"/>
          </w:tcPr>
          <w:p>
            <w:pPr>
              <w:pStyle w:val="TableContents"/>
              <w:bidi w:val="0"/>
              <w:spacing w:before="0" w:after="283"/>
              <w:jc w:val="left"/>
              <w:rPr>
                <w:sz w:val="4"/>
                <w:szCs w:val="4"/>
              </w:rPr>
            </w:pPr>
            <w:r>
              <w:rPr>
                <w:sz w:val="4"/>
                <w:szCs w:val="4"/>
              </w:rPr>
            </w:r>
          </w:p>
        </w:tc>
        <w:tc>
          <w:tcPr>
            <w:tcW w:w="9362" w:type="dxa"/>
            <w:gridSpan w:val="2"/>
            <w:tcBorders/>
            <w:vAlign w:val="center"/>
          </w:tcPr>
          <w:p>
            <w:pPr>
              <w:pStyle w:val="TableContents"/>
              <w:bidi w:val="0"/>
              <w:spacing w:before="0" w:after="283"/>
              <w:jc w:val="left"/>
              <w:rPr>
                <w:sz w:val="4"/>
                <w:szCs w:val="4"/>
              </w:rPr>
            </w:pPr>
            <w:r>
              <w:rPr>
                <w:sz w:val="4"/>
                <w:szCs w:val="4"/>
              </w:rPr>
            </w:r>
          </w:p>
        </w:tc>
      </w:tr>
      <w:tr>
        <w:trPr/>
        <w:tc>
          <w:tcPr>
            <w:tcW w:w="843"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r>
              <w:rPr/>
              <w:t>Inline XBRL Instance Document - the instance document does not appear in the Interactive Data File because its XBRL tags are embedded within the Inline XBRL document.</w:t>
            </w:r>
          </w:p>
        </w:tc>
      </w:tr>
      <w:tr>
        <w:trPr/>
        <w:tc>
          <w:tcPr>
            <w:tcW w:w="843" w:type="dxa"/>
            <w:tcBorders/>
            <w:vAlign w:val="center"/>
          </w:tcPr>
          <w:p>
            <w:pPr>
              <w:pStyle w:val="TableContents"/>
              <w:bidi w:val="0"/>
              <w:spacing w:before="0" w:after="283"/>
              <w:jc w:val="left"/>
              <w:rPr>
                <w:sz w:val="4"/>
                <w:szCs w:val="4"/>
              </w:rPr>
            </w:pPr>
            <w:r>
              <w:rPr>
                <w:sz w:val="4"/>
                <w:szCs w:val="4"/>
              </w:rPr>
            </w:r>
          </w:p>
        </w:tc>
        <w:tc>
          <w:tcPr>
            <w:tcW w:w="9362" w:type="dxa"/>
            <w:gridSpan w:val="2"/>
            <w:tcBorders/>
            <w:vAlign w:val="center"/>
          </w:tcPr>
          <w:p>
            <w:pPr>
              <w:pStyle w:val="TableContents"/>
              <w:bidi w:val="0"/>
              <w:spacing w:before="0" w:after="283"/>
              <w:jc w:val="left"/>
              <w:rPr>
                <w:sz w:val="4"/>
                <w:szCs w:val="4"/>
              </w:rPr>
            </w:pPr>
            <w:r>
              <w:rPr>
                <w:sz w:val="4"/>
                <w:szCs w:val="4"/>
              </w:rPr>
            </w:r>
          </w:p>
        </w:tc>
      </w:tr>
      <w:tr>
        <w:trPr/>
        <w:tc>
          <w:tcPr>
            <w:tcW w:w="843"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r>
              <w:rPr/>
              <w:t>Inline XBRL Taxonomy Extension Schema Document.</w:t>
            </w:r>
          </w:p>
        </w:tc>
      </w:tr>
      <w:tr>
        <w:trPr/>
        <w:tc>
          <w:tcPr>
            <w:tcW w:w="843" w:type="dxa"/>
            <w:tcBorders/>
            <w:vAlign w:val="center"/>
          </w:tcPr>
          <w:p>
            <w:pPr>
              <w:pStyle w:val="TableContents"/>
              <w:bidi w:val="0"/>
              <w:spacing w:before="0" w:after="283"/>
              <w:jc w:val="left"/>
              <w:rPr>
                <w:sz w:val="4"/>
                <w:szCs w:val="4"/>
              </w:rPr>
            </w:pPr>
            <w:r>
              <w:rPr>
                <w:sz w:val="4"/>
                <w:szCs w:val="4"/>
              </w:rPr>
            </w:r>
          </w:p>
        </w:tc>
        <w:tc>
          <w:tcPr>
            <w:tcW w:w="9362" w:type="dxa"/>
            <w:gridSpan w:val="2"/>
            <w:tcBorders/>
            <w:vAlign w:val="center"/>
          </w:tcPr>
          <w:p>
            <w:pPr>
              <w:pStyle w:val="TableContents"/>
              <w:bidi w:val="0"/>
              <w:spacing w:before="0" w:after="283"/>
              <w:jc w:val="left"/>
              <w:rPr>
                <w:sz w:val="4"/>
                <w:szCs w:val="4"/>
              </w:rPr>
            </w:pPr>
            <w:r>
              <w:rPr>
                <w:sz w:val="4"/>
                <w:szCs w:val="4"/>
              </w:rPr>
            </w:r>
          </w:p>
        </w:tc>
      </w:tr>
      <w:tr>
        <w:trPr/>
        <w:tc>
          <w:tcPr>
            <w:tcW w:w="843"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r>
              <w:rPr/>
              <w:t>Inline XBRL Taxonomy Extension Calculation Linkbase Document.</w:t>
            </w:r>
          </w:p>
        </w:tc>
      </w:tr>
      <w:tr>
        <w:trPr/>
        <w:tc>
          <w:tcPr>
            <w:tcW w:w="843" w:type="dxa"/>
            <w:tcBorders/>
            <w:vAlign w:val="center"/>
          </w:tcPr>
          <w:p>
            <w:pPr>
              <w:pStyle w:val="TableContents"/>
              <w:bidi w:val="0"/>
              <w:spacing w:before="0" w:after="283"/>
              <w:jc w:val="left"/>
              <w:rPr>
                <w:sz w:val="4"/>
                <w:szCs w:val="4"/>
              </w:rPr>
            </w:pPr>
            <w:r>
              <w:rPr>
                <w:sz w:val="4"/>
                <w:szCs w:val="4"/>
              </w:rPr>
            </w:r>
          </w:p>
        </w:tc>
        <w:tc>
          <w:tcPr>
            <w:tcW w:w="9362" w:type="dxa"/>
            <w:gridSpan w:val="2"/>
            <w:tcBorders/>
            <w:vAlign w:val="center"/>
          </w:tcPr>
          <w:p>
            <w:pPr>
              <w:pStyle w:val="TableContents"/>
              <w:bidi w:val="0"/>
              <w:spacing w:before="0" w:after="283"/>
              <w:jc w:val="left"/>
              <w:rPr>
                <w:sz w:val="4"/>
                <w:szCs w:val="4"/>
              </w:rPr>
            </w:pPr>
            <w:r>
              <w:rPr>
                <w:sz w:val="4"/>
                <w:szCs w:val="4"/>
              </w:rPr>
            </w:r>
          </w:p>
        </w:tc>
      </w:tr>
      <w:tr>
        <w:trPr/>
        <w:tc>
          <w:tcPr>
            <w:tcW w:w="843"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r>
              <w:rPr/>
              <w:t>Inline XBRL Taxonomy Extension Definition Linkbase Document.</w:t>
            </w:r>
          </w:p>
        </w:tc>
      </w:tr>
      <w:tr>
        <w:trPr/>
        <w:tc>
          <w:tcPr>
            <w:tcW w:w="843" w:type="dxa"/>
            <w:tcBorders/>
            <w:vAlign w:val="center"/>
          </w:tcPr>
          <w:p>
            <w:pPr>
              <w:pStyle w:val="TableContents"/>
              <w:bidi w:val="0"/>
              <w:spacing w:before="0" w:after="283"/>
              <w:jc w:val="left"/>
              <w:rPr>
                <w:sz w:val="4"/>
                <w:szCs w:val="4"/>
              </w:rPr>
            </w:pPr>
            <w:r>
              <w:rPr>
                <w:sz w:val="4"/>
                <w:szCs w:val="4"/>
              </w:rPr>
            </w:r>
          </w:p>
        </w:tc>
        <w:tc>
          <w:tcPr>
            <w:tcW w:w="9362" w:type="dxa"/>
            <w:gridSpan w:val="2"/>
            <w:tcBorders/>
            <w:vAlign w:val="center"/>
          </w:tcPr>
          <w:p>
            <w:pPr>
              <w:pStyle w:val="TableContents"/>
              <w:bidi w:val="0"/>
              <w:spacing w:before="0" w:after="283"/>
              <w:jc w:val="left"/>
              <w:rPr>
                <w:sz w:val="4"/>
                <w:szCs w:val="4"/>
              </w:rPr>
            </w:pPr>
            <w:r>
              <w:rPr>
                <w:sz w:val="4"/>
                <w:szCs w:val="4"/>
              </w:rPr>
            </w:r>
          </w:p>
        </w:tc>
      </w:tr>
      <w:tr>
        <w:trPr/>
        <w:tc>
          <w:tcPr>
            <w:tcW w:w="843"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r>
              <w:rPr/>
              <w:t>Inline XBRL Taxonomy Extension Label Linkbase Document.</w:t>
            </w:r>
          </w:p>
        </w:tc>
      </w:tr>
      <w:tr>
        <w:trPr/>
        <w:tc>
          <w:tcPr>
            <w:tcW w:w="843" w:type="dxa"/>
            <w:tcBorders/>
            <w:vAlign w:val="center"/>
          </w:tcPr>
          <w:p>
            <w:pPr>
              <w:pStyle w:val="TableContents"/>
              <w:bidi w:val="0"/>
              <w:spacing w:before="0" w:after="283"/>
              <w:jc w:val="left"/>
              <w:rPr>
                <w:sz w:val="4"/>
                <w:szCs w:val="4"/>
              </w:rPr>
            </w:pPr>
            <w:r>
              <w:rPr>
                <w:sz w:val="4"/>
                <w:szCs w:val="4"/>
              </w:rPr>
            </w:r>
          </w:p>
        </w:tc>
        <w:tc>
          <w:tcPr>
            <w:tcW w:w="9362" w:type="dxa"/>
            <w:gridSpan w:val="2"/>
            <w:tcBorders/>
            <w:vAlign w:val="center"/>
          </w:tcPr>
          <w:p>
            <w:pPr>
              <w:pStyle w:val="TableContents"/>
              <w:bidi w:val="0"/>
              <w:spacing w:before="0" w:after="283"/>
              <w:jc w:val="left"/>
              <w:rPr>
                <w:sz w:val="4"/>
                <w:szCs w:val="4"/>
              </w:rPr>
            </w:pPr>
            <w:r>
              <w:rPr>
                <w:sz w:val="4"/>
                <w:szCs w:val="4"/>
              </w:rPr>
            </w:r>
          </w:p>
        </w:tc>
      </w:tr>
      <w:tr>
        <w:trPr/>
        <w:tc>
          <w:tcPr>
            <w:tcW w:w="843"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r>
              <w:rPr/>
              <w:t>Inline XBRL Taxonomy Extension Presentation Linkbase Document.</w:t>
            </w:r>
          </w:p>
        </w:tc>
      </w:tr>
      <w:tr>
        <w:trPr/>
        <w:tc>
          <w:tcPr>
            <w:tcW w:w="843" w:type="dxa"/>
            <w:tcBorders/>
            <w:vAlign w:val="center"/>
          </w:tcPr>
          <w:p>
            <w:pPr>
              <w:pStyle w:val="TableContents"/>
              <w:bidi w:val="0"/>
              <w:spacing w:before="0" w:after="283"/>
              <w:jc w:val="left"/>
              <w:rPr>
                <w:sz w:val="4"/>
                <w:szCs w:val="4"/>
              </w:rPr>
            </w:pPr>
            <w:r>
              <w:rPr>
                <w:sz w:val="4"/>
                <w:szCs w:val="4"/>
              </w:rPr>
            </w:r>
          </w:p>
        </w:tc>
        <w:tc>
          <w:tcPr>
            <w:tcW w:w="9362" w:type="dxa"/>
            <w:gridSpan w:val="2"/>
            <w:tcBorders/>
            <w:vAlign w:val="center"/>
          </w:tcPr>
          <w:p>
            <w:pPr>
              <w:pStyle w:val="TableContents"/>
              <w:bidi w:val="0"/>
              <w:spacing w:before="0" w:after="283"/>
              <w:jc w:val="left"/>
              <w:rPr>
                <w:sz w:val="4"/>
                <w:szCs w:val="4"/>
              </w:rPr>
            </w:pPr>
            <w:r>
              <w:rPr>
                <w:sz w:val="4"/>
                <w:szCs w:val="4"/>
              </w:rPr>
            </w:r>
          </w:p>
        </w:tc>
      </w:tr>
      <w:tr>
        <w:trPr/>
        <w:tc>
          <w:tcPr>
            <w:tcW w:w="843"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42"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305"/>
        <w:gridCol w:w="1295"/>
      </w:tblGrid>
      <w:tr>
        <w:trPr/>
        <w:tc>
          <w:tcPr>
            <w:tcW w:w="30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2110" w:type="dxa"/>
        <w:jc w:val="left"/>
        <w:tblInd w:w="0" w:type="dxa"/>
        <w:tblLayout w:type="fixed"/>
        <w:tblCellMar>
          <w:top w:w="0" w:type="dxa"/>
          <w:left w:w="0" w:type="dxa"/>
          <w:bottom w:w="0" w:type="dxa"/>
          <w:right w:w="0" w:type="dxa"/>
        </w:tblCellMar>
      </w:tblPr>
      <w:tblGrid>
        <w:gridCol w:w="425"/>
        <w:gridCol w:w="1685"/>
      </w:tblGrid>
      <w:tr>
        <w:trPr/>
        <w:tc>
          <w:tcPr>
            <w:tcW w:w="425"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52940_23"/>
      <w:bookmarkEnd w:id="11"/>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6958" w:type="dxa"/>
        <w:jc w:val="left"/>
        <w:tblInd w:w="0" w:type="dxa"/>
        <w:tblLayout w:type="fixed"/>
        <w:tblCellMar>
          <w:top w:w="0" w:type="dxa"/>
          <w:left w:w="0" w:type="dxa"/>
          <w:bottom w:w="0" w:type="dxa"/>
          <w:right w:w="0" w:type="dxa"/>
        </w:tblCellMar>
      </w:tblPr>
      <w:tblGrid>
        <w:gridCol w:w="1625"/>
        <w:gridCol w:w="60"/>
        <w:gridCol w:w="500"/>
        <w:gridCol w:w="120"/>
        <w:gridCol w:w="954"/>
        <w:gridCol w:w="156"/>
        <w:gridCol w:w="3543"/>
      </w:tblGrid>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pPr>
            <w:r>
              <w:rPr/>
              <w:t>August 14, 2026</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53" w:type="dxa"/>
            <w:gridSpan w:val="3"/>
            <w:tcBorders/>
            <w:vAlign w:val="center"/>
          </w:tcPr>
          <w:p>
            <w:pPr>
              <w:pStyle w:val="TableContents"/>
              <w:bidi w:val="0"/>
              <w:spacing w:before="0" w:after="283"/>
              <w:jc w:val="left"/>
              <w:rPr>
                <w:b/>
              </w:rPr>
            </w:pPr>
            <w:r>
              <w:rPr>
                <w:b/>
              </w:rPr>
              <w:t>SOLV ENERGY, INC.</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1074" w:type="dxa"/>
            <w:gridSpan w:val="2"/>
            <w:tcBorders/>
            <w:vAlign w:val="center"/>
          </w:tcPr>
          <w:p>
            <w:pPr>
              <w:pStyle w:val="TableContents"/>
              <w:bidi w:val="0"/>
              <w:spacing w:before="0" w:after="283"/>
              <w:jc w:val="left"/>
              <w:rPr>
                <w:sz w:val="4"/>
                <w:szCs w:val="4"/>
              </w:rPr>
            </w:pPr>
            <w:r>
              <w:rPr>
                <w:sz w:val="4"/>
                <w:szCs w:val="4"/>
              </w:rPr>
            </w:r>
          </w:p>
        </w:tc>
        <w:tc>
          <w:tcPr>
            <w:tcW w:w="3699" w:type="dxa"/>
            <w:gridSpan w:val="2"/>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left"/>
              <w:rPr/>
            </w:pPr>
            <w:r>
              <w:rPr/>
              <w:t>By:</w:t>
            </w:r>
          </w:p>
        </w:tc>
        <w:tc>
          <w:tcPr>
            <w:tcW w:w="156" w:type="dxa"/>
            <w:tcBorders/>
            <w:vAlign w:val="center"/>
          </w:tcPr>
          <w:p>
            <w:pPr>
              <w:pStyle w:val="TableContents"/>
              <w:bidi w:val="0"/>
              <w:spacing w:before="0" w:after="283"/>
              <w:jc w:val="left"/>
              <w:rPr/>
            </w:pPr>
            <w:r>
              <w:rPr/>
              <w:t> </w:t>
            </w:r>
          </w:p>
        </w:tc>
        <w:tc>
          <w:tcPr>
            <w:tcW w:w="3543"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Chad Plotkin</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53" w:type="dxa"/>
            <w:gridSpan w:val="3"/>
            <w:tcBorders/>
            <w:vAlign w:val="center"/>
          </w:tcPr>
          <w:p>
            <w:pPr>
              <w:pStyle w:val="TableContents"/>
              <w:bidi w:val="0"/>
              <w:spacing w:before="0" w:after="283"/>
              <w:jc w:val="left"/>
              <w:rPr/>
            </w:pPr>
            <w:r>
              <w:rPr/>
              <w:t>Name: Chad Plotkin</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53"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Duly Authorized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p>
    <w:p>
      <w:pPr>
        <w:pStyle w:val="TextBody"/>
        <w:bidi w:val="0"/>
        <w:spacing w:before="0" w:after="0"/>
        <w:jc w:val="right"/>
        <w:rPr>
          <w:rFonts w:ascii="Times New Roman" w:hAnsi="Times New Roman"/>
          <w:b/>
          <w:sz w:val="20"/>
        </w:rPr>
      </w:pPr>
      <w:bookmarkStart w:id="12" w:name="d152940dex101.htm"/>
      <w:bookmarkStart w:id="13" w:name="ksd152940dex101"/>
      <w:bookmarkEnd w:id="12"/>
      <w:bookmarkEnd w:id="13"/>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Restricted Stock Unit Award Agreement </w:t>
      </w:r>
    </w:p>
    <w:p>
      <w:pPr>
        <w:pStyle w:val="TextBody"/>
        <w:bidi w:val="0"/>
        <w:spacing w:before="240" w:after="0"/>
        <w:jc w:val="left"/>
        <w:rPr>
          <w:rFonts w:ascii="Times New Roman" w:hAnsi="Times New Roman"/>
          <w:sz w:val="20"/>
        </w:rPr>
      </w:pPr>
      <w:r>
        <w:rPr>
          <w:rFonts w:ascii="Times New Roman" w:hAnsi="Times New Roman"/>
          <w:sz w:val="20"/>
        </w:rPr>
        <w:t>This Restricted Stock Unit Award Agreement (this “</w:t>
      </w:r>
      <w:r>
        <w:rPr>
          <w:rFonts w:ascii="Times New Roman" w:hAnsi="Times New Roman"/>
          <w:sz w:val="20"/>
          <w:u w:val="single"/>
        </w:rPr>
        <w:t>Agreement</w:t>
      </w:r>
      <w:r>
        <w:rPr>
          <w:rFonts w:ascii="Times New Roman" w:hAnsi="Times New Roman"/>
          <w:sz w:val="20"/>
        </w:rPr>
        <w:t>”) is made by and between SOLV Energy, Inc., a Delaware corporation (the “</w:t>
      </w:r>
      <w:r>
        <w:rPr>
          <w:rFonts w:ascii="Times New Roman" w:hAnsi="Times New Roman"/>
          <w:sz w:val="20"/>
          <w:u w:val="single"/>
        </w:rPr>
        <w:t>Company</w:t>
      </w:r>
      <w:r>
        <w:rPr>
          <w:rFonts w:ascii="Times New Roman" w:hAnsi="Times New Roman"/>
          <w:sz w:val="20"/>
        </w:rPr>
        <w:t>”), and _________________ (the “</w:t>
      </w:r>
      <w:r>
        <w:rPr>
          <w:rFonts w:ascii="Times New Roman" w:hAnsi="Times New Roman"/>
          <w:sz w:val="20"/>
          <w:u w:val="single"/>
        </w:rPr>
        <w:t>Participant</w:t>
      </w:r>
      <w:r>
        <w:rPr>
          <w:rFonts w:ascii="Times New Roman" w:hAnsi="Times New Roman"/>
          <w:sz w:val="20"/>
        </w:rPr>
        <w:t>”), effective as of ______________ (the “</w:t>
      </w:r>
      <w:r>
        <w:rPr>
          <w:rFonts w:ascii="Times New Roman" w:hAnsi="Times New Roman"/>
          <w:sz w:val="20"/>
          <w:u w:val="single"/>
        </w:rPr>
        <w:t>Date of Grant</w:t>
      </w:r>
      <w:r>
        <w:rPr>
          <w:rFonts w:ascii="Times New Roman" w:hAnsi="Times New Roman"/>
          <w:sz w:val="20"/>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has adopted the SOLV Energy, Inc. 2026 Equity Incentive Plan (the “</w:t>
      </w:r>
      <w:r>
        <w:rPr>
          <w:rFonts w:ascii="Times New Roman" w:hAnsi="Times New Roman"/>
          <w:sz w:val="20"/>
          <w:u w:val="single"/>
        </w:rPr>
        <w:t>Plan</w:t>
      </w:r>
      <w:r>
        <w:rPr>
          <w:rFonts w:ascii="Times New Roman" w:hAnsi="Times New Roman"/>
          <w:sz w:val="20"/>
        </w:rPr>
        <w:t xml:space="preserve">”), which is incorporated herein by reference and made a part of this Agreement. Capitalized terms not otherwise defined in this Agreement shall have the meanings ascribed to those terms in the Plan;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Committee has authorized and approved the grant of an Award to the Participant that will provide the Participant the opportunity to receive Common Stock upon the settlement of stock units on the terms and conditions set forth in the Plan and this Agreement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mutual covenants set forth in this Agreement, the parties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Grant of Award</w:t>
            </w:r>
            <w:r>
              <w:rPr>
                <w:rFonts w:ascii="Times New Roman" w:hAnsi="Times New Roman"/>
                <w:sz w:val="20"/>
              </w:rPr>
              <w:t xml:space="preserve">. The Company hereby grants to the Participant, effective as of the Date of Grant, ____ Restricted Stock Units, on the terms and conditions set forth in the Plan and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Vesting</w:t>
            </w:r>
            <w:r>
              <w:rPr>
                <w:rFonts w:ascii="Times New Roman" w:hAnsi="Times New Roman"/>
                <w:sz w:val="20"/>
              </w:rPr>
              <w:t xml:space="preserve">. Twenty-five percent (25%) of the Restricted Stock Units shall vest on each of the first four anniversaries of the Date of Grant, subject to the Participant’s continued Service through the applicable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Forfeiture and Acceleration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of Service</w:t>
            </w:r>
            <w:r>
              <w:rPr>
                <w:rFonts w:ascii="Times New Roman" w:hAnsi="Times New Roman"/>
                <w:sz w:val="20"/>
              </w:rPr>
              <w:t xml:space="preserve">. Except as set forth in </w:t>
            </w:r>
            <w:r>
              <w:rPr>
                <w:rFonts w:ascii="Times New Roman" w:hAnsi="Times New Roman"/>
                <w:sz w:val="20"/>
                <w:u w:val="single"/>
              </w:rPr>
              <w:t>Section 3(b)</w:t>
            </w:r>
            <w:r>
              <w:rPr>
                <w:rFonts w:ascii="Times New Roman" w:hAnsi="Times New Roman"/>
                <w:sz w:val="20"/>
              </w:rPr>
              <w:t xml:space="preserve">, upon termination of the Participant’s Service for any reason or no reason, any then unvested Restricted Stock Units will be forfeited immediately, automatically and without consideration. Without limiting the generality of the foregoing, the Restricted Stock Units and the shares of Common Stock deliverable under this Agreement will continue to be subject to Sections 12.2 (Termination for Cause) and 12.3 (Right of Recapture)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Change in Control</w:t>
            </w:r>
            <w:r>
              <w:rPr>
                <w:rFonts w:ascii="Times New Roman" w:hAnsi="Times New Roman"/>
                <w:sz w:val="20"/>
              </w:rPr>
              <w:t xml:space="preserve">. Upon termination of the Participant’s Service by the Company without Cause upon or within twenty-four (24) months following a Change in Control, all outstanding Restricted Stock Units shall vest on the date of the Participant’s termination of Service.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Payment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Settlement</w:t>
            </w:r>
            <w:r>
              <w:rPr>
                <w:rFonts w:ascii="Times New Roman" w:hAnsi="Times New Roman"/>
                <w:sz w:val="20"/>
              </w:rPr>
              <w:t xml:space="preserve">. The Company shall deliver to the Participant within sixty (60) days following the vesting date of the Restricted Stock Units, a number of shares of Common Stock equal to the aggregate number of Restricted Stock Units that have vested pursuant to </w:t>
            </w:r>
            <w:r>
              <w:rPr>
                <w:rFonts w:ascii="Times New Roman" w:hAnsi="Times New Roman"/>
                <w:sz w:val="20"/>
                <w:u w:val="single"/>
              </w:rPr>
              <w:t>Section 2</w:t>
            </w:r>
            <w:r>
              <w:rPr>
                <w:rFonts w:ascii="Times New Roman" w:hAnsi="Times New Roman"/>
                <w:sz w:val="20"/>
              </w:rPr>
              <w:t xml:space="preserve">. No fractional shares of Common Stock shall be delivered. The Company may deliver such shares of Common Stock either through book entry accounts held by, or in the name of, the Participant or cause to be issued a certificate or certificates representing the number of shares to be issued in respect of the Restricted Stock Units, registered in the name of the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Withholding Requirements</w:t>
            </w:r>
            <w:r>
              <w:rPr>
                <w:rFonts w:ascii="Times New Roman" w:hAnsi="Times New Roman"/>
                <w:sz w:val="20"/>
              </w:rPr>
              <w:t xml:space="preserve">. The Company shall have the right to deduct or withhold from any shares of Common Stock deliverable under this Agreement, or in its discretion to require the Participant to remit to the Company, amounts necessary to satisfy all federal, state and local taxes required to be withheld in connection with the settlement of the Restricted Stock Units. In addition, subject to Section 16 of the Exchange Act, the Company may cause withholding to be satisfied through an open-market, broker-assisted sales transaction pursuant to which the Company is promptly delivered the amount of proceeds necessary to satisfy the withholding amount, which shall be subject to any terms and conditions imposed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Miscellaneous Provisions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Rights of a Shareholder; Dividend Equivalents</w:t>
            </w:r>
            <w:r>
              <w:rPr>
                <w:rFonts w:ascii="Times New Roman" w:hAnsi="Times New Roman"/>
                <w:sz w:val="20"/>
              </w:rPr>
              <w:t xml:space="preserve">. Prior to settlement of the Restricted Stock Units in shares of Common Stock, neither the Participant nor the Participant’s representative will have any rights as a shareholder of the Company with respect to any shares of Common Stock underlying the Restricted Stock Units. If cash dividends or other cash distributions are paid in respect of the shares of Common Stock underlying unvested Restricted Stock Units, then a dividend equivalent equal to the amount paid in respect of one share of Common Stock shall accumulate and be paid with respect to each unvested Restricted Stock Unit at time of settlement; provided that any dividend equivalent rights granted shall be subject to the same vesting terms as the related Restricted Stock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Transfer Restrictions</w:t>
            </w:r>
            <w:r>
              <w:rPr>
                <w:rFonts w:ascii="Times New Roman" w:hAnsi="Times New Roman"/>
                <w:sz w:val="20"/>
              </w:rPr>
              <w:t xml:space="preserve">.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(including but not limited to the Company’s Insider Trading Policy), and the Committee may cause orders or designations to be placed upon the books and records of the Company’s transfer agent to make appropriate reference to such restrictions.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Clawback Policy</w:t>
            </w:r>
            <w:r>
              <w:rPr>
                <w:rFonts w:ascii="Times New Roman" w:hAnsi="Times New Roman"/>
                <w:sz w:val="20"/>
              </w:rPr>
              <w:t xml:space="preserve">. The Participant acknowledges that the Participant is subject to the provisions of Section 12 (Forfeiture Events) and Section 15.6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Adjustments</w:t>
            </w:r>
            <w:r>
              <w:rPr>
                <w:rFonts w:ascii="Times New Roman" w:hAnsi="Times New Roman"/>
                <w:sz w:val="20"/>
              </w:rPr>
              <w:t xml:space="preserve">. In the event of any change with respect to the outstanding shares of Common Stock contemplated by Section 4.4 of the Plan, the Restricted Stock Units may be adjusted in accordance with Section 4.4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Right to Continued Service</w:t>
            </w:r>
            <w:r>
              <w:rPr>
                <w:rFonts w:ascii="Times New Roman" w:hAnsi="Times New Roman"/>
                <w:sz w:val="20"/>
              </w:rPr>
              <w:t xml:space="preserve">.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Successors and Assigns</w:t>
            </w:r>
            <w:r>
              <w:rPr>
                <w:rFonts w:ascii="Times New Roman" w:hAnsi="Times New Roman"/>
                <w:sz w:val="20"/>
              </w:rPr>
              <w:t xml:space="preserve">.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Severability</w:t>
            </w:r>
            <w:r>
              <w:rPr>
                <w:rFonts w:ascii="Times New Roman" w:hAnsi="Times New Roman"/>
                <w:sz w:val="20"/>
              </w:rPr>
              <w:t xml:space="preserve">. The provisions of this Agreement are severable, and if any one or more provisions are determined to be illegal or otherwise unenforceable, in whole or in part, then the remaining provisions will nevertheless be binding and 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Amendment</w:t>
            </w:r>
            <w:r>
              <w:rPr>
                <w:rFonts w:ascii="Times New Roman" w:hAnsi="Times New Roman"/>
                <w:sz w:val="20"/>
              </w:rPr>
              <w:t xml:space="preserve">. Except as otherwise provided in the Plan, this Agreement will not be amended unless the amendment is agreed to in writing by both the Participant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Choice of Law; Jurisdiction</w:t>
            </w:r>
            <w:r>
              <w:rPr>
                <w:rFonts w:ascii="Times New Roman" w:hAnsi="Times New Roman"/>
                <w:sz w:val="20"/>
              </w:rPr>
              <w:t xml:space="preserve">.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Signature in Counterparts</w:t>
            </w:r>
            <w:r>
              <w:rPr>
                <w:rFonts w:ascii="Times New Roman" w:hAnsi="Times New Roman"/>
                <w:sz w:val="20"/>
              </w:rPr>
              <w:t xml:space="preserve">. This Agreement may be signed in counterparts, manually or electronically, each of which will be an original, with the same effect as if the signatures to each were upon the same instrument.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Electronic Delivery</w:t>
            </w:r>
            <w:r>
              <w:rPr>
                <w:rFonts w:ascii="Times New Roman" w:hAnsi="Times New Roman"/>
                <w:sz w:val="20"/>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(l)</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Acceptance</w:t>
            </w:r>
            <w:r>
              <w:rPr>
                <w:rFonts w:ascii="Times New Roman" w:hAnsi="Times New Roman"/>
                <w:sz w:val="20"/>
              </w:rPr>
              <w:t xml:space="preserve">.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Compensation</w:t>
            </w:r>
            <w:r>
              <w:rPr>
                <w:rFonts w:ascii="Times New Roman" w:hAnsi="Times New Roman"/>
                <w:sz w:val="20"/>
              </w:rPr>
              <w:t xml:space="preserve">. The Participant agrees that this Award and the shares of Common Stock provided for herein shall not be taken into account as “salary” or “compensation” or “bonus” in determining the amount of any payment under any pension, retirement or profit-sharing plan of the Company or any life insurance, disability or other benefit plan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(n)</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Headings</w:t>
            </w:r>
            <w:r>
              <w:rPr>
                <w:rFonts w:ascii="Times New Roman" w:hAnsi="Times New Roman"/>
                <w:sz w:val="20"/>
              </w:rPr>
              <w:t xml:space="preserve">. The headings of the sections of this Agreement have been inserted for convenience of reference only and shall in no way restrict or modify any of the terms or provisions hereof.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and the Participant have executed this Restricted Stock Unit Award Agreement as of the dates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62"/>
        <w:gridCol w:w="320"/>
        <w:gridCol w:w="1973"/>
        <w:gridCol w:w="168"/>
        <w:gridCol w:w="1636"/>
        <w:gridCol w:w="168"/>
        <w:gridCol w:w="932"/>
        <w:gridCol w:w="390"/>
        <w:gridCol w:w="1622"/>
        <w:gridCol w:w="168"/>
        <w:gridCol w:w="1566"/>
      </w:tblGrid>
      <w:tr>
        <w:trPr/>
        <w:tc>
          <w:tcPr>
            <w:tcW w:w="1262"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Pr>
          <w:p>
            <w:pPr>
              <w:pStyle w:val="TableContents"/>
              <w:bidi w:val="0"/>
              <w:spacing w:before="0" w:after="283"/>
              <w:jc w:val="left"/>
              <w:rPr>
                <w:b/>
              </w:rPr>
            </w:pPr>
            <w:r>
              <w:rPr>
                <w:b/>
              </w:rPr>
              <w:t>PARTICIPANT</w:t>
            </w:r>
          </w:p>
        </w:tc>
        <w:tc>
          <w:tcPr>
            <w:tcW w:w="168" w:type="dxa"/>
            <w:tcBorders/>
            <w:vAlign w:val="bottom"/>
          </w:tcPr>
          <w:p>
            <w:pPr>
              <w:pStyle w:val="TableContents"/>
              <w:bidi w:val="0"/>
              <w:spacing w:before="0" w:after="283"/>
              <w:jc w:val="left"/>
              <w:rPr/>
            </w:pPr>
            <w:r>
              <w:rPr/>
              <w:t>  </w:t>
            </w:r>
          </w:p>
        </w:tc>
        <w:tc>
          <w:tcPr>
            <w:tcW w:w="1636" w:type="dxa"/>
            <w:tcBorders/>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2944" w:type="dxa"/>
            <w:gridSpan w:val="3"/>
            <w:tcBorders/>
          </w:tcPr>
          <w:p>
            <w:pPr>
              <w:pStyle w:val="TableContents"/>
              <w:bidi w:val="0"/>
              <w:spacing w:before="0" w:after="283"/>
              <w:jc w:val="left"/>
              <w:rPr>
                <w:b/>
              </w:rPr>
            </w:pPr>
            <w:r>
              <w:rPr>
                <w:b/>
              </w:rPr>
              <w:t>SOLV ENERGY, INC.</w:t>
            </w:r>
          </w:p>
        </w:tc>
        <w:tc>
          <w:tcPr>
            <w:tcW w:w="168" w:type="dxa"/>
            <w:tcBorders/>
            <w:vAlign w:val="bottom"/>
          </w:tcPr>
          <w:p>
            <w:pPr>
              <w:pStyle w:val="TableContents"/>
              <w:bidi w:val="0"/>
              <w:spacing w:before="0" w:after="283"/>
              <w:jc w:val="left"/>
              <w:rPr/>
            </w:pPr>
            <w:r>
              <w:rPr/>
              <w:t>  </w:t>
            </w:r>
          </w:p>
        </w:tc>
        <w:tc>
          <w:tcPr>
            <w:tcW w:w="1566" w:type="dxa"/>
            <w:tcBorders/>
          </w:tcPr>
          <w:p>
            <w:pPr>
              <w:pStyle w:val="TableContents"/>
              <w:bidi w:val="0"/>
              <w:spacing w:before="0" w:after="283"/>
              <w:jc w:val="left"/>
              <w:rPr>
                <w:sz w:val="4"/>
                <w:szCs w:val="4"/>
              </w:rPr>
            </w:pPr>
            <w:r>
              <w:rPr>
                <w:sz w:val="4"/>
                <w:szCs w:val="4"/>
              </w:rPr>
            </w:r>
          </w:p>
        </w:tc>
      </w:tr>
      <w:tr>
        <w:trPr>
          <w:trHeight w:val="240" w:hRule="atLeast"/>
        </w:trPr>
        <w:tc>
          <w:tcPr>
            <w:tcW w:w="1262" w:type="dxa"/>
            <w:tcBorders/>
            <w:vAlign w:val="center"/>
          </w:tcPr>
          <w:p>
            <w:pPr>
              <w:pStyle w:val="TableContents"/>
              <w:bidi w:val="0"/>
              <w:spacing w:before="0" w:after="283"/>
              <w:jc w:val="left"/>
              <w:rPr>
                <w:sz w:val="4"/>
                <w:szCs w:val="4"/>
              </w:rPr>
            </w:pPr>
            <w:r>
              <w:rPr>
                <w:sz w:val="4"/>
                <w:szCs w:val="4"/>
              </w:rPr>
            </w:r>
          </w:p>
        </w:tc>
        <w:tc>
          <w:tcPr>
            <w:tcW w:w="2293" w:type="dxa"/>
            <w:gridSpan w:val="2"/>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c>
          <w:tcPr>
            <w:tcW w:w="2012" w:type="dxa"/>
            <w:gridSpan w:val="2"/>
            <w:tcBorders/>
            <w:vAlign w:val="center"/>
          </w:tcPr>
          <w:p>
            <w:pPr>
              <w:pStyle w:val="TableContents"/>
              <w:bidi w:val="0"/>
              <w:spacing w:before="0" w:after="283"/>
              <w:jc w:val="left"/>
              <w:rPr>
                <w:sz w:val="4"/>
                <w:szCs w:val="4"/>
              </w:rPr>
            </w:pPr>
            <w:r>
              <w:rPr>
                <w:sz w:val="4"/>
                <w:szCs w:val="4"/>
              </w:rPr>
            </w:r>
          </w:p>
        </w:tc>
        <w:tc>
          <w:tcPr>
            <w:tcW w:w="1734" w:type="dxa"/>
            <w:gridSpan w:val="2"/>
            <w:tcBorders/>
            <w:vAlign w:val="center"/>
          </w:tcPr>
          <w:p>
            <w:pPr>
              <w:pStyle w:val="TableContents"/>
              <w:bidi w:val="0"/>
              <w:spacing w:before="0" w:after="283"/>
              <w:jc w:val="left"/>
              <w:rPr>
                <w:sz w:val="4"/>
                <w:szCs w:val="4"/>
              </w:rPr>
            </w:pPr>
            <w:r>
              <w:rPr>
                <w:sz w:val="4"/>
                <w:szCs w:val="4"/>
              </w:rPr>
            </w:r>
          </w:p>
        </w:tc>
      </w:tr>
      <w:tr>
        <w:trPr/>
        <w:tc>
          <w:tcPr>
            <w:tcW w:w="1262" w:type="dxa"/>
            <w:tcBorders/>
          </w:tcPr>
          <w:p>
            <w:pPr>
              <w:pStyle w:val="TableContents"/>
              <w:bidi w:val="0"/>
              <w:spacing w:before="0" w:after="283"/>
              <w:jc w:val="left"/>
              <w:rPr/>
            </w:pPr>
            <w:r>
              <w:rPr/>
              <w:t>By:</w:t>
            </w:r>
          </w:p>
        </w:tc>
        <w:tc>
          <w:tcPr>
            <w:tcW w:w="320" w:type="dxa"/>
            <w:tcBorders/>
            <w:vAlign w:val="bottom"/>
          </w:tcPr>
          <w:p>
            <w:pPr>
              <w:pStyle w:val="TableContents"/>
              <w:bidi w:val="0"/>
              <w:spacing w:before="0" w:after="283"/>
              <w:jc w:val="left"/>
              <w:rPr/>
            </w:pPr>
            <w:r>
              <w:rPr/>
              <w:t>  </w:t>
            </w:r>
          </w:p>
        </w:tc>
        <w:tc>
          <w:tcPr>
            <w:tcW w:w="1973" w:type="dxa"/>
            <w:tcBorders/>
          </w:tcPr>
          <w:p>
            <w:pPr>
              <w:pStyle w:val="TableContents"/>
              <w:pBdr>
                <w:bottom w:val="single" w:sz="2" w:space="1" w:color="000000"/>
              </w:pBdr>
              <w:bidi w:val="0"/>
              <w:spacing w:before="0" w:after="20"/>
              <w:jc w:val="left"/>
              <w:rPr/>
            </w:pPr>
            <w:r>
              <w:rPr/>
              <w:t> </w:t>
            </w:r>
          </w:p>
        </w:tc>
        <w:tc>
          <w:tcPr>
            <w:tcW w:w="168" w:type="dxa"/>
            <w:tcBorders/>
            <w:vAlign w:val="bottom"/>
          </w:tcPr>
          <w:p>
            <w:pPr>
              <w:pStyle w:val="TableContents"/>
              <w:bidi w:val="0"/>
              <w:spacing w:before="0" w:after="283"/>
              <w:jc w:val="left"/>
              <w:rPr/>
            </w:pPr>
            <w:r>
              <w:rPr/>
              <w:t>  </w:t>
            </w:r>
          </w:p>
        </w:tc>
        <w:tc>
          <w:tcPr>
            <w:tcW w:w="1636" w:type="dxa"/>
            <w:tcBorders/>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932" w:type="dxa"/>
            <w:tcBorders/>
          </w:tcPr>
          <w:p>
            <w:pPr>
              <w:pStyle w:val="TableContents"/>
              <w:bidi w:val="0"/>
              <w:spacing w:before="0" w:after="283"/>
              <w:jc w:val="left"/>
              <w:rPr/>
            </w:pPr>
            <w:r>
              <w:rPr/>
              <w:t>By:</w:t>
            </w:r>
          </w:p>
        </w:tc>
        <w:tc>
          <w:tcPr>
            <w:tcW w:w="390" w:type="dxa"/>
            <w:tcBorders/>
            <w:vAlign w:val="bottom"/>
          </w:tcPr>
          <w:p>
            <w:pPr>
              <w:pStyle w:val="TableContents"/>
              <w:bidi w:val="0"/>
              <w:spacing w:before="0" w:after="283"/>
              <w:jc w:val="left"/>
              <w:rPr/>
            </w:pPr>
            <w:r>
              <w:rPr/>
              <w:t>  </w:t>
            </w:r>
          </w:p>
        </w:tc>
        <w:tc>
          <w:tcPr>
            <w:tcW w:w="1622" w:type="dxa"/>
            <w:tcBorders/>
          </w:tcPr>
          <w:p>
            <w:pPr>
              <w:pStyle w:val="TableContents"/>
              <w:pBdr>
                <w:bottom w:val="single" w:sz="2" w:space="1" w:color="000000"/>
              </w:pBdr>
              <w:bidi w:val="0"/>
              <w:spacing w:before="0" w:after="20"/>
              <w:jc w:val="left"/>
              <w:rPr/>
            </w:pPr>
            <w:r>
              <w:rPr/>
              <w:t> </w:t>
            </w:r>
          </w:p>
        </w:tc>
        <w:tc>
          <w:tcPr>
            <w:tcW w:w="168" w:type="dxa"/>
            <w:tcBorders/>
            <w:vAlign w:val="bottom"/>
          </w:tcPr>
          <w:p>
            <w:pPr>
              <w:pStyle w:val="TableContents"/>
              <w:bidi w:val="0"/>
              <w:spacing w:before="0" w:after="283"/>
              <w:jc w:val="left"/>
              <w:rPr/>
            </w:pPr>
            <w:r>
              <w:rPr/>
              <w:t>  </w:t>
            </w:r>
          </w:p>
        </w:tc>
        <w:tc>
          <w:tcPr>
            <w:tcW w:w="1566" w:type="dxa"/>
            <w:tcBorders/>
          </w:tcPr>
          <w:p>
            <w:pPr>
              <w:pStyle w:val="TableContents"/>
              <w:bidi w:val="0"/>
              <w:spacing w:before="0" w:after="283"/>
              <w:jc w:val="left"/>
              <w:rPr>
                <w:sz w:val="4"/>
                <w:szCs w:val="4"/>
              </w:rPr>
            </w:pPr>
            <w:r>
              <w:rPr>
                <w:sz w:val="4"/>
                <w:szCs w:val="4"/>
              </w:rPr>
            </w:r>
          </w:p>
        </w:tc>
      </w:tr>
      <w:tr>
        <w:trPr/>
        <w:tc>
          <w:tcPr>
            <w:tcW w:w="1262" w:type="dxa"/>
            <w:tcBorders/>
          </w:tcPr>
          <w:p>
            <w:pPr>
              <w:pStyle w:val="TableContents"/>
              <w:bidi w:val="0"/>
              <w:spacing w:before="0" w:after="283"/>
              <w:jc w:val="left"/>
              <w:rPr/>
            </w:pPr>
            <w:r>
              <w:rPr/>
              <w:t>Date:</w:t>
            </w:r>
          </w:p>
        </w:tc>
        <w:tc>
          <w:tcPr>
            <w:tcW w:w="320" w:type="dxa"/>
            <w:tcBorders/>
            <w:vAlign w:val="bottom"/>
          </w:tcPr>
          <w:p>
            <w:pPr>
              <w:pStyle w:val="TableContents"/>
              <w:bidi w:val="0"/>
              <w:spacing w:before="0" w:after="283"/>
              <w:jc w:val="left"/>
              <w:rPr/>
            </w:pPr>
            <w:r>
              <w:rPr/>
              <w:t>  </w:t>
            </w:r>
          </w:p>
        </w:tc>
        <w:tc>
          <w:tcPr>
            <w:tcW w:w="1973" w:type="dxa"/>
            <w:tcBorders/>
          </w:tcPr>
          <w:p>
            <w:pPr>
              <w:pStyle w:val="TableContents"/>
              <w:pBdr>
                <w:bottom w:val="single" w:sz="2" w:space="1" w:color="000000"/>
              </w:pBdr>
              <w:bidi w:val="0"/>
              <w:spacing w:before="0" w:after="20"/>
              <w:jc w:val="left"/>
              <w:rPr/>
            </w:pPr>
            <w:r>
              <w:rPr/>
              <w:t> </w:t>
            </w:r>
          </w:p>
        </w:tc>
        <w:tc>
          <w:tcPr>
            <w:tcW w:w="168" w:type="dxa"/>
            <w:tcBorders/>
            <w:vAlign w:val="bottom"/>
          </w:tcPr>
          <w:p>
            <w:pPr>
              <w:pStyle w:val="TableContents"/>
              <w:bidi w:val="0"/>
              <w:spacing w:before="0" w:after="283"/>
              <w:jc w:val="left"/>
              <w:rPr/>
            </w:pPr>
            <w:r>
              <w:rPr/>
              <w:t>  </w:t>
            </w:r>
          </w:p>
        </w:tc>
        <w:tc>
          <w:tcPr>
            <w:tcW w:w="1636" w:type="dxa"/>
            <w:tcBorders/>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932" w:type="dxa"/>
            <w:tcBorders/>
          </w:tcPr>
          <w:p>
            <w:pPr>
              <w:pStyle w:val="TableContents"/>
              <w:bidi w:val="0"/>
              <w:spacing w:before="0" w:after="283"/>
              <w:jc w:val="left"/>
              <w:rPr/>
            </w:pPr>
            <w:r>
              <w:rPr/>
              <w:t>Date:</w:t>
            </w:r>
          </w:p>
        </w:tc>
        <w:tc>
          <w:tcPr>
            <w:tcW w:w="390" w:type="dxa"/>
            <w:tcBorders/>
            <w:vAlign w:val="bottom"/>
          </w:tcPr>
          <w:p>
            <w:pPr>
              <w:pStyle w:val="TableContents"/>
              <w:bidi w:val="0"/>
              <w:spacing w:before="0" w:after="283"/>
              <w:jc w:val="left"/>
              <w:rPr/>
            </w:pPr>
            <w:r>
              <w:rPr/>
              <w:t>  </w:t>
            </w:r>
          </w:p>
        </w:tc>
        <w:tc>
          <w:tcPr>
            <w:tcW w:w="1622" w:type="dxa"/>
            <w:tcBorders/>
          </w:tcPr>
          <w:p>
            <w:pPr>
              <w:pStyle w:val="TableContents"/>
              <w:pBdr>
                <w:bottom w:val="single" w:sz="2" w:space="1" w:color="000000"/>
              </w:pBdr>
              <w:bidi w:val="0"/>
              <w:spacing w:before="0" w:after="20"/>
              <w:jc w:val="left"/>
              <w:rPr/>
            </w:pPr>
            <w:r>
              <w:rPr/>
              <w:t> </w:t>
            </w:r>
          </w:p>
        </w:tc>
        <w:tc>
          <w:tcPr>
            <w:tcW w:w="168" w:type="dxa"/>
            <w:tcBorders/>
            <w:vAlign w:val="bottom"/>
          </w:tcPr>
          <w:p>
            <w:pPr>
              <w:pStyle w:val="TableContents"/>
              <w:bidi w:val="0"/>
              <w:spacing w:before="0" w:after="283"/>
              <w:jc w:val="left"/>
              <w:rPr/>
            </w:pPr>
            <w:r>
              <w:rPr/>
              <w:t>  </w:t>
            </w:r>
          </w:p>
        </w:tc>
        <w:tc>
          <w:tcPr>
            <w:tcW w:w="156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14" w:name="d152940dex311.htm"/>
      <w:bookmarkStart w:id="15" w:name="ksd152940dex311"/>
      <w:bookmarkEnd w:id="14"/>
      <w:bookmarkEnd w:id="15"/>
      <w:r>
        <w:rPr>
          <w:rFonts w:ascii="Times New Roman" w:hAnsi="Times New Roman"/>
          <w:b/>
          <w:sz w:val="20"/>
        </w:rPr>
        <w:t xml:space="preserve">Exhibit 31.1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RULES 13a-14(a) AND 15d-14(a) UNDER THE SECURITIES EXCHANGE ACT OF 1934, AS ADOPTED PURSUANT TO 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George Hershman,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Quarterly Report on Form 10-Q of SOLV Energy, Inc. for the quarter ended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[Omitted pursuant to Exchange Act Rule 13a-14(a)];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7"/>
        <w:gridCol w:w="8372"/>
      </w:tblGrid>
      <w:tr>
        <w:trPr/>
        <w:tc>
          <w:tcPr>
            <w:tcW w:w="132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6"/>
        <w:gridCol w:w="102"/>
        <w:gridCol w:w="407"/>
        <w:gridCol w:w="102"/>
        <w:gridCol w:w="310"/>
        <w:gridCol w:w="102"/>
        <w:gridCol w:w="4596"/>
      </w:tblGrid>
      <w:tr>
        <w:trPr/>
        <w:tc>
          <w:tcPr>
            <w:tcW w:w="458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6" w:type="dxa"/>
            <w:tcBorders/>
            <w:vAlign w:val="center"/>
          </w:tcPr>
          <w:p>
            <w:pPr>
              <w:pStyle w:val="TableContents"/>
              <w:bidi w:val="0"/>
              <w:spacing w:before="0" w:after="283"/>
              <w:jc w:val="left"/>
              <w:rPr>
                <w:sz w:val="4"/>
                <w:szCs w:val="4"/>
              </w:rPr>
            </w:pPr>
            <w:r>
              <w:rPr>
                <w:sz w:val="4"/>
                <w:szCs w:val="4"/>
              </w:rPr>
            </w:r>
          </w:p>
        </w:tc>
      </w:tr>
      <w:tr>
        <w:trPr/>
        <w:tc>
          <w:tcPr>
            <w:tcW w:w="4586" w:type="dxa"/>
            <w:tcBorders/>
          </w:tcPr>
          <w:p>
            <w:pPr>
              <w:pStyle w:val="TableContents"/>
              <w:bidi w:val="0"/>
              <w:spacing w:before="0" w:after="283"/>
              <w:jc w:val="left"/>
              <w:rPr/>
            </w:pPr>
            <w:r>
              <w:rPr/>
              <w:t>Date: August 14, 2026</w:t>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9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George Hershman</w:t>
            </w:r>
          </w:p>
        </w:tc>
      </w:tr>
      <w:tr>
        <w:trPr/>
        <w:tc>
          <w:tcPr>
            <w:tcW w:w="458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George Hershman</w:t>
            </w:r>
          </w:p>
          <w:p>
            <w:pPr>
              <w:pStyle w:val="TableContents"/>
              <w:bidi w:val="0"/>
              <w:spacing w:before="0" w:after="20"/>
              <w:jc w:val="left"/>
              <w:rPr>
                <w:rFonts w:ascii="Times New Roman" w:hAnsi="Times New Roman"/>
                <w:sz w:val="20"/>
              </w:rPr>
            </w:pPr>
            <w:r>
              <w:rPr>
                <w:rFonts w:ascii="Times New Roman" w:hAnsi="Times New Roman"/>
                <w:sz w:val="20"/>
              </w:rPr>
              <w:t xml:space="preserve">Title: Chief Executive Officer and Director </w:t>
              <w:br/>
              <w:t>(Principal Executive Officer)</w:t>
            </w:r>
          </w:p>
        </w:tc>
      </w:tr>
    </w:tbl>
    <w:p>
      <w:pPr>
        <w:pStyle w:val="TextBody"/>
        <w:bidi w:val="0"/>
        <w:spacing w:before="0" w:after="0"/>
        <w:jc w:val="right"/>
        <w:rPr>
          <w:rFonts w:ascii="Times New Roman" w:hAnsi="Times New Roman"/>
          <w:b/>
          <w:sz w:val="20"/>
        </w:rPr>
      </w:pPr>
      <w:bookmarkStart w:id="16" w:name="d152940dex312.htm"/>
      <w:bookmarkStart w:id="17" w:name="ksd152940dex312"/>
      <w:bookmarkEnd w:id="16"/>
      <w:bookmarkEnd w:id="17"/>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RULES 13a-14(a) AND 15d-14(a) UNDER THE SECURITIES EXCHANGE ACT OF 1934, AS ADOPTED PURSUANT TO 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Chad Plotkin,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Quarterly Report on Form 10-Q of SOLV Energy, Inc. for the quarter ended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[Omitted pursuant to Exchange Act Rule 13a-14(a)];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7"/>
        <w:gridCol w:w="8372"/>
      </w:tblGrid>
      <w:tr>
        <w:trPr/>
        <w:tc>
          <w:tcPr>
            <w:tcW w:w="132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5"/>
        <w:gridCol w:w="107"/>
        <w:gridCol w:w="399"/>
        <w:gridCol w:w="107"/>
        <w:gridCol w:w="460"/>
        <w:gridCol w:w="107"/>
        <w:gridCol w:w="4490"/>
      </w:tblGrid>
      <w:tr>
        <w:trPr/>
        <w:tc>
          <w:tcPr>
            <w:tcW w:w="453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490" w:type="dxa"/>
            <w:tcBorders/>
            <w:vAlign w:val="center"/>
          </w:tcPr>
          <w:p>
            <w:pPr>
              <w:pStyle w:val="TableContents"/>
              <w:bidi w:val="0"/>
              <w:spacing w:before="0" w:after="283"/>
              <w:jc w:val="left"/>
              <w:rPr>
                <w:sz w:val="4"/>
                <w:szCs w:val="4"/>
              </w:rPr>
            </w:pPr>
            <w:r>
              <w:rPr>
                <w:sz w:val="4"/>
                <w:szCs w:val="4"/>
              </w:rPr>
            </w:r>
          </w:p>
        </w:tc>
      </w:tr>
      <w:tr>
        <w:trPr/>
        <w:tc>
          <w:tcPr>
            <w:tcW w:w="4535" w:type="dxa"/>
            <w:tcBorders/>
          </w:tcPr>
          <w:p>
            <w:pPr>
              <w:pStyle w:val="TableContents"/>
              <w:bidi w:val="0"/>
              <w:spacing w:before="0" w:after="283"/>
              <w:jc w:val="left"/>
              <w:rPr/>
            </w:pPr>
            <w:r>
              <w:rPr/>
              <w:t>Date: August 14, 2026</w:t>
            </w:r>
          </w:p>
        </w:tc>
        <w:tc>
          <w:tcPr>
            <w:tcW w:w="107" w:type="dxa"/>
            <w:tcBorders/>
            <w:vAlign w:val="bottom"/>
          </w:tcPr>
          <w:p>
            <w:pPr>
              <w:pStyle w:val="TableContents"/>
              <w:bidi w:val="0"/>
              <w:spacing w:before="0" w:after="283"/>
              <w:jc w:val="left"/>
              <w:rPr/>
            </w:pPr>
            <w:r>
              <w:rPr/>
              <w:t> </w:t>
            </w:r>
          </w:p>
        </w:tc>
        <w:tc>
          <w:tcPr>
            <w:tcW w:w="39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0" w:type="dxa"/>
            <w:tcBorders/>
          </w:tcPr>
          <w:p>
            <w:pPr>
              <w:pStyle w:val="TableContents"/>
              <w:bidi w:val="0"/>
              <w:spacing w:before="0" w:after="283"/>
              <w:jc w:val="left"/>
              <w:rPr/>
            </w:pPr>
            <w:r>
              <w:rPr/>
              <w:t>By:</w:t>
            </w:r>
          </w:p>
        </w:tc>
        <w:tc>
          <w:tcPr>
            <w:tcW w:w="107" w:type="dxa"/>
            <w:tcBorders/>
            <w:vAlign w:val="bottom"/>
          </w:tcPr>
          <w:p>
            <w:pPr>
              <w:pStyle w:val="TableContents"/>
              <w:bidi w:val="0"/>
              <w:spacing w:before="0" w:after="283"/>
              <w:jc w:val="left"/>
              <w:rPr/>
            </w:pPr>
            <w:r>
              <w:rPr/>
              <w:t> </w:t>
            </w:r>
          </w:p>
        </w:tc>
        <w:tc>
          <w:tcPr>
            <w:tcW w:w="449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Chad Plotkin</w:t>
            </w:r>
          </w:p>
        </w:tc>
      </w:tr>
      <w:tr>
        <w:trPr/>
        <w:tc>
          <w:tcPr>
            <w:tcW w:w="45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057" w:type="dxa"/>
            <w:gridSpan w:val="3"/>
            <w:tcBorders/>
          </w:tcPr>
          <w:p>
            <w:pPr>
              <w:pStyle w:val="TableContents"/>
              <w:bidi w:val="0"/>
              <w:spacing w:before="0" w:after="283"/>
              <w:jc w:val="left"/>
              <w:rPr/>
            </w:pPr>
            <w:r>
              <w:rPr/>
              <w:t>Name: Chad Plotkin</w:t>
            </w:r>
          </w:p>
        </w:tc>
      </w:tr>
      <w:tr>
        <w:trPr/>
        <w:tc>
          <w:tcPr>
            <w:tcW w:w="45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0" w:type="dxa"/>
            <w:tcBorders/>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4490" w:type="dxa"/>
            <w:tcBorders/>
          </w:tcPr>
          <w:p>
            <w:pPr>
              <w:pStyle w:val="TableContents"/>
              <w:bidi w:val="0"/>
              <w:spacing w:before="0" w:after="283"/>
              <w:jc w:val="left"/>
              <w:rPr/>
            </w:pPr>
            <w:r>
              <w:rPr/>
              <w:t xml:space="preserve">Chief Financial Officer </w:t>
            </w:r>
          </w:p>
        </w:tc>
      </w:tr>
      <w:tr>
        <w:trPr/>
        <w:tc>
          <w:tcPr>
            <w:tcW w:w="45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057" w:type="dxa"/>
            <w:gridSpan w:val="3"/>
            <w:tcBorders/>
          </w:tcPr>
          <w:p>
            <w:pPr>
              <w:pStyle w:val="TableContents"/>
              <w:bidi w:val="0"/>
              <w:spacing w:before="0" w:after="283"/>
              <w:jc w:val="left"/>
              <w:rPr/>
            </w:pPr>
            <w:r>
              <w:rPr/>
              <w:t>(Principal Financial Officer)</w:t>
            </w:r>
          </w:p>
        </w:tc>
      </w:tr>
    </w:tbl>
    <w:p>
      <w:pPr>
        <w:pStyle w:val="TextBody"/>
        <w:bidi w:val="0"/>
        <w:spacing w:before="0" w:after="0"/>
        <w:jc w:val="right"/>
        <w:rPr>
          <w:rFonts w:ascii="Times New Roman" w:hAnsi="Times New Roman"/>
          <w:b/>
          <w:sz w:val="20"/>
        </w:rPr>
      </w:pPr>
      <w:bookmarkStart w:id="18" w:name="d152940dex321.htm"/>
      <w:bookmarkStart w:id="19" w:name="ksd152940dex321"/>
      <w:bookmarkEnd w:id="18"/>
      <w:bookmarkEnd w:id="19"/>
      <w:r>
        <w:rPr>
          <w:rFonts w:ascii="Times New Roman" w:hAnsi="Times New Roman"/>
          <w:b/>
          <w:sz w:val="20"/>
        </w:rPr>
        <w:t xml:space="preserve">Exhibit 32.1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Quarterly Report on Form 10-Q of SOLV Energy, Inc. (the “Company”) for the quarter ended June 30, 2026, as filed with the Securities and Exchange Commission on the date hereof (the “Report”), I, George Hershman, Chief Executive Officer of the Company, certify pursuant to 18 U.S.C. Section 1350, as adopted pursuant to Section 906 of the Sarbanes-Oxley Act of 2002, that, to the best of my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6"/>
        <w:gridCol w:w="102"/>
        <w:gridCol w:w="407"/>
        <w:gridCol w:w="102"/>
        <w:gridCol w:w="310"/>
        <w:gridCol w:w="102"/>
        <w:gridCol w:w="4596"/>
      </w:tblGrid>
      <w:tr>
        <w:trPr/>
        <w:tc>
          <w:tcPr>
            <w:tcW w:w="458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6" w:type="dxa"/>
            <w:tcBorders/>
            <w:vAlign w:val="center"/>
          </w:tcPr>
          <w:p>
            <w:pPr>
              <w:pStyle w:val="TableContents"/>
              <w:bidi w:val="0"/>
              <w:spacing w:before="0" w:after="283"/>
              <w:jc w:val="left"/>
              <w:rPr>
                <w:sz w:val="4"/>
                <w:szCs w:val="4"/>
              </w:rPr>
            </w:pPr>
            <w:r>
              <w:rPr>
                <w:sz w:val="4"/>
                <w:szCs w:val="4"/>
              </w:rPr>
            </w:r>
          </w:p>
        </w:tc>
      </w:tr>
      <w:tr>
        <w:trPr/>
        <w:tc>
          <w:tcPr>
            <w:tcW w:w="4586" w:type="dxa"/>
            <w:tcBorders/>
          </w:tcPr>
          <w:p>
            <w:pPr>
              <w:pStyle w:val="TableContents"/>
              <w:bidi w:val="0"/>
              <w:spacing w:before="0" w:after="283"/>
              <w:jc w:val="left"/>
              <w:rPr/>
            </w:pPr>
            <w:r>
              <w:rPr/>
              <w:t>Date: August 14, 2026</w:t>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9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George Hershman</w:t>
            </w:r>
          </w:p>
        </w:tc>
      </w:tr>
      <w:tr>
        <w:trPr/>
        <w:tc>
          <w:tcPr>
            <w:tcW w:w="458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8" w:type="dxa"/>
            <w:gridSpan w:val="3"/>
            <w:tcBorders/>
          </w:tcPr>
          <w:p>
            <w:pPr>
              <w:pStyle w:val="TableContents"/>
              <w:bidi w:val="0"/>
              <w:spacing w:before="0" w:after="283"/>
              <w:jc w:val="left"/>
              <w:rPr/>
            </w:pPr>
            <w:r>
              <w:rPr/>
              <w:t>Name: George Hershman</w:t>
            </w:r>
          </w:p>
        </w:tc>
      </w:tr>
      <w:tr>
        <w:trPr/>
        <w:tc>
          <w:tcPr>
            <w:tcW w:w="458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8" w:type="dxa"/>
            <w:gridSpan w:val="3"/>
            <w:tcBorders/>
          </w:tcPr>
          <w:p>
            <w:pPr>
              <w:pStyle w:val="TableContents"/>
              <w:bidi w:val="0"/>
              <w:spacing w:before="0" w:after="283"/>
              <w:jc w:val="left"/>
              <w:rPr/>
            </w:pPr>
            <w:r>
              <w:rPr/>
              <w:t xml:space="preserve">Title: Chief Executive Officer and Director </w:t>
              <w:br/>
              <w:t>(Principal Executive Officer)</w:t>
            </w:r>
          </w:p>
        </w:tc>
      </w:tr>
    </w:tbl>
    <w:p>
      <w:pPr>
        <w:pStyle w:val="TextBody"/>
        <w:bidi w:val="0"/>
        <w:spacing w:before="0" w:after="0"/>
        <w:jc w:val="right"/>
        <w:rPr>
          <w:rFonts w:ascii="Times New Roman" w:hAnsi="Times New Roman"/>
          <w:b/>
          <w:sz w:val="20"/>
        </w:rPr>
      </w:pPr>
      <w:bookmarkStart w:id="20" w:name="d152940dex322.htm"/>
      <w:bookmarkStart w:id="21" w:name="ksd152940dex322"/>
      <w:bookmarkEnd w:id="20"/>
      <w:bookmarkEnd w:id="21"/>
      <w:r>
        <w:rPr>
          <w:rFonts w:ascii="Times New Roman" w:hAnsi="Times New Roman"/>
          <w:b/>
          <w:sz w:val="20"/>
        </w:rPr>
        <w:t xml:space="preserve">Exhibit 32.2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Quarterly Report on Form 10-Q of SOLV Energy, Inc. (the “Company”) for the quarter ended June 30, 2026, as filed with the Securities and Exchange Commission on the date hereof (the “Report”), I, Chad Plotkin, Chief Financial Officer of the Company, certify pursuant to 18 U.S.C. Section 1350, as adopted pursuant to Section 906 of the Sarbanes-Oxley Act of 2002, that, to the best of my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8"/>
        <w:gridCol w:w="102"/>
        <w:gridCol w:w="407"/>
        <w:gridCol w:w="102"/>
        <w:gridCol w:w="309"/>
        <w:gridCol w:w="102"/>
        <w:gridCol w:w="4595"/>
      </w:tblGrid>
      <w:tr>
        <w:trPr/>
        <w:tc>
          <w:tcPr>
            <w:tcW w:w="458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4588" w:type="dxa"/>
            <w:tcBorders/>
          </w:tcPr>
          <w:p>
            <w:pPr>
              <w:pStyle w:val="TableContents"/>
              <w:bidi w:val="0"/>
              <w:spacing w:before="0" w:after="283"/>
              <w:jc w:val="left"/>
              <w:rPr/>
            </w:pPr>
            <w:r>
              <w:rPr/>
              <w:t>Date: August 14, 2026</w:t>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Chad Plotkin</w:t>
            </w:r>
          </w:p>
        </w:tc>
      </w:tr>
      <w:tr>
        <w:trPr/>
        <w:tc>
          <w:tcPr>
            <w:tcW w:w="458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6" w:type="dxa"/>
            <w:gridSpan w:val="3"/>
            <w:tcBorders/>
          </w:tcPr>
          <w:p>
            <w:pPr>
              <w:pStyle w:val="TableContents"/>
              <w:bidi w:val="0"/>
              <w:spacing w:before="0" w:after="283"/>
              <w:jc w:val="left"/>
              <w:rPr/>
            </w:pPr>
            <w:r>
              <w:rPr/>
              <w:t>Name: Chad Plotkin</w:t>
            </w:r>
          </w:p>
        </w:tc>
      </w:tr>
      <w:tr>
        <w:trPr/>
        <w:tc>
          <w:tcPr>
            <w:tcW w:w="458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6" w:type="dxa"/>
            <w:gridSpan w:val="3"/>
            <w:tcBorders/>
          </w:tcPr>
          <w:p>
            <w:pPr>
              <w:pStyle w:val="TableContents"/>
              <w:bidi w:val="0"/>
              <w:spacing w:before="0" w:after="283"/>
              <w:jc w:val="left"/>
              <w:rPr/>
            </w:pPr>
            <w:r>
              <w:rPr/>
              <w:t xml:space="preserve">Title: Chief Financial Officer </w:t>
              <w:br/>
              <w:t>(Principal Financial Officer)</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65636/000119312526124117/d31834dex31.htm" TargetMode="External"/><Relationship Id="rId3" Type="http://schemas.openxmlformats.org/officeDocument/2006/relationships/hyperlink" Target="http://www.sec.gov/Archives/edgar/data/2065636/000119312526124117/d31834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28426</Words>
  <Characters>155050</Characters>
  <CharactersWithSpaces>188010</CharactersWithSpaces>
  <Paragraphs>8747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